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01" w:lineRule="exact"/>
        <w:rPr>
          <w:sz w:val="24"/>
          <w:szCs w:val="24"/>
          <w:color w:val="auto"/>
        </w:rPr>
      </w:pPr>
    </w:p>
    <w:p>
      <w:pPr>
        <w:jc w:val="center"/>
        <w:ind w:right="-520"/>
        <w:spacing w:after="0"/>
        <w:rPr>
          <w:sz w:val="20"/>
          <w:szCs w:val="20"/>
          <w:color w:val="auto"/>
        </w:rPr>
      </w:pPr>
      <w:r>
        <w:rPr>
          <w:rFonts w:ascii="Arial" w:cs="Arial" w:eastAsia="Arial" w:hAnsi="Arial"/>
          <w:sz w:val="29"/>
          <w:szCs w:val="29"/>
          <w:b w:val="1"/>
          <w:bCs w:val="1"/>
          <w:color w:val="auto"/>
        </w:rPr>
        <w:t>UNITED STATES</w:t>
      </w:r>
    </w:p>
    <w:p>
      <w:pPr>
        <w:jc w:val="center"/>
        <w:ind w:right="-540"/>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600"/>
        <w:spacing w:after="0"/>
        <w:rPr>
          <w:sz w:val="20"/>
          <w:szCs w:val="20"/>
          <w:color w:val="auto"/>
        </w:rPr>
      </w:pPr>
      <w:r>
        <w:rPr>
          <w:rFonts w:ascii="Arial" w:cs="Arial" w:eastAsia="Arial" w:hAnsi="Arial"/>
          <w:sz w:val="29"/>
          <w:szCs w:val="29"/>
          <w:b w:val="1"/>
          <w:bCs w:val="1"/>
          <w:color w:val="auto"/>
        </w:rPr>
        <w:t>SCHEDULE 14A</w:t>
      </w:r>
    </w:p>
    <w:p>
      <w:pPr>
        <w:spacing w:after="0" w:line="52"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540"/>
        <w:spacing w:after="0" w:line="203" w:lineRule="auto"/>
        <w:rPr>
          <w:sz w:val="20"/>
          <w:szCs w:val="20"/>
          <w:color w:val="auto"/>
        </w:rPr>
      </w:pPr>
      <w:r>
        <w:rPr>
          <w:rFonts w:ascii="Arial" w:cs="Arial" w:eastAsia="Arial" w:hAnsi="Arial"/>
          <w:sz w:val="18"/>
          <w:szCs w:val="18"/>
          <w:b w:val="1"/>
          <w:bCs w:val="1"/>
          <w:color w:val="auto"/>
        </w:rPr>
        <w:t>Securities Exchange Act of 1934</w:t>
      </w:r>
    </w:p>
    <w:p>
      <w:pPr>
        <w:jc w:val="center"/>
        <w:ind w:right="-600"/>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44" w:lineRule="exact"/>
        <w:rPr>
          <w:sz w:val="24"/>
          <w:szCs w:val="24"/>
          <w:color w:val="auto"/>
        </w:rPr>
      </w:pPr>
    </w:p>
    <w:p>
      <w:pPr>
        <w:ind w:left="1260"/>
        <w:spacing w:after="0" w:line="207" w:lineRule="exact"/>
        <w:tabs>
          <w:tab w:leader="none" w:pos="40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9" w:lineRule="exact"/>
        <w:rPr>
          <w:sz w:val="24"/>
          <w:szCs w:val="24"/>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NATIONAL VISION HOLDINGS, INC.</w:t>
      </w:r>
    </w:p>
    <w:p>
      <w:pPr>
        <w:spacing w:after="0" w:line="35"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53"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35"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620" w:hanging="352"/>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620" w:hanging="352"/>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right="979" w:hanging="352"/>
        <w:spacing w:after="0" w:line="256" w:lineRule="auto"/>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352"/>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1620" w:right="739" w:hanging="352"/>
        <w:spacing w:after="0" w:line="256"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3" w:lineRule="exact"/>
        <w:rPr>
          <w:rFonts w:ascii="MS PGothic" w:cs="MS PGothic" w:eastAsia="MS PGothic" w:hAnsi="MS PGothic"/>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1264920</wp:posOffset>
            </wp:positionH>
            <wp:positionV relativeFrom="paragraph">
              <wp:posOffset>-4030980</wp:posOffset>
            </wp:positionV>
            <wp:extent cx="4749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-3627755</wp:posOffset>
            </wp:positionV>
            <wp:extent cx="4749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-2941955</wp:posOffset>
            </wp:positionV>
            <wp:extent cx="4749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-2539365</wp:posOffset>
            </wp:positionV>
            <wp:extent cx="4749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-2136140</wp:posOffset>
            </wp:positionV>
            <wp:extent cx="4749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-1038860</wp:posOffset>
            </wp:positionV>
            <wp:extent cx="4749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-636270</wp:posOffset>
            </wp:positionV>
            <wp:extent cx="4749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-233045</wp:posOffset>
            </wp:positionV>
            <wp:extent cx="4749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168910</wp:posOffset>
            </wp:positionV>
            <wp:extent cx="4749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80"/>
        <w:spacing w:after="0"/>
        <w:rPr>
          <w:sz w:val="20"/>
          <w:szCs w:val="20"/>
          <w:color w:val="auto"/>
        </w:rPr>
      </w:pPr>
      <w:r>
        <w:rPr>
          <w:rFonts w:ascii="Arial" w:cs="Arial" w:eastAsia="Arial" w:hAnsi="Arial"/>
          <w:sz w:val="57"/>
          <w:szCs w:val="57"/>
          <w:b w:val="1"/>
          <w:bCs w:val="1"/>
          <w:color w:val="3C5896"/>
        </w:rPr>
        <w:t>National Vision Holdings, Inc.</w:t>
      </w:r>
    </w:p>
    <w:p>
      <w:pPr>
        <w:spacing w:after="0" w:line="200" w:lineRule="exact"/>
        <w:rPr>
          <w:sz w:val="20"/>
          <w:szCs w:val="20"/>
          <w:color w:val="auto"/>
        </w:rPr>
      </w:pPr>
    </w:p>
    <w:p>
      <w:pPr>
        <w:spacing w:after="0" w:line="350" w:lineRule="exact"/>
        <w:rPr>
          <w:sz w:val="20"/>
          <w:szCs w:val="20"/>
          <w:color w:val="auto"/>
        </w:rPr>
      </w:pPr>
    </w:p>
    <w:p>
      <w:pPr>
        <w:jc w:val="center"/>
        <w:ind w:right="-480"/>
        <w:spacing w:after="0"/>
        <w:rPr>
          <w:sz w:val="20"/>
          <w:szCs w:val="20"/>
          <w:color w:val="auto"/>
        </w:rPr>
      </w:pPr>
      <w:r>
        <w:rPr>
          <w:rFonts w:ascii="Arial" w:cs="Arial" w:eastAsia="Arial" w:hAnsi="Arial"/>
          <w:sz w:val="40"/>
          <w:szCs w:val="40"/>
          <w:color w:val="3C5896"/>
        </w:rPr>
        <w:t>2020 Proxy Statement</w:t>
      </w:r>
    </w:p>
    <w:p>
      <w:pPr>
        <w:jc w:val="center"/>
        <w:ind w:right="-580"/>
        <w:spacing w:after="0"/>
        <w:rPr>
          <w:sz w:val="20"/>
          <w:szCs w:val="20"/>
          <w:color w:val="auto"/>
        </w:rPr>
      </w:pPr>
      <w:r>
        <w:rPr>
          <w:rFonts w:ascii="Arial" w:cs="Arial" w:eastAsia="Arial" w:hAnsi="Arial"/>
          <w:sz w:val="40"/>
          <w:szCs w:val="40"/>
          <w:color w:val="3C5896"/>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1203960</wp:posOffset>
            </wp:positionV>
            <wp:extent cx="3017520" cy="2305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1752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80"/>
        <w:spacing w:after="0"/>
        <w:rPr>
          <w:sz w:val="20"/>
          <w:szCs w:val="20"/>
          <w:color w:val="auto"/>
        </w:rPr>
      </w:pPr>
      <w:r>
        <w:rPr>
          <w:rFonts w:ascii="Arial" w:cs="Arial" w:eastAsia="Arial" w:hAnsi="Arial"/>
          <w:sz w:val="40"/>
          <w:szCs w:val="40"/>
          <w:color w:val="3C5896"/>
        </w:rPr>
        <w:t>Wednesday, June 10, 2020</w:t>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32"/>
          <w:szCs w:val="32"/>
          <w:color w:val="auto"/>
        </w:rPr>
        <w:t>1:00 pm, Eastern Time</w:t>
      </w:r>
    </w:p>
    <w:p>
      <w:pPr>
        <w:spacing w:after="0" w:line="242" w:lineRule="exact"/>
        <w:rPr>
          <w:sz w:val="20"/>
          <w:szCs w:val="20"/>
          <w:color w:val="auto"/>
        </w:rPr>
      </w:pPr>
    </w:p>
    <w:p>
      <w:pPr>
        <w:jc w:val="center"/>
        <w:ind w:right="-580"/>
        <w:spacing w:after="0"/>
        <w:rPr>
          <w:sz w:val="20"/>
          <w:szCs w:val="20"/>
          <w:color w:val="auto"/>
        </w:rPr>
      </w:pPr>
      <w:r>
        <w:rPr>
          <w:rFonts w:ascii="Arial" w:cs="Arial" w:eastAsia="Arial" w:hAnsi="Arial"/>
          <w:sz w:val="40"/>
          <w:szCs w:val="40"/>
          <w:color w:val="3C5896"/>
        </w:rPr>
        <w:t>National Vision</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32"/>
          <w:szCs w:val="32"/>
          <w:color w:val="auto"/>
        </w:rPr>
        <w:t>2435 Commerce Avenue, Building 2200</w:t>
      </w:r>
    </w:p>
    <w:p>
      <w:pPr>
        <w:spacing w:after="0" w:line="51" w:lineRule="exact"/>
        <w:rPr>
          <w:sz w:val="20"/>
          <w:szCs w:val="20"/>
          <w:color w:val="auto"/>
        </w:rPr>
      </w:pPr>
    </w:p>
    <w:p>
      <w:pPr>
        <w:jc w:val="center"/>
        <w:ind w:right="-580"/>
        <w:spacing w:after="0"/>
        <w:rPr>
          <w:sz w:val="20"/>
          <w:szCs w:val="20"/>
          <w:color w:val="auto"/>
        </w:rPr>
      </w:pPr>
      <w:r>
        <w:rPr>
          <w:rFonts w:ascii="Arial" w:cs="Arial" w:eastAsia="Arial" w:hAnsi="Arial"/>
          <w:sz w:val="32"/>
          <w:szCs w:val="32"/>
          <w:color w:val="auto"/>
        </w:rPr>
        <w:t>Duluth, Georgia 30096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8700" w:type="dxa"/>
            <w:vAlign w:val="bottom"/>
            <w:gridSpan w:val="3"/>
            <w:shd w:val="clear" w:color="auto" w:fill="CCEEFF"/>
          </w:tcPr>
          <w:p>
            <w:pPr>
              <w:spacing w:after="0"/>
              <w:rPr>
                <w:rFonts w:ascii="Arial" w:cs="Arial" w:eastAsia="Arial" w:hAnsi="Arial"/>
                <w:sz w:val="22"/>
                <w:szCs w:val="22"/>
                <w:b w:val="1"/>
                <w:bCs w:val="1"/>
                <w:color w:val="3C5896"/>
              </w:rPr>
            </w:pPr>
            <w:hyperlink w:anchor="page4">
              <w:r>
                <w:rPr>
                  <w:rFonts w:ascii="Arial" w:cs="Arial" w:eastAsia="Arial" w:hAnsi="Arial"/>
                  <w:sz w:val="22"/>
                  <w:szCs w:val="22"/>
                  <w:b w:val="1"/>
                  <w:bCs w:val="1"/>
                  <w:color w:val="3C5896"/>
                </w:rPr>
                <w:t>Letter to Stockholders from our Chairman of the Board of Directors and</w:t>
              </w:r>
            </w:hyperlink>
          </w:p>
        </w:tc>
        <w:tc>
          <w:tcPr>
            <w:tcW w:w="50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7340" w:type="dxa"/>
            <w:vAlign w:val="bottom"/>
            <w:tcBorders>
              <w:top w:val="single" w:sz="8" w:color="3C5896"/>
              <w:bottom w:val="single" w:sz="8" w:color="auto"/>
            </w:tcBorders>
            <w:gridSpan w:val="2"/>
            <w:shd w:val="clear" w:color="auto" w:fill="CCEEFF"/>
          </w:tcPr>
          <w:p>
            <w:pPr>
              <w:spacing w:after="0" w:line="209" w:lineRule="exact"/>
              <w:rPr>
                <w:rFonts w:ascii="Arial" w:cs="Arial" w:eastAsia="Arial" w:hAnsi="Arial"/>
                <w:sz w:val="22"/>
                <w:szCs w:val="22"/>
                <w:b w:val="1"/>
                <w:bCs w:val="1"/>
                <w:color w:val="3C5896"/>
              </w:rPr>
            </w:pPr>
            <w:hyperlink w:anchor="page4">
              <w:r>
                <w:rPr>
                  <w:rFonts w:ascii="Arial" w:cs="Arial" w:eastAsia="Arial" w:hAnsi="Arial"/>
                  <w:sz w:val="22"/>
                  <w:szCs w:val="22"/>
                  <w:b w:val="1"/>
                  <w:bCs w:val="1"/>
                  <w:color w:val="3C5896"/>
                </w:rPr>
                <w:t>Chief Executive Officer</w:t>
              </w:r>
            </w:hyperlink>
          </w:p>
        </w:tc>
        <w:tc>
          <w:tcPr>
            <w:tcW w:w="1360" w:type="dxa"/>
            <w:vAlign w:val="bottom"/>
            <w:tcBorders>
              <w:top w:val="single" w:sz="8" w:color="CCEEFF"/>
              <w:bottom w:val="single" w:sz="8" w:color="auto"/>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spacing w:after="0"/>
              <w:rPr>
                <w:rFonts w:ascii="Arial" w:cs="Arial" w:eastAsia="Arial" w:hAnsi="Arial"/>
                <w:sz w:val="18"/>
                <w:szCs w:val="18"/>
                <w:b w:val="1"/>
                <w:bCs w:val="1"/>
                <w:u w:val="single" w:color="auto"/>
                <w:color w:val="3C5896"/>
              </w:rPr>
            </w:pPr>
            <w:hyperlink w:anchor="page4">
              <w:r>
                <w:rPr>
                  <w:rFonts w:ascii="Arial" w:cs="Arial" w:eastAsia="Arial" w:hAnsi="Arial"/>
                  <w:sz w:val="18"/>
                  <w:szCs w:val="18"/>
                  <w:b w:val="1"/>
                  <w:bCs w:val="1"/>
                  <w:u w:val="single" w:color="auto"/>
                  <w:color w:val="3C5896"/>
                </w:rPr>
                <w:t>1</w:t>
              </w:r>
            </w:hyperlink>
          </w:p>
        </w:tc>
        <w:tc>
          <w:tcPr>
            <w:tcW w:w="760" w:type="dxa"/>
            <w:vAlign w:val="bottom"/>
          </w:tcPr>
          <w:p>
            <w:pPr>
              <w:spacing w:after="0"/>
              <w:rPr>
                <w:sz w:val="21"/>
                <w:szCs w:val="21"/>
                <w:color w:val="auto"/>
              </w:rPr>
            </w:pPr>
          </w:p>
        </w:tc>
      </w:tr>
      <w:tr>
        <w:trPr>
          <w:trHeight w:val="514"/>
        </w:trPr>
        <w:tc>
          <w:tcPr>
            <w:tcW w:w="760" w:type="dxa"/>
            <w:vAlign w:val="bottom"/>
          </w:tcPr>
          <w:p>
            <w:pPr>
              <w:spacing w:after="0"/>
              <w:rPr>
                <w:sz w:val="24"/>
                <w:szCs w:val="24"/>
                <w:color w:val="auto"/>
              </w:rPr>
            </w:pPr>
          </w:p>
        </w:tc>
        <w:tc>
          <w:tcPr>
            <w:tcW w:w="8700" w:type="dxa"/>
            <w:vAlign w:val="bottom"/>
            <w:gridSpan w:val="3"/>
          </w:tcPr>
          <w:p>
            <w:pPr>
              <w:spacing w:after="0"/>
              <w:rPr>
                <w:rFonts w:ascii="Arial" w:cs="Arial" w:eastAsia="Arial" w:hAnsi="Arial"/>
                <w:sz w:val="22"/>
                <w:szCs w:val="22"/>
                <w:b w:val="1"/>
                <w:bCs w:val="1"/>
                <w:u w:val="single" w:color="auto"/>
                <w:color w:val="3C5896"/>
              </w:rPr>
            </w:pPr>
            <w:hyperlink w:anchor="page5">
              <w:r>
                <w:rPr>
                  <w:rFonts w:ascii="Arial" w:cs="Arial" w:eastAsia="Arial" w:hAnsi="Arial"/>
                  <w:sz w:val="22"/>
                  <w:szCs w:val="22"/>
                  <w:b w:val="1"/>
                  <w:bCs w:val="1"/>
                  <w:u w:val="single" w:color="auto"/>
                  <w:color w:val="3C5896"/>
                </w:rPr>
                <w:t>Notice of Annual Meeting of Stockholders</w:t>
              </w:r>
            </w:hyperlink>
          </w:p>
        </w:tc>
        <w:tc>
          <w:tcPr>
            <w:tcW w:w="1260" w:type="dxa"/>
            <w:vAlign w:val="bottom"/>
            <w:gridSpan w:val="2"/>
          </w:tcPr>
          <w:p>
            <w:pPr>
              <w:jc w:val="right"/>
              <w:ind w:right="760"/>
              <w:spacing w:after="0"/>
              <w:rPr>
                <w:rFonts w:ascii="Arial" w:cs="Arial" w:eastAsia="Arial" w:hAnsi="Arial"/>
                <w:sz w:val="18"/>
                <w:szCs w:val="18"/>
                <w:b w:val="1"/>
                <w:bCs w:val="1"/>
                <w:u w:val="single" w:color="auto"/>
                <w:color w:val="3C5896"/>
              </w:rPr>
            </w:pPr>
            <w:hyperlink w:anchor="page5">
              <w:r>
                <w:rPr>
                  <w:rFonts w:ascii="Arial" w:cs="Arial" w:eastAsia="Arial" w:hAnsi="Arial"/>
                  <w:sz w:val="18"/>
                  <w:szCs w:val="18"/>
                  <w:b w:val="1"/>
                  <w:bCs w:val="1"/>
                  <w:u w:val="single" w:color="auto"/>
                  <w:color w:val="3C5896"/>
                </w:rPr>
                <w:t>2</w:t>
              </w:r>
            </w:hyperlink>
          </w:p>
        </w:tc>
      </w:tr>
      <w:tr>
        <w:trPr>
          <w:trHeight w:val="533"/>
        </w:trPr>
        <w:tc>
          <w:tcPr>
            <w:tcW w:w="760" w:type="dxa"/>
            <w:vAlign w:val="bottom"/>
          </w:tcPr>
          <w:p>
            <w:pPr>
              <w:spacing w:after="0"/>
              <w:rPr>
                <w:sz w:val="24"/>
                <w:szCs w:val="24"/>
                <w:color w:val="auto"/>
              </w:rPr>
            </w:pPr>
          </w:p>
        </w:tc>
        <w:tc>
          <w:tcPr>
            <w:tcW w:w="8700" w:type="dxa"/>
            <w:vAlign w:val="bottom"/>
            <w:tcBorders>
              <w:top w:val="single" w:sz="8" w:color="auto"/>
              <w:bottom w:val="single" w:sz="8" w:color="auto"/>
            </w:tcBorders>
            <w:gridSpan w:val="3"/>
            <w:shd w:val="clear" w:color="auto" w:fill="CCEEFF"/>
          </w:tcPr>
          <w:p>
            <w:pPr>
              <w:spacing w:after="0"/>
              <w:rPr>
                <w:rFonts w:ascii="Arial" w:cs="Arial" w:eastAsia="Arial" w:hAnsi="Arial"/>
                <w:sz w:val="22"/>
                <w:szCs w:val="22"/>
                <w:b w:val="1"/>
                <w:bCs w:val="1"/>
                <w:u w:val="single" w:color="auto"/>
                <w:color w:val="3C5896"/>
              </w:rPr>
            </w:pPr>
            <w:hyperlink w:anchor="page6">
              <w:r>
                <w:rPr>
                  <w:rFonts w:ascii="Arial" w:cs="Arial" w:eastAsia="Arial" w:hAnsi="Arial"/>
                  <w:sz w:val="22"/>
                  <w:szCs w:val="22"/>
                  <w:b w:val="1"/>
                  <w:bCs w:val="1"/>
                  <w:u w:val="single" w:color="auto"/>
                  <w:color w:val="3C5896"/>
                </w:rPr>
                <w:t>Proxy Statement Summary</w:t>
              </w:r>
            </w:hyperlink>
          </w:p>
        </w:tc>
        <w:tc>
          <w:tcPr>
            <w:tcW w:w="500" w:type="dxa"/>
            <w:vAlign w:val="bottom"/>
            <w:tcBorders>
              <w:top w:val="single" w:sz="8" w:color="auto"/>
              <w:bottom w:val="single" w:sz="8" w:color="auto"/>
            </w:tcBorders>
            <w:shd w:val="clear" w:color="auto" w:fill="CCEEFF"/>
          </w:tcPr>
          <w:p>
            <w:pPr>
              <w:jc w:val="right"/>
              <w:spacing w:after="0"/>
              <w:rPr>
                <w:rFonts w:ascii="Arial" w:cs="Arial" w:eastAsia="Arial" w:hAnsi="Arial"/>
                <w:sz w:val="18"/>
                <w:szCs w:val="18"/>
                <w:b w:val="1"/>
                <w:bCs w:val="1"/>
                <w:u w:val="single" w:color="auto"/>
                <w:color w:val="3C5896"/>
              </w:rPr>
            </w:pPr>
            <w:hyperlink w:anchor="page6">
              <w:r>
                <w:rPr>
                  <w:rFonts w:ascii="Arial" w:cs="Arial" w:eastAsia="Arial" w:hAnsi="Arial"/>
                  <w:sz w:val="18"/>
                  <w:szCs w:val="18"/>
                  <w:b w:val="1"/>
                  <w:bCs w:val="1"/>
                  <w:u w:val="single" w:color="auto"/>
                  <w:color w:val="3C5896"/>
                </w:rPr>
                <w:t>3</w:t>
              </w:r>
            </w:hyperlink>
          </w:p>
        </w:tc>
        <w:tc>
          <w:tcPr>
            <w:tcW w:w="760" w:type="dxa"/>
            <w:vAlign w:val="bottom"/>
          </w:tcPr>
          <w:p>
            <w:pPr>
              <w:spacing w:after="0"/>
              <w:rPr>
                <w:sz w:val="24"/>
                <w:szCs w:val="24"/>
                <w:color w:val="auto"/>
              </w:rPr>
            </w:pPr>
          </w:p>
        </w:tc>
      </w:tr>
      <w:tr>
        <w:trPr>
          <w:trHeight w:val="533"/>
        </w:trPr>
        <w:tc>
          <w:tcPr>
            <w:tcW w:w="760" w:type="dxa"/>
            <w:vAlign w:val="bottom"/>
          </w:tcPr>
          <w:p>
            <w:pPr>
              <w:spacing w:after="0"/>
              <w:rPr>
                <w:sz w:val="24"/>
                <w:szCs w:val="24"/>
                <w:color w:val="auto"/>
              </w:rPr>
            </w:pPr>
          </w:p>
        </w:tc>
        <w:tc>
          <w:tcPr>
            <w:tcW w:w="8700" w:type="dxa"/>
            <w:vAlign w:val="bottom"/>
            <w:gridSpan w:val="3"/>
          </w:tcPr>
          <w:p>
            <w:pPr>
              <w:spacing w:after="0"/>
              <w:rPr>
                <w:rFonts w:ascii="Arial" w:cs="Arial" w:eastAsia="Arial" w:hAnsi="Arial"/>
                <w:sz w:val="22"/>
                <w:szCs w:val="22"/>
                <w:b w:val="1"/>
                <w:bCs w:val="1"/>
                <w:u w:val="single" w:color="auto"/>
                <w:color w:val="3C5896"/>
              </w:rPr>
            </w:pPr>
            <w:hyperlink w:anchor="page9">
              <w:r>
                <w:rPr>
                  <w:rFonts w:ascii="Arial" w:cs="Arial" w:eastAsia="Arial" w:hAnsi="Arial"/>
                  <w:sz w:val="22"/>
                  <w:szCs w:val="22"/>
                  <w:b w:val="1"/>
                  <w:bCs w:val="1"/>
                  <w:u w:val="single" w:color="auto"/>
                  <w:color w:val="3C5896"/>
                </w:rPr>
                <w:t>Proxy Statement</w:t>
              </w:r>
            </w:hyperlink>
          </w:p>
        </w:tc>
        <w:tc>
          <w:tcPr>
            <w:tcW w:w="1260" w:type="dxa"/>
            <w:vAlign w:val="bottom"/>
            <w:gridSpan w:val="2"/>
          </w:tcPr>
          <w:p>
            <w:pPr>
              <w:jc w:val="right"/>
              <w:ind w:right="760"/>
              <w:spacing w:after="0"/>
              <w:rPr>
                <w:rFonts w:ascii="Arial" w:cs="Arial" w:eastAsia="Arial" w:hAnsi="Arial"/>
                <w:sz w:val="18"/>
                <w:szCs w:val="18"/>
                <w:b w:val="1"/>
                <w:bCs w:val="1"/>
                <w:u w:val="single" w:color="auto"/>
                <w:color w:val="3C5896"/>
              </w:rPr>
            </w:pPr>
            <w:hyperlink w:anchor="page9">
              <w:r>
                <w:rPr>
                  <w:rFonts w:ascii="Arial" w:cs="Arial" w:eastAsia="Arial" w:hAnsi="Arial"/>
                  <w:sz w:val="18"/>
                  <w:szCs w:val="18"/>
                  <w:b w:val="1"/>
                  <w:bCs w:val="1"/>
                  <w:u w:val="single" w:color="auto"/>
                  <w:color w:val="3C5896"/>
                </w:rPr>
                <w:t>6</w:t>
              </w:r>
            </w:hyperlink>
          </w:p>
        </w:tc>
      </w:tr>
      <w:tr>
        <w:trPr>
          <w:trHeight w:val="533"/>
        </w:trPr>
        <w:tc>
          <w:tcPr>
            <w:tcW w:w="760" w:type="dxa"/>
            <w:vAlign w:val="bottom"/>
          </w:tcPr>
          <w:p>
            <w:pPr>
              <w:spacing w:after="0"/>
              <w:rPr>
                <w:sz w:val="24"/>
                <w:szCs w:val="24"/>
                <w:color w:val="auto"/>
              </w:rPr>
            </w:pPr>
          </w:p>
        </w:tc>
        <w:tc>
          <w:tcPr>
            <w:tcW w:w="8700" w:type="dxa"/>
            <w:vAlign w:val="bottom"/>
            <w:tcBorders>
              <w:top w:val="single" w:sz="8" w:color="auto"/>
              <w:bottom w:val="single" w:sz="8" w:color="auto"/>
            </w:tcBorders>
            <w:gridSpan w:val="3"/>
            <w:shd w:val="clear" w:color="auto" w:fill="CCEEFF"/>
          </w:tcPr>
          <w:p>
            <w:pPr>
              <w:spacing w:after="0"/>
              <w:rPr>
                <w:rFonts w:ascii="Arial" w:cs="Arial" w:eastAsia="Arial" w:hAnsi="Arial"/>
                <w:sz w:val="22"/>
                <w:szCs w:val="22"/>
                <w:b w:val="1"/>
                <w:bCs w:val="1"/>
                <w:u w:val="single" w:color="auto"/>
                <w:color w:val="3C5896"/>
              </w:rPr>
            </w:pPr>
            <w:hyperlink w:anchor="page9">
              <w:r>
                <w:rPr>
                  <w:rFonts w:ascii="Arial" w:cs="Arial" w:eastAsia="Arial" w:hAnsi="Arial"/>
                  <w:sz w:val="22"/>
                  <w:szCs w:val="22"/>
                  <w:b w:val="1"/>
                  <w:bCs w:val="1"/>
                  <w:u w:val="single" w:color="auto"/>
                  <w:color w:val="3C5896"/>
                </w:rPr>
                <w:t>Board of Directors and Certain Governance Matters</w:t>
              </w:r>
            </w:hyperlink>
          </w:p>
        </w:tc>
        <w:tc>
          <w:tcPr>
            <w:tcW w:w="500" w:type="dxa"/>
            <w:vAlign w:val="bottom"/>
            <w:tcBorders>
              <w:top w:val="single" w:sz="8" w:color="auto"/>
              <w:bottom w:val="single" w:sz="8" w:color="auto"/>
            </w:tcBorders>
            <w:shd w:val="clear" w:color="auto" w:fill="CCEEFF"/>
          </w:tcPr>
          <w:p>
            <w:pPr>
              <w:jc w:val="right"/>
              <w:spacing w:after="0"/>
              <w:rPr>
                <w:rFonts w:ascii="Arial" w:cs="Arial" w:eastAsia="Arial" w:hAnsi="Arial"/>
                <w:sz w:val="18"/>
                <w:szCs w:val="18"/>
                <w:b w:val="1"/>
                <w:bCs w:val="1"/>
                <w:u w:val="single" w:color="auto"/>
                <w:color w:val="3C5896"/>
              </w:rPr>
            </w:pPr>
            <w:hyperlink w:anchor="page9">
              <w:r>
                <w:rPr>
                  <w:rFonts w:ascii="Arial" w:cs="Arial" w:eastAsia="Arial" w:hAnsi="Arial"/>
                  <w:sz w:val="18"/>
                  <w:szCs w:val="18"/>
                  <w:b w:val="1"/>
                  <w:bCs w:val="1"/>
                  <w:u w:val="single" w:color="auto"/>
                  <w:color w:val="3C5896"/>
                </w:rPr>
                <w:t>6</w:t>
              </w:r>
            </w:hyperlink>
          </w:p>
        </w:tc>
        <w:tc>
          <w:tcPr>
            <w:tcW w:w="760" w:type="dxa"/>
            <w:vAlign w:val="bottom"/>
          </w:tcPr>
          <w:p>
            <w:pPr>
              <w:spacing w:after="0"/>
              <w:rPr>
                <w:sz w:val="24"/>
                <w:szCs w:val="24"/>
                <w:color w:val="auto"/>
              </w:rPr>
            </w:pPr>
          </w:p>
        </w:tc>
      </w:tr>
      <w:tr>
        <w:trPr>
          <w:trHeight w:val="283"/>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b w:val="1"/>
                <w:bCs w:val="1"/>
                <w:u w:val="single" w:color="auto"/>
                <w:color w:val="3C5896"/>
              </w:rPr>
            </w:pPr>
            <w:hyperlink w:anchor="page9">
              <w:r>
                <w:rPr>
                  <w:rFonts w:ascii="Arial" w:cs="Arial" w:eastAsia="Arial" w:hAnsi="Arial"/>
                  <w:sz w:val="18"/>
                  <w:szCs w:val="18"/>
                  <w:b w:val="1"/>
                  <w:bCs w:val="1"/>
                  <w:u w:val="single" w:color="auto"/>
                  <w:color w:val="3C5896"/>
                </w:rPr>
                <w:t>Proposal No. 1—Election of Directors</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Board Oversight</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c>
          <w:tcPr>
            <w:tcW w:w="760" w:type="dxa"/>
            <w:vAlign w:val="bottom"/>
          </w:tcPr>
          <w:p>
            <w:pPr>
              <w:spacing w:after="0"/>
              <w:rPr>
                <w:sz w:val="24"/>
                <w:szCs w:val="24"/>
                <w:color w:val="auto"/>
              </w:rPr>
            </w:pPr>
          </w:p>
        </w:tc>
      </w:tr>
      <w:tr>
        <w:trPr>
          <w:trHeight w:val="284"/>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Director Independence</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Composition of the Board of Directors</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c>
          <w:tcPr>
            <w:tcW w:w="760" w:type="dxa"/>
            <w:vAlign w:val="bottom"/>
          </w:tcPr>
          <w:p>
            <w:pPr>
              <w:spacing w:after="0"/>
              <w:rPr>
                <w:sz w:val="24"/>
                <w:szCs w:val="24"/>
                <w:color w:val="auto"/>
              </w:rPr>
            </w:pPr>
          </w:p>
        </w:tc>
      </w:tr>
      <w:tr>
        <w:trPr>
          <w:trHeight w:val="283"/>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Director Nomination Process</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Leadership Structure of the Board of Directors</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c>
          <w:tcPr>
            <w:tcW w:w="760" w:type="dxa"/>
            <w:vAlign w:val="bottom"/>
          </w:tcPr>
          <w:p>
            <w:pPr>
              <w:spacing w:after="0"/>
              <w:rPr>
                <w:sz w:val="24"/>
                <w:szCs w:val="24"/>
                <w:color w:val="auto"/>
              </w:rPr>
            </w:pPr>
          </w:p>
        </w:tc>
      </w:tr>
      <w:tr>
        <w:trPr>
          <w:trHeight w:val="283"/>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Board Oversight of Risk Management</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 Succession Planning</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c>
          <w:tcPr>
            <w:tcW w:w="760" w:type="dxa"/>
            <w:vAlign w:val="bottom"/>
          </w:tcPr>
          <w:p>
            <w:pPr>
              <w:spacing w:after="0"/>
              <w:rPr>
                <w:sz w:val="24"/>
                <w:szCs w:val="24"/>
                <w:color w:val="auto"/>
              </w:rPr>
            </w:pPr>
          </w:p>
        </w:tc>
      </w:tr>
      <w:tr>
        <w:trPr>
          <w:trHeight w:val="284"/>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Executive Sessions</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84"/>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Board and Committee Evaluations</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c>
          <w:tcPr>
            <w:tcW w:w="760" w:type="dxa"/>
            <w:vAlign w:val="bottom"/>
          </w:tcPr>
          <w:p>
            <w:pPr>
              <w:spacing w:after="0"/>
              <w:rPr>
                <w:sz w:val="24"/>
                <w:szCs w:val="24"/>
                <w:color w:val="auto"/>
              </w:rPr>
            </w:pPr>
          </w:p>
        </w:tc>
      </w:tr>
      <w:tr>
        <w:trPr>
          <w:trHeight w:val="283"/>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Communications with the Board</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Committees and Meetings</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c>
          <w:tcPr>
            <w:tcW w:w="760" w:type="dxa"/>
            <w:vAlign w:val="bottom"/>
          </w:tcPr>
          <w:p>
            <w:pPr>
              <w:spacing w:after="0"/>
              <w:rPr>
                <w:sz w:val="24"/>
                <w:szCs w:val="24"/>
                <w:color w:val="auto"/>
              </w:rPr>
            </w:pPr>
          </w:p>
        </w:tc>
      </w:tr>
      <w:tr>
        <w:trPr>
          <w:trHeight w:val="284"/>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Committee Charters &amp; Corporate Governance Guidelines</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14</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Code of Conduct</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14</w:t>
              </w:r>
            </w:hyperlink>
          </w:p>
        </w:tc>
        <w:tc>
          <w:tcPr>
            <w:tcW w:w="760" w:type="dxa"/>
            <w:vAlign w:val="bottom"/>
          </w:tcPr>
          <w:p>
            <w:pPr>
              <w:spacing w:after="0"/>
              <w:rPr>
                <w:sz w:val="24"/>
                <w:szCs w:val="24"/>
                <w:color w:val="auto"/>
              </w:rPr>
            </w:pPr>
          </w:p>
        </w:tc>
      </w:tr>
      <w:tr>
        <w:trPr>
          <w:trHeight w:val="283"/>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Hedging &amp; Pledging Policies</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14</w:t>
              </w:r>
            </w:hyperlink>
          </w:p>
        </w:tc>
      </w:tr>
      <w:tr>
        <w:trPr>
          <w:trHeight w:val="284"/>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Transactions with Related Persons</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14</w:t>
              </w:r>
            </w:hyperlink>
          </w:p>
        </w:tc>
        <w:tc>
          <w:tcPr>
            <w:tcW w:w="760" w:type="dxa"/>
            <w:vAlign w:val="bottom"/>
          </w:tcPr>
          <w:p>
            <w:pPr>
              <w:spacing w:after="0"/>
              <w:rPr>
                <w:sz w:val="24"/>
                <w:szCs w:val="24"/>
                <w:color w:val="auto"/>
              </w:rPr>
            </w:pPr>
          </w:p>
        </w:tc>
      </w:tr>
      <w:tr>
        <w:trPr>
          <w:trHeight w:val="283"/>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Stockholder Engagement</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15</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Classified Board and Supermajority Sunset Commitment</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c>
          <w:tcPr>
            <w:tcW w:w="760" w:type="dxa"/>
            <w:vAlign w:val="bottom"/>
          </w:tcPr>
          <w:p>
            <w:pPr>
              <w:spacing w:after="0"/>
              <w:rPr>
                <w:sz w:val="24"/>
                <w:szCs w:val="24"/>
                <w:color w:val="auto"/>
              </w:rPr>
            </w:pPr>
          </w:p>
        </w:tc>
      </w:tr>
      <w:tr>
        <w:trPr>
          <w:trHeight w:val="284"/>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Philanthropy and Corporate Social Responsibility</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Compensation of Directors</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c>
          <w:tcPr>
            <w:tcW w:w="760" w:type="dxa"/>
            <w:vAlign w:val="bottom"/>
          </w:tcPr>
          <w:p>
            <w:pPr>
              <w:spacing w:after="0"/>
              <w:rPr>
                <w:sz w:val="24"/>
                <w:szCs w:val="24"/>
                <w:color w:val="auto"/>
              </w:rPr>
            </w:pPr>
          </w:p>
        </w:tc>
      </w:tr>
      <w:tr>
        <w:trPr>
          <w:trHeight w:val="520"/>
        </w:trPr>
        <w:tc>
          <w:tcPr>
            <w:tcW w:w="760" w:type="dxa"/>
            <w:vAlign w:val="bottom"/>
          </w:tcPr>
          <w:p>
            <w:pPr>
              <w:spacing w:after="0"/>
              <w:rPr>
                <w:sz w:val="24"/>
                <w:szCs w:val="24"/>
                <w:color w:val="auto"/>
              </w:rPr>
            </w:pPr>
          </w:p>
        </w:tc>
        <w:tc>
          <w:tcPr>
            <w:tcW w:w="8700" w:type="dxa"/>
            <w:vAlign w:val="bottom"/>
            <w:gridSpan w:val="3"/>
          </w:tcPr>
          <w:p>
            <w:pPr>
              <w:spacing w:after="0"/>
              <w:rPr>
                <w:rFonts w:ascii="Arial" w:cs="Arial" w:eastAsia="Arial" w:hAnsi="Arial"/>
                <w:sz w:val="22"/>
                <w:szCs w:val="22"/>
                <w:b w:val="1"/>
                <w:bCs w:val="1"/>
                <w:u w:val="single" w:color="auto"/>
                <w:color w:val="3C5896"/>
              </w:rPr>
            </w:pPr>
            <w:hyperlink w:anchor="page21">
              <w:r>
                <w:rPr>
                  <w:rFonts w:ascii="Arial" w:cs="Arial" w:eastAsia="Arial" w:hAnsi="Arial"/>
                  <w:sz w:val="22"/>
                  <w:szCs w:val="22"/>
                  <w:b w:val="1"/>
                  <w:bCs w:val="1"/>
                  <w:u w:val="single" w:color="auto"/>
                  <w:color w:val="3C5896"/>
                </w:rPr>
                <w:t>Audit Committee Matters</w:t>
              </w:r>
            </w:hyperlink>
          </w:p>
        </w:tc>
        <w:tc>
          <w:tcPr>
            <w:tcW w:w="1260" w:type="dxa"/>
            <w:vAlign w:val="bottom"/>
            <w:gridSpan w:val="2"/>
          </w:tcPr>
          <w:p>
            <w:pPr>
              <w:jc w:val="right"/>
              <w:ind w:right="760"/>
              <w:spacing w:after="0"/>
              <w:rPr>
                <w:rFonts w:ascii="Arial" w:cs="Arial" w:eastAsia="Arial" w:hAnsi="Arial"/>
                <w:sz w:val="18"/>
                <w:szCs w:val="18"/>
                <w:b w:val="1"/>
                <w:bCs w:val="1"/>
                <w:u w:val="single" w:color="auto"/>
                <w:color w:val="3C5896"/>
              </w:rPr>
            </w:pPr>
            <w:hyperlink w:anchor="page21">
              <w:r>
                <w:rPr>
                  <w:rFonts w:ascii="Arial" w:cs="Arial" w:eastAsia="Arial" w:hAnsi="Arial"/>
                  <w:sz w:val="18"/>
                  <w:szCs w:val="18"/>
                  <w:b w:val="1"/>
                  <w:bCs w:val="1"/>
                  <w:u w:val="single" w:color="auto"/>
                  <w:color w:val="3C5896"/>
                </w:rPr>
                <w:t>18</w:t>
              </w:r>
            </w:hyperlink>
          </w:p>
        </w:tc>
      </w:tr>
      <w:tr>
        <w:trPr>
          <w:trHeight w:val="283"/>
        </w:trPr>
        <w:tc>
          <w:tcPr>
            <w:tcW w:w="760" w:type="dxa"/>
            <w:vAlign w:val="bottom"/>
          </w:tcPr>
          <w:p>
            <w:pPr>
              <w:spacing w:after="0"/>
              <w:rPr>
                <w:sz w:val="24"/>
                <w:szCs w:val="24"/>
                <w:color w:val="auto"/>
              </w:rPr>
            </w:pPr>
          </w:p>
        </w:tc>
        <w:tc>
          <w:tcPr>
            <w:tcW w:w="8700" w:type="dxa"/>
            <w:vAlign w:val="bottom"/>
            <w:tcBorders>
              <w:top w:val="single" w:sz="8" w:color="auto"/>
            </w:tcBorders>
            <w:gridSpan w:val="3"/>
            <w:shd w:val="clear" w:color="auto" w:fill="CCEEFF"/>
          </w:tcPr>
          <w:p>
            <w:pPr>
              <w:ind w:left="320"/>
              <w:spacing w:after="0"/>
              <w:rPr>
                <w:rFonts w:ascii="Arial" w:cs="Arial" w:eastAsia="Arial" w:hAnsi="Arial"/>
                <w:sz w:val="18"/>
                <w:szCs w:val="18"/>
                <w:b w:val="1"/>
                <w:bCs w:val="1"/>
                <w:u w:val="single" w:color="auto"/>
                <w:color w:val="3C5896"/>
              </w:rPr>
            </w:pPr>
            <w:hyperlink w:anchor="page21">
              <w:r>
                <w:rPr>
                  <w:rFonts w:ascii="Arial" w:cs="Arial" w:eastAsia="Arial" w:hAnsi="Arial"/>
                  <w:sz w:val="18"/>
                  <w:szCs w:val="18"/>
                  <w:b w:val="1"/>
                  <w:bCs w:val="1"/>
                  <w:u w:val="single" w:color="auto"/>
                  <w:color w:val="3C5896"/>
                </w:rPr>
                <w:t>Proposal No. 2—Ratification of Independent Registered Public Accounting Firm</w:t>
              </w:r>
            </w:hyperlink>
          </w:p>
        </w:tc>
        <w:tc>
          <w:tcPr>
            <w:tcW w:w="500" w:type="dxa"/>
            <w:vAlign w:val="bottom"/>
            <w:tcBorders>
              <w:top w:val="single" w:sz="8" w:color="auto"/>
            </w:tcBorders>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18</w:t>
              </w:r>
            </w:hyperlink>
          </w:p>
        </w:tc>
        <w:tc>
          <w:tcPr>
            <w:tcW w:w="760" w:type="dxa"/>
            <w:vAlign w:val="bottom"/>
          </w:tcPr>
          <w:p>
            <w:pPr>
              <w:spacing w:after="0"/>
              <w:rPr>
                <w:sz w:val="24"/>
                <w:szCs w:val="24"/>
                <w:color w:val="auto"/>
              </w:rPr>
            </w:pPr>
          </w:p>
        </w:tc>
      </w:tr>
      <w:tr>
        <w:trPr>
          <w:trHeight w:val="284"/>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Report of the Audit Committee</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19</w:t>
              </w:r>
            </w:hyperlink>
          </w:p>
        </w:tc>
      </w:tr>
      <w:tr>
        <w:trPr>
          <w:trHeight w:val="520"/>
        </w:trPr>
        <w:tc>
          <w:tcPr>
            <w:tcW w:w="760" w:type="dxa"/>
            <w:vAlign w:val="bottom"/>
          </w:tcPr>
          <w:p>
            <w:pPr>
              <w:spacing w:after="0"/>
              <w:rPr>
                <w:sz w:val="24"/>
                <w:szCs w:val="24"/>
                <w:color w:val="auto"/>
              </w:rPr>
            </w:pPr>
          </w:p>
        </w:tc>
        <w:tc>
          <w:tcPr>
            <w:tcW w:w="8700" w:type="dxa"/>
            <w:vAlign w:val="bottom"/>
            <w:tcBorders>
              <w:bottom w:val="single" w:sz="8" w:color="auto"/>
            </w:tcBorders>
            <w:gridSpan w:val="3"/>
            <w:shd w:val="clear" w:color="auto" w:fill="CCEEFF"/>
          </w:tcPr>
          <w:p>
            <w:pPr>
              <w:spacing w:after="0"/>
              <w:rPr>
                <w:rFonts w:ascii="Arial" w:cs="Arial" w:eastAsia="Arial" w:hAnsi="Arial"/>
                <w:sz w:val="22"/>
                <w:szCs w:val="22"/>
                <w:b w:val="1"/>
                <w:bCs w:val="1"/>
                <w:u w:val="single" w:color="auto"/>
                <w:color w:val="3C5896"/>
              </w:rPr>
            </w:pPr>
            <w:hyperlink w:anchor="page23">
              <w:r>
                <w:rPr>
                  <w:rFonts w:ascii="Arial" w:cs="Arial" w:eastAsia="Arial" w:hAnsi="Arial"/>
                  <w:sz w:val="22"/>
                  <w:szCs w:val="22"/>
                  <w:b w:val="1"/>
                  <w:bCs w:val="1"/>
                  <w:u w:val="single" w:color="auto"/>
                  <w:color w:val="3C5896"/>
                </w:rPr>
                <w:t>Executive Compensation</w:t>
              </w:r>
            </w:hyperlink>
          </w:p>
        </w:tc>
        <w:tc>
          <w:tcPr>
            <w:tcW w:w="500" w:type="dxa"/>
            <w:vAlign w:val="bottom"/>
            <w:tcBorders>
              <w:bottom w:val="single" w:sz="8" w:color="auto"/>
            </w:tcBorders>
            <w:shd w:val="clear" w:color="auto" w:fill="CCEEFF"/>
          </w:tcPr>
          <w:p>
            <w:pPr>
              <w:jc w:val="right"/>
              <w:spacing w:after="0"/>
              <w:rPr>
                <w:rFonts w:ascii="Arial" w:cs="Arial" w:eastAsia="Arial" w:hAnsi="Arial"/>
                <w:sz w:val="18"/>
                <w:szCs w:val="18"/>
                <w:b w:val="1"/>
                <w:bCs w:val="1"/>
                <w:u w:val="single" w:color="auto"/>
                <w:color w:val="3C5896"/>
              </w:rPr>
            </w:pPr>
            <w:hyperlink w:anchor="page23">
              <w:r>
                <w:rPr>
                  <w:rFonts w:ascii="Arial" w:cs="Arial" w:eastAsia="Arial" w:hAnsi="Arial"/>
                  <w:sz w:val="18"/>
                  <w:szCs w:val="18"/>
                  <w:b w:val="1"/>
                  <w:bCs w:val="1"/>
                  <w:u w:val="single" w:color="auto"/>
                  <w:color w:val="3C5896"/>
                </w:rPr>
                <w:t>20</w:t>
              </w:r>
            </w:hyperlink>
          </w:p>
        </w:tc>
        <w:tc>
          <w:tcPr>
            <w:tcW w:w="760" w:type="dxa"/>
            <w:vAlign w:val="bottom"/>
          </w:tcPr>
          <w:p>
            <w:pPr>
              <w:spacing w:after="0"/>
              <w:rPr>
                <w:sz w:val="24"/>
                <w:szCs w:val="24"/>
                <w:color w:val="auto"/>
              </w:rPr>
            </w:pPr>
          </w:p>
        </w:tc>
      </w:tr>
      <w:tr>
        <w:trPr>
          <w:trHeight w:val="283"/>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b w:val="1"/>
                <w:bCs w:val="1"/>
                <w:u w:val="single" w:color="auto"/>
                <w:color w:val="3C5896"/>
              </w:rPr>
            </w:pPr>
            <w:hyperlink w:anchor="page23">
              <w:r>
                <w:rPr>
                  <w:rFonts w:ascii="Arial" w:cs="Arial" w:eastAsia="Arial" w:hAnsi="Arial"/>
                  <w:sz w:val="18"/>
                  <w:szCs w:val="18"/>
                  <w:b w:val="1"/>
                  <w:bCs w:val="1"/>
                  <w:u w:val="single" w:color="auto"/>
                  <w:color w:val="3C5896"/>
                </w:rPr>
                <w:t>Proposal No. 3—Non-Binding Vote on Executive Compensation</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20</w:t>
              </w:r>
            </w:hyperlink>
          </w:p>
        </w:tc>
      </w:tr>
      <w:tr>
        <w:trPr>
          <w:trHeight w:val="283"/>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Compensation Discussion and Analysis</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21</w:t>
              </w:r>
            </w:hyperlink>
          </w:p>
        </w:tc>
        <w:tc>
          <w:tcPr>
            <w:tcW w:w="760" w:type="dxa"/>
            <w:vAlign w:val="bottom"/>
          </w:tcPr>
          <w:p>
            <w:pPr>
              <w:spacing w:after="0"/>
              <w:rPr>
                <w:sz w:val="24"/>
                <w:szCs w:val="24"/>
                <w:color w:val="auto"/>
              </w:rPr>
            </w:pPr>
          </w:p>
        </w:tc>
      </w:tr>
      <w:tr>
        <w:trPr>
          <w:trHeight w:val="284"/>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Compensation Committee Report</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32</w:t>
              </w:r>
            </w:hyperlink>
          </w:p>
        </w:tc>
      </w:tr>
      <w:tr>
        <w:trPr>
          <w:trHeight w:val="284"/>
        </w:trPr>
        <w:tc>
          <w:tcPr>
            <w:tcW w:w="760" w:type="dxa"/>
            <w:vAlign w:val="bottom"/>
          </w:tcPr>
          <w:p>
            <w:pPr>
              <w:spacing w:after="0"/>
              <w:rPr>
                <w:sz w:val="24"/>
                <w:szCs w:val="24"/>
                <w:color w:val="auto"/>
              </w:rPr>
            </w:pPr>
          </w:p>
        </w:tc>
        <w:tc>
          <w:tcPr>
            <w:tcW w:w="8700" w:type="dxa"/>
            <w:vAlign w:val="bottom"/>
            <w:gridSpan w:val="3"/>
            <w:shd w:val="clear" w:color="auto" w:fill="CCEEFF"/>
          </w:tcPr>
          <w:p>
            <w:pPr>
              <w:ind w:left="3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Summary Compensation Table</w:t>
              </w:r>
            </w:hyperlink>
          </w:p>
        </w:tc>
        <w:tc>
          <w:tcPr>
            <w:tcW w:w="500" w:type="dxa"/>
            <w:vAlign w:val="bottom"/>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33</w:t>
              </w:r>
            </w:hyperlink>
          </w:p>
        </w:tc>
        <w:tc>
          <w:tcPr>
            <w:tcW w:w="760" w:type="dxa"/>
            <w:vAlign w:val="bottom"/>
          </w:tcPr>
          <w:p>
            <w:pPr>
              <w:spacing w:after="0"/>
              <w:rPr>
                <w:sz w:val="24"/>
                <w:szCs w:val="24"/>
                <w:color w:val="auto"/>
              </w:rPr>
            </w:pPr>
          </w:p>
        </w:tc>
      </w:tr>
      <w:tr>
        <w:trPr>
          <w:trHeight w:val="283"/>
        </w:trPr>
        <w:tc>
          <w:tcPr>
            <w:tcW w:w="760" w:type="dxa"/>
            <w:vAlign w:val="bottom"/>
          </w:tcPr>
          <w:p>
            <w:pPr>
              <w:spacing w:after="0"/>
              <w:rPr>
                <w:sz w:val="24"/>
                <w:szCs w:val="24"/>
                <w:color w:val="auto"/>
              </w:rPr>
            </w:pPr>
          </w:p>
        </w:tc>
        <w:tc>
          <w:tcPr>
            <w:tcW w:w="8700" w:type="dxa"/>
            <w:vAlign w:val="bottom"/>
            <w:gridSpan w:val="3"/>
          </w:tcPr>
          <w:p>
            <w:pPr>
              <w:ind w:left="3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Grants of Plan-Based Awards</w:t>
              </w:r>
            </w:hyperlink>
          </w:p>
        </w:tc>
        <w:tc>
          <w:tcPr>
            <w:tcW w:w="1260" w:type="dxa"/>
            <w:vAlign w:val="bottom"/>
            <w:gridSpan w:val="2"/>
          </w:tcPr>
          <w:p>
            <w:pPr>
              <w:jc w:val="right"/>
              <w:ind w:right="7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35</w:t>
              </w:r>
            </w:hyperlink>
          </w:p>
        </w:tc>
      </w:tr>
      <w:tr>
        <w:trPr>
          <w:trHeight w:val="696"/>
        </w:trPr>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340" w:type="dxa"/>
            <w:vAlign w:val="bottom"/>
            <w:gridSpan w:val="2"/>
          </w:tcPr>
          <w:p>
            <w:pPr>
              <w:ind w:left="4460"/>
              <w:spacing w:after="0"/>
              <w:rPr>
                <w:sz w:val="20"/>
                <w:szCs w:val="20"/>
                <w:color w:val="auto"/>
              </w:rPr>
            </w:pPr>
            <w:r>
              <w:rPr>
                <w:rFonts w:ascii="Arial" w:cs="Arial" w:eastAsia="Arial" w:hAnsi="Arial"/>
                <w:sz w:val="16"/>
                <w:szCs w:val="16"/>
                <w:color w:val="auto"/>
              </w:rPr>
              <w:t>2020 Proxy Statement</w:t>
            </w:r>
          </w:p>
        </w:tc>
        <w:tc>
          <w:tcPr>
            <w:tcW w:w="1260" w:type="dxa"/>
            <w:vAlign w:val="bottom"/>
            <w:gridSpan w:val="2"/>
          </w:tcPr>
          <w:p>
            <w:pPr>
              <w:ind w:left="460"/>
              <w:spacing w:after="0"/>
              <w:rPr>
                <w:sz w:val="20"/>
                <w:szCs w:val="20"/>
                <w:color w:val="auto"/>
              </w:rPr>
            </w:pPr>
            <w:r>
              <w:rPr>
                <w:rFonts w:ascii="Arial" w:cs="Arial" w:eastAsia="Arial" w:hAnsi="Arial"/>
                <w:sz w:val="16"/>
                <w:szCs w:val="16"/>
                <w:b w:val="1"/>
                <w:bCs w:val="1"/>
                <w:color w:val="auto"/>
              </w:rPr>
              <w:t>i</w:t>
            </w:r>
          </w:p>
        </w:tc>
      </w:tr>
      <w:tr>
        <w:trPr>
          <w:trHeight w:val="431"/>
        </w:trPr>
        <w:tc>
          <w:tcPr>
            <w:tcW w:w="7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-479425</wp:posOffset>
            </wp:positionV>
            <wp:extent cx="30035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7100" w:type="dxa"/>
            <w:vAlign w:val="bottom"/>
            <w:shd w:val="clear" w:color="auto" w:fill="CCEEFF"/>
          </w:tcPr>
          <w:p>
            <w:pPr>
              <w:ind w:left="3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Outstanding Equity Awards at Fiscal Year End</w:t>
              </w:r>
            </w:hyperlink>
          </w:p>
        </w:tc>
        <w:tc>
          <w:tcPr>
            <w:tcW w:w="2100" w:type="dxa"/>
            <w:vAlign w:val="bottom"/>
            <w:shd w:val="clear" w:color="auto" w:fill="CCEEFF"/>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36</w:t>
              </w:r>
            </w:hyperlink>
          </w:p>
        </w:tc>
      </w:tr>
      <w:tr>
        <w:trPr>
          <w:trHeight w:val="270"/>
        </w:trPr>
        <w:tc>
          <w:tcPr>
            <w:tcW w:w="7100" w:type="dxa"/>
            <w:vAlign w:val="bottom"/>
          </w:tcPr>
          <w:p>
            <w:pPr>
              <w:ind w:left="3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Option Exercises and Stock Vested</w:t>
              </w:r>
            </w:hyperlink>
          </w:p>
        </w:tc>
        <w:tc>
          <w:tcPr>
            <w:tcW w:w="210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37</w:t>
              </w:r>
            </w:hyperlink>
          </w:p>
        </w:tc>
      </w:tr>
      <w:tr>
        <w:trPr>
          <w:trHeight w:val="270"/>
        </w:trPr>
        <w:tc>
          <w:tcPr>
            <w:tcW w:w="7100" w:type="dxa"/>
            <w:vAlign w:val="bottom"/>
            <w:shd w:val="clear" w:color="auto" w:fill="CCEEFF"/>
          </w:tcPr>
          <w:p>
            <w:pPr>
              <w:ind w:left="3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Pension Benefits</w:t>
              </w:r>
            </w:hyperlink>
          </w:p>
        </w:tc>
        <w:tc>
          <w:tcPr>
            <w:tcW w:w="2100" w:type="dxa"/>
            <w:vAlign w:val="bottom"/>
            <w:shd w:val="clear" w:color="auto" w:fill="CCEEFF"/>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37</w:t>
              </w:r>
            </w:hyperlink>
          </w:p>
        </w:tc>
      </w:tr>
      <w:tr>
        <w:trPr>
          <w:trHeight w:val="270"/>
        </w:trPr>
        <w:tc>
          <w:tcPr>
            <w:tcW w:w="7100" w:type="dxa"/>
            <w:vAlign w:val="bottom"/>
          </w:tcPr>
          <w:p>
            <w:pPr>
              <w:ind w:left="3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Non-Qualified Deferred Compensation</w:t>
              </w:r>
            </w:hyperlink>
          </w:p>
        </w:tc>
        <w:tc>
          <w:tcPr>
            <w:tcW w:w="210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37</w:t>
              </w:r>
            </w:hyperlink>
          </w:p>
        </w:tc>
      </w:tr>
      <w:tr>
        <w:trPr>
          <w:trHeight w:val="270"/>
        </w:trPr>
        <w:tc>
          <w:tcPr>
            <w:tcW w:w="7100" w:type="dxa"/>
            <w:vAlign w:val="bottom"/>
            <w:shd w:val="clear" w:color="auto" w:fill="CCEEFF"/>
          </w:tcPr>
          <w:p>
            <w:pPr>
              <w:ind w:left="3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Potential Payments on Termination or Change in Control</w:t>
              </w:r>
            </w:hyperlink>
          </w:p>
        </w:tc>
        <w:tc>
          <w:tcPr>
            <w:tcW w:w="2100" w:type="dxa"/>
            <w:vAlign w:val="bottom"/>
            <w:shd w:val="clear" w:color="auto" w:fill="CCEEFF"/>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37</w:t>
              </w:r>
            </w:hyperlink>
          </w:p>
        </w:tc>
      </w:tr>
      <w:tr>
        <w:trPr>
          <w:trHeight w:val="270"/>
        </w:trPr>
        <w:tc>
          <w:tcPr>
            <w:tcW w:w="7100" w:type="dxa"/>
            <w:vAlign w:val="bottom"/>
          </w:tcPr>
          <w:p>
            <w:pPr>
              <w:ind w:left="3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Compensation Committee Interlocks and Insider Participation</w:t>
              </w:r>
            </w:hyperlink>
          </w:p>
        </w:tc>
        <w:tc>
          <w:tcPr>
            <w:tcW w:w="210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42</w:t>
              </w:r>
            </w:hyperlink>
          </w:p>
        </w:tc>
      </w:tr>
      <w:tr>
        <w:trPr>
          <w:trHeight w:val="270"/>
        </w:trPr>
        <w:tc>
          <w:tcPr>
            <w:tcW w:w="7100" w:type="dxa"/>
            <w:vAlign w:val="bottom"/>
            <w:shd w:val="clear" w:color="auto" w:fill="CCEEFF"/>
          </w:tcPr>
          <w:p>
            <w:pPr>
              <w:ind w:left="3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Equity Compensation Plan Information</w:t>
              </w:r>
            </w:hyperlink>
          </w:p>
        </w:tc>
        <w:tc>
          <w:tcPr>
            <w:tcW w:w="2100" w:type="dxa"/>
            <w:vAlign w:val="bottom"/>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42</w:t>
              </w:r>
            </w:hyperlink>
          </w:p>
        </w:tc>
      </w:tr>
      <w:tr>
        <w:trPr>
          <w:trHeight w:val="270"/>
        </w:trPr>
        <w:tc>
          <w:tcPr>
            <w:tcW w:w="7100" w:type="dxa"/>
            <w:vAlign w:val="bottom"/>
          </w:tcPr>
          <w:p>
            <w:pPr>
              <w:ind w:left="3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CEO Pay Ratio</w:t>
              </w:r>
            </w:hyperlink>
          </w:p>
        </w:tc>
        <w:tc>
          <w:tcPr>
            <w:tcW w:w="210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43</w:t>
              </w:r>
            </w:hyperlink>
          </w:p>
        </w:tc>
      </w:tr>
    </w:tbl>
    <w:p>
      <w:pPr>
        <w:spacing w:after="0" w:line="20" w:lineRule="exact"/>
        <w:rPr>
          <w:sz w:val="20"/>
          <w:szCs w:val="20"/>
          <w:color w:val="auto"/>
        </w:rPr>
      </w:pPr>
    </w:p>
    <w:tbl>
      <w:tblPr>
        <w:tblLayout w:type="fixed"/>
        <w:tblInd w:w="760" w:type="dxa"/>
        <w:tblCellMar>
          <w:top w:w="0" w:type="dxa"/>
          <w:left w:w="0" w:type="dxa"/>
          <w:bottom w:w="0" w:type="dxa"/>
          <w:right w:w="0" w:type="dxa"/>
        </w:tblCellMar>
      </w:tblPr>
      <w:tr>
        <w:trPr>
          <w:trHeight w:val="513"/>
        </w:trPr>
        <w:tc>
          <w:tcPr>
            <w:tcW w:w="7480" w:type="dxa"/>
            <w:vAlign w:val="bottom"/>
            <w:tcBorders>
              <w:bottom w:val="single" w:sz="8" w:color="auto"/>
            </w:tcBorders>
            <w:shd w:val="clear" w:color="auto" w:fill="CCEEFF"/>
          </w:tcPr>
          <w:p>
            <w:pPr>
              <w:spacing w:after="0"/>
              <w:rPr>
                <w:rFonts w:ascii="Arial" w:cs="Arial" w:eastAsia="Arial" w:hAnsi="Arial"/>
                <w:sz w:val="22"/>
                <w:szCs w:val="22"/>
                <w:b w:val="1"/>
                <w:bCs w:val="1"/>
                <w:u w:val="single" w:color="auto"/>
                <w:color w:val="3C5896"/>
              </w:rPr>
            </w:pPr>
            <w:hyperlink w:anchor="page47">
              <w:r>
                <w:rPr>
                  <w:rFonts w:ascii="Arial" w:cs="Arial" w:eastAsia="Arial" w:hAnsi="Arial"/>
                  <w:sz w:val="22"/>
                  <w:szCs w:val="22"/>
                  <w:b w:val="1"/>
                  <w:bCs w:val="1"/>
                  <w:u w:val="single" w:color="auto"/>
                  <w:color w:val="3C5896"/>
                </w:rPr>
                <w:t>Ownership of Our Securities</w:t>
              </w:r>
            </w:hyperlink>
          </w:p>
        </w:tc>
        <w:tc>
          <w:tcPr>
            <w:tcW w:w="1720" w:type="dxa"/>
            <w:vAlign w:val="bottom"/>
            <w:tcBorders>
              <w:bottom w:val="single" w:sz="8" w:color="auto"/>
            </w:tcBorders>
            <w:shd w:val="clear" w:color="auto" w:fill="CCEEFF"/>
          </w:tcPr>
          <w:p>
            <w:pPr>
              <w:jc w:val="right"/>
              <w:spacing w:after="0"/>
              <w:rPr>
                <w:rFonts w:ascii="Arial" w:cs="Arial" w:eastAsia="Arial" w:hAnsi="Arial"/>
                <w:sz w:val="18"/>
                <w:szCs w:val="18"/>
                <w:b w:val="1"/>
                <w:bCs w:val="1"/>
                <w:u w:val="single" w:color="auto"/>
                <w:color w:val="3C5896"/>
              </w:rPr>
            </w:pPr>
            <w:hyperlink w:anchor="page47">
              <w:r>
                <w:rPr>
                  <w:rFonts w:ascii="Arial" w:cs="Arial" w:eastAsia="Arial" w:hAnsi="Arial"/>
                  <w:sz w:val="18"/>
                  <w:szCs w:val="18"/>
                  <w:b w:val="1"/>
                  <w:bCs w:val="1"/>
                  <w:u w:val="single" w:color="auto"/>
                  <w:color w:val="3C5896"/>
                </w:rPr>
                <w:t>44</w:t>
              </w:r>
            </w:hyperlink>
          </w:p>
        </w:tc>
      </w:tr>
      <w:tr>
        <w:trPr>
          <w:trHeight w:val="270"/>
        </w:trPr>
        <w:tc>
          <w:tcPr>
            <w:tcW w:w="7480" w:type="dxa"/>
            <w:vAlign w:val="bottom"/>
          </w:tcPr>
          <w:p>
            <w:pPr>
              <w:ind w:left="3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Delinquent Section 16(a) Reports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44</w:t>
              </w:r>
            </w:hyperlink>
          </w:p>
        </w:tc>
      </w:tr>
      <w:tr>
        <w:trPr>
          <w:trHeight w:val="284"/>
        </w:trPr>
        <w:tc>
          <w:tcPr>
            <w:tcW w:w="7480" w:type="dxa"/>
            <w:vAlign w:val="bottom"/>
            <w:shd w:val="clear" w:color="auto" w:fill="CCEEFF"/>
          </w:tcPr>
          <w:p>
            <w:pPr>
              <w:ind w:left="3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Beneficial Ownership of National Vision Common Stock</w:t>
              </w:r>
            </w:hyperlink>
          </w:p>
        </w:tc>
        <w:tc>
          <w:tcPr>
            <w:tcW w:w="1720" w:type="dxa"/>
            <w:vAlign w:val="bottom"/>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44</w:t>
              </w:r>
            </w:hyperlink>
          </w:p>
        </w:tc>
      </w:tr>
      <w:tr>
        <w:trPr>
          <w:trHeight w:val="547"/>
        </w:trPr>
        <w:tc>
          <w:tcPr>
            <w:tcW w:w="7480" w:type="dxa"/>
            <w:vAlign w:val="bottom"/>
            <w:tcBorders>
              <w:bottom w:val="single" w:sz="8" w:color="auto"/>
            </w:tcBorders>
          </w:tcPr>
          <w:p>
            <w:pPr>
              <w:spacing w:after="0"/>
              <w:rPr>
                <w:rFonts w:ascii="Arial" w:cs="Arial" w:eastAsia="Arial" w:hAnsi="Arial"/>
                <w:sz w:val="22"/>
                <w:szCs w:val="22"/>
                <w:b w:val="1"/>
                <w:bCs w:val="1"/>
                <w:u w:val="single" w:color="auto"/>
                <w:color w:val="3C5896"/>
              </w:rPr>
            </w:pPr>
            <w:hyperlink w:anchor="page49">
              <w:r>
                <w:rPr>
                  <w:rFonts w:ascii="Arial" w:cs="Arial" w:eastAsia="Arial" w:hAnsi="Arial"/>
                  <w:sz w:val="22"/>
                  <w:szCs w:val="22"/>
                  <w:b w:val="1"/>
                  <w:bCs w:val="1"/>
                  <w:u w:val="single" w:color="auto"/>
                  <w:color w:val="3C5896"/>
                </w:rPr>
                <w:t>Important Information About Voting at the Annual Meeting</w:t>
              </w:r>
            </w:hyperlink>
          </w:p>
        </w:tc>
        <w:tc>
          <w:tcPr>
            <w:tcW w:w="1720" w:type="dxa"/>
            <w:vAlign w:val="bottom"/>
            <w:tcBorders>
              <w:bottom w:val="single" w:sz="8" w:color="auto"/>
            </w:tcBorders>
          </w:tcPr>
          <w:p>
            <w:pPr>
              <w:jc w:val="right"/>
              <w:spacing w:after="0"/>
              <w:rPr>
                <w:rFonts w:ascii="Arial" w:cs="Arial" w:eastAsia="Arial" w:hAnsi="Arial"/>
                <w:sz w:val="18"/>
                <w:szCs w:val="18"/>
                <w:b w:val="1"/>
                <w:bCs w:val="1"/>
                <w:u w:val="single" w:color="auto"/>
                <w:color w:val="3C5896"/>
              </w:rPr>
            </w:pPr>
            <w:hyperlink w:anchor="page49">
              <w:r>
                <w:rPr>
                  <w:rFonts w:ascii="Arial" w:cs="Arial" w:eastAsia="Arial" w:hAnsi="Arial"/>
                  <w:sz w:val="18"/>
                  <w:szCs w:val="18"/>
                  <w:b w:val="1"/>
                  <w:bCs w:val="1"/>
                  <w:u w:val="single" w:color="auto"/>
                  <w:color w:val="3C5896"/>
                </w:rPr>
                <w:t>46</w:t>
              </w:r>
            </w:hyperlink>
          </w:p>
        </w:tc>
      </w:tr>
      <w:tr>
        <w:trPr>
          <w:trHeight w:val="547"/>
        </w:trPr>
        <w:tc>
          <w:tcPr>
            <w:tcW w:w="7480" w:type="dxa"/>
            <w:vAlign w:val="bottom"/>
            <w:tcBorders>
              <w:bottom w:val="single" w:sz="8" w:color="auto"/>
            </w:tcBorders>
            <w:shd w:val="clear" w:color="auto" w:fill="CCEEFF"/>
          </w:tcPr>
          <w:p>
            <w:pPr>
              <w:spacing w:after="0"/>
              <w:rPr>
                <w:rFonts w:ascii="Arial" w:cs="Arial" w:eastAsia="Arial" w:hAnsi="Arial"/>
                <w:sz w:val="22"/>
                <w:szCs w:val="22"/>
                <w:b w:val="1"/>
                <w:bCs w:val="1"/>
                <w:u w:val="single" w:color="auto"/>
                <w:color w:val="3C5896"/>
              </w:rPr>
            </w:pPr>
            <w:hyperlink w:anchor="page50">
              <w:r>
                <w:rPr>
                  <w:rFonts w:ascii="Arial" w:cs="Arial" w:eastAsia="Arial" w:hAnsi="Arial"/>
                  <w:sz w:val="22"/>
                  <w:szCs w:val="22"/>
                  <w:b w:val="1"/>
                  <w:bCs w:val="1"/>
                  <w:u w:val="single" w:color="auto"/>
                  <w:color w:val="3C5896"/>
                </w:rPr>
                <w:t>Other Information for Stockholders</w:t>
              </w:r>
            </w:hyperlink>
          </w:p>
        </w:tc>
        <w:tc>
          <w:tcPr>
            <w:tcW w:w="1720" w:type="dxa"/>
            <w:vAlign w:val="bottom"/>
            <w:tcBorders>
              <w:bottom w:val="single" w:sz="8" w:color="auto"/>
            </w:tcBorders>
            <w:shd w:val="clear" w:color="auto" w:fill="CCEEFF"/>
          </w:tcPr>
          <w:p>
            <w:pPr>
              <w:jc w:val="right"/>
              <w:spacing w:after="0"/>
              <w:rPr>
                <w:rFonts w:ascii="Arial" w:cs="Arial" w:eastAsia="Arial" w:hAnsi="Arial"/>
                <w:sz w:val="18"/>
                <w:szCs w:val="18"/>
                <w:b w:val="1"/>
                <w:bCs w:val="1"/>
                <w:u w:val="single" w:color="auto"/>
                <w:color w:val="3C5896"/>
              </w:rPr>
            </w:pPr>
            <w:hyperlink w:anchor="page50">
              <w:r>
                <w:rPr>
                  <w:rFonts w:ascii="Arial" w:cs="Arial" w:eastAsia="Arial" w:hAnsi="Arial"/>
                  <w:sz w:val="18"/>
                  <w:szCs w:val="18"/>
                  <w:b w:val="1"/>
                  <w:bCs w:val="1"/>
                  <w:u w:val="single" w:color="auto"/>
                  <w:color w:val="3C5896"/>
                </w:rPr>
                <w:t>47</w:t>
              </w:r>
            </w:hyperlink>
          </w:p>
        </w:tc>
      </w:tr>
      <w:tr>
        <w:trPr>
          <w:trHeight w:val="283"/>
        </w:trPr>
        <w:tc>
          <w:tcPr>
            <w:tcW w:w="7480" w:type="dxa"/>
            <w:vAlign w:val="bottom"/>
          </w:tcPr>
          <w:p>
            <w:pPr>
              <w:ind w:left="3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Stockholder Proposals for the 2021 Annual Meeting</w:t>
              </w:r>
            </w:hyperlink>
          </w:p>
        </w:tc>
        <w:tc>
          <w:tcPr>
            <w:tcW w:w="172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47</w:t>
              </w:r>
            </w:hyperlink>
          </w:p>
        </w:tc>
      </w:tr>
      <w:tr>
        <w:trPr>
          <w:trHeight w:val="284"/>
        </w:trPr>
        <w:tc>
          <w:tcPr>
            <w:tcW w:w="7480" w:type="dxa"/>
            <w:vAlign w:val="bottom"/>
            <w:shd w:val="clear" w:color="auto" w:fill="CCEEFF"/>
          </w:tcPr>
          <w:p>
            <w:pPr>
              <w:ind w:left="3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Householding of Proxy Materials</w:t>
              </w:r>
            </w:hyperlink>
          </w:p>
        </w:tc>
        <w:tc>
          <w:tcPr>
            <w:tcW w:w="1720" w:type="dxa"/>
            <w:vAlign w:val="bottom"/>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47</w:t>
              </w:r>
            </w:hyperlink>
          </w:p>
        </w:tc>
      </w:tr>
      <w:tr>
        <w:trPr>
          <w:trHeight w:val="283"/>
        </w:trPr>
        <w:tc>
          <w:tcPr>
            <w:tcW w:w="7480" w:type="dxa"/>
            <w:vAlign w:val="bottom"/>
          </w:tcPr>
          <w:p>
            <w:pPr>
              <w:ind w:left="3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Other Business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47</w:t>
              </w:r>
            </w:hyperlink>
          </w:p>
        </w:tc>
      </w:tr>
      <w:tr>
        <w:trPr>
          <w:trHeight w:val="283"/>
        </w:trPr>
        <w:tc>
          <w:tcPr>
            <w:tcW w:w="7480" w:type="dxa"/>
            <w:vAlign w:val="bottom"/>
            <w:shd w:val="clear" w:color="auto" w:fill="CCEEFF"/>
          </w:tcPr>
          <w:p>
            <w:pPr>
              <w:ind w:left="3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About the Meeting and Voting</w:t>
              </w:r>
            </w:hyperlink>
          </w:p>
        </w:tc>
        <w:tc>
          <w:tcPr>
            <w:tcW w:w="1720" w:type="dxa"/>
            <w:vAlign w:val="bottom"/>
            <w:shd w:val="clear" w:color="auto" w:fill="CCEEFF"/>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48</w:t>
              </w:r>
            </w:hyperlink>
          </w:p>
        </w:tc>
      </w:tr>
      <w:tr>
        <w:trPr>
          <w:trHeight w:val="547"/>
        </w:trPr>
        <w:tc>
          <w:tcPr>
            <w:tcW w:w="7480" w:type="dxa"/>
            <w:vAlign w:val="bottom"/>
            <w:tcBorders>
              <w:bottom w:val="single" w:sz="8" w:color="auto"/>
            </w:tcBorders>
          </w:tcPr>
          <w:p>
            <w:pPr>
              <w:spacing w:after="0"/>
              <w:rPr>
                <w:rFonts w:ascii="Arial" w:cs="Arial" w:eastAsia="Arial" w:hAnsi="Arial"/>
                <w:sz w:val="22"/>
                <w:szCs w:val="22"/>
                <w:b w:val="1"/>
                <w:bCs w:val="1"/>
                <w:u w:val="single" w:color="auto"/>
                <w:color w:val="3C5896"/>
              </w:rPr>
            </w:pPr>
            <w:hyperlink w:anchor="page55">
              <w:r>
                <w:rPr>
                  <w:rFonts w:ascii="Arial" w:cs="Arial" w:eastAsia="Arial" w:hAnsi="Arial"/>
                  <w:sz w:val="22"/>
                  <w:szCs w:val="22"/>
                  <w:b w:val="1"/>
                  <w:bCs w:val="1"/>
                  <w:u w:val="single" w:color="auto"/>
                  <w:color w:val="3C5896"/>
                </w:rPr>
                <w:t>Appendix A</w:t>
              </w:r>
            </w:hyperlink>
          </w:p>
        </w:tc>
        <w:tc>
          <w:tcPr>
            <w:tcW w:w="1720" w:type="dxa"/>
            <w:vAlign w:val="bottom"/>
            <w:tcBorders>
              <w:bottom w:val="single" w:sz="8" w:color="auto"/>
            </w:tcBorders>
          </w:tcPr>
          <w:p>
            <w:pPr>
              <w:jc w:val="right"/>
              <w:spacing w:after="0"/>
              <w:rPr>
                <w:rFonts w:ascii="Arial" w:cs="Arial" w:eastAsia="Arial" w:hAnsi="Arial"/>
                <w:sz w:val="18"/>
                <w:szCs w:val="18"/>
                <w:b w:val="1"/>
                <w:bCs w:val="1"/>
                <w:u w:val="single" w:color="auto"/>
                <w:color w:val="3C5896"/>
              </w:rPr>
            </w:pPr>
            <w:hyperlink w:anchor="page55">
              <w:r>
                <w:rPr>
                  <w:rFonts w:ascii="Arial" w:cs="Arial" w:eastAsia="Arial" w:hAnsi="Arial"/>
                  <w:sz w:val="18"/>
                  <w:szCs w:val="18"/>
                  <w:b w:val="1"/>
                  <w:bCs w:val="1"/>
                  <w:u w:val="single" w:color="auto"/>
                  <w:color w:val="3C5896"/>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ii  </w:t>
      </w:r>
      <w:r>
        <w:rPr>
          <w:sz w:val="1"/>
          <w:szCs w:val="1"/>
          <w:color w:val="auto"/>
        </w:rPr>
        <w:drawing>
          <wp:inline distT="0" distB="0" distL="0" distR="0">
            <wp:extent cx="29972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477520</wp:posOffset>
            </wp:positionV>
            <wp:extent cx="814070" cy="62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40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Dear Stockholders:</w:t>
      </w:r>
    </w:p>
    <w:p>
      <w:pPr>
        <w:spacing w:after="0" w:line="225" w:lineRule="exact"/>
        <w:rPr>
          <w:sz w:val="20"/>
          <w:szCs w:val="20"/>
          <w:color w:val="auto"/>
        </w:rPr>
      </w:pPr>
    </w:p>
    <w:p>
      <w:pPr>
        <w:ind w:left="760" w:right="379"/>
        <w:spacing w:after="0" w:line="235" w:lineRule="auto"/>
        <w:rPr>
          <w:sz w:val="20"/>
          <w:szCs w:val="20"/>
          <w:color w:val="auto"/>
        </w:rPr>
      </w:pPr>
      <w:r>
        <w:rPr>
          <w:rFonts w:ascii="Arial" w:cs="Arial" w:eastAsia="Arial" w:hAnsi="Arial"/>
          <w:sz w:val="18"/>
          <w:szCs w:val="18"/>
          <w:color w:val="auto"/>
        </w:rPr>
        <w:t>We are pleased to invite you to attend the National Vision Holdings, Inc. 2020 Annual Meeting of Stockholders on Wednesday, June 10, 2020, at 1:00 p.m., Eastern Time.</w:t>
      </w:r>
    </w:p>
    <w:p>
      <w:pPr>
        <w:spacing w:after="0" w:line="81" w:lineRule="exact"/>
        <w:rPr>
          <w:sz w:val="20"/>
          <w:szCs w:val="20"/>
          <w:color w:val="auto"/>
        </w:rPr>
      </w:pPr>
    </w:p>
    <w:p>
      <w:pPr>
        <w:ind w:left="760" w:right="179"/>
        <w:spacing w:after="0" w:line="213" w:lineRule="auto"/>
        <w:rPr>
          <w:sz w:val="20"/>
          <w:szCs w:val="20"/>
          <w:color w:val="auto"/>
        </w:rPr>
      </w:pPr>
      <w:r>
        <w:rPr>
          <w:rFonts w:ascii="Arial" w:cs="Arial" w:eastAsia="Arial" w:hAnsi="Arial"/>
          <w:sz w:val="18"/>
          <w:szCs w:val="18"/>
          <w:color w:val="auto"/>
        </w:rPr>
        <w:t>2019 was another record year filled with a number of highlights at National Vision. We delivered double-digit growth in net revenue in 2019, as well as our 72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consecutive quarter of positive comparable store sales growth. We opened 75 stores in 2019, ending the year with 1,151 stores, and continued to gain share in the attractive optical retail market. The talent, passion and innovation of our optometrists and associates continue to inspire us as they work hard every day to make quality eye exams and eyewear more affordable to our patients and customers throughout the United States. Our financial performance also allows us to make key investments in our business, while also progressing our philanthropic activities focused on giving back to communities in the U.S. and around the world.</w:t>
      </w:r>
    </w:p>
    <w:p>
      <w:pPr>
        <w:spacing w:after="0" w:line="82" w:lineRule="exact"/>
        <w:rPr>
          <w:sz w:val="20"/>
          <w:szCs w:val="20"/>
          <w:color w:val="auto"/>
        </w:rPr>
      </w:pPr>
    </w:p>
    <w:p>
      <w:pPr>
        <w:ind w:left="760" w:right="279"/>
        <w:spacing w:after="0" w:line="224" w:lineRule="auto"/>
        <w:rPr>
          <w:sz w:val="20"/>
          <w:szCs w:val="20"/>
          <w:color w:val="auto"/>
        </w:rPr>
      </w:pPr>
      <w:r>
        <w:rPr>
          <w:rFonts w:ascii="Arial" w:cs="Arial" w:eastAsia="Arial" w:hAnsi="Arial"/>
          <w:sz w:val="18"/>
          <w:szCs w:val="18"/>
          <w:color w:val="auto"/>
        </w:rPr>
        <w:t>As we move further into 2020, we continue to closely monitor developments related to the coronavirus (COVID-19) pandemic. The safety and health of our customers, optometrists and employees remains our highest priority as we find ways to continue to deliver for our customers. Despite the uncertainty created by COVID-19 and the related volatility in the global economy, we remain focused on delivering value for you over the long term. We are also grateful to the heroic doctors, nurses, public servants and others who are on the frontlines of this unprecedented challenge.</w:t>
      </w:r>
    </w:p>
    <w:p>
      <w:pPr>
        <w:spacing w:after="0" w:line="83" w:lineRule="exact"/>
        <w:rPr>
          <w:sz w:val="20"/>
          <w:szCs w:val="20"/>
          <w:color w:val="auto"/>
        </w:rPr>
      </w:pPr>
    </w:p>
    <w:p>
      <w:pPr>
        <w:ind w:left="760" w:right="259"/>
        <w:spacing w:after="0" w:line="222" w:lineRule="auto"/>
        <w:rPr>
          <w:sz w:val="20"/>
          <w:szCs w:val="20"/>
          <w:color w:val="auto"/>
        </w:rPr>
      </w:pPr>
      <w:r>
        <w:rPr>
          <w:rFonts w:ascii="Arial" w:cs="Arial" w:eastAsia="Arial" w:hAnsi="Arial"/>
          <w:sz w:val="18"/>
          <w:szCs w:val="18"/>
          <w:color w:val="auto"/>
        </w:rPr>
        <w:t>Whether you own a few shares or many, and whether or not you plan to attend the Annual Meeting, your vote is important to us. We encourage you to review the proxy materials and submit your vote today. Detailed information concerning the Annual Meeting is set forth in the Notice of Internet Availability of Proxy Materials you received in the mail and in the attached Notice of Annual Meeting of Stockholders and Proxy Statement, which describe the business to be conducted at the meeting. Whether or not you plan to attend the Annual Meeting, it is important that your shares be represented and voted during the meeting. Instructions for voting your shares are set forth in the Proxy Statement as well as in the Notice of Internet Availability of Proxy Materials you received in the mail. The Notice of Internet Availability of Proxy Materials, the Proxy Statement, and the enclosed proxy card and annual report are first being sent to stockholders on or about April 24, 2020.</w:t>
      </w:r>
    </w:p>
    <w:p>
      <w:pPr>
        <w:spacing w:after="0" w:line="86" w:lineRule="exact"/>
        <w:rPr>
          <w:sz w:val="20"/>
          <w:szCs w:val="20"/>
          <w:color w:val="auto"/>
        </w:rPr>
      </w:pPr>
    </w:p>
    <w:p>
      <w:pPr>
        <w:ind w:left="760" w:right="199"/>
        <w:spacing w:after="0" w:line="221" w:lineRule="auto"/>
        <w:rPr>
          <w:sz w:val="20"/>
          <w:szCs w:val="20"/>
          <w:color w:val="auto"/>
        </w:rPr>
      </w:pPr>
      <w:r>
        <w:rPr>
          <w:rFonts w:ascii="Arial" w:cs="Arial" w:eastAsia="Arial" w:hAnsi="Arial"/>
          <w:sz w:val="18"/>
          <w:szCs w:val="18"/>
          <w:color w:val="auto"/>
        </w:rPr>
        <w:t xml:space="preserve">Although we presently intend to hold the Annual Meeting in person at National Vision’s headquarters, located at 2435 Commerce Avenue, Building 2200, Duluth, Georgia 30096, we are sensitive to the public health and travel concerns our stockholders may have and recommendations that public health officials may issue in light of the evolving situation regarding COVID-19. As a part of our precautions regarding COVID-19, we may impose additional procedures or limitations on meeting attendees (beyond those described in the Proxy Statement) and are also planning for the possibility that the Annual Meeting may be held solely by means of remote communication. If we take this step, we will announce the decision to do so in advance in a press release and SEC filing, and details on how to participate will be available at </w:t>
      </w:r>
      <w:r>
        <w:rPr>
          <w:rFonts w:ascii="Arial" w:cs="Arial" w:eastAsia="Arial" w:hAnsi="Arial"/>
          <w:sz w:val="18"/>
          <w:szCs w:val="18"/>
          <w:u w:val="single" w:color="auto"/>
          <w:color w:val="auto"/>
        </w:rPr>
        <w:t>www.nationalvision.com/investors</w:t>
      </w:r>
      <w:r>
        <w:rPr>
          <w:rFonts w:ascii="Arial" w:cs="Arial" w:eastAsia="Arial" w:hAnsi="Arial"/>
          <w:sz w:val="18"/>
          <w:szCs w:val="18"/>
          <w:color w:val="auto"/>
        </w:rPr>
        <w:t>. The Notice of Internet Availability of Proxy Materials, the proxy card and related materials would not be updated to reflect the change to a virtual meeting and you would need the control number provided to attend the virtual Annual Meeting. If we hold the Annual Meeting virtually, all shareholders will be afforded the same rights they would have had at a physical meeting. Please see the enclosed Notice of Annual Meeting of Stockholders for more details.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behalf of the Board of Directors and everyone at National Vision, we are grateful for your continued support.</w:t>
      </w:r>
    </w:p>
    <w:p>
      <w:pPr>
        <w:ind w:left="760"/>
        <w:spacing w:after="0"/>
        <w:rPr>
          <w:sz w:val="20"/>
          <w:szCs w:val="20"/>
          <w:color w:val="auto"/>
        </w:rPr>
      </w:pPr>
      <w:r>
        <w:rPr>
          <w:rFonts w:ascii="Arial" w:cs="Arial" w:eastAsia="Arial" w:hAnsi="Arial"/>
          <w:sz w:val="18"/>
          <w:szCs w:val="18"/>
          <w:color w:val="auto"/>
        </w:rPr>
        <w:t>Thank you for being a stockholder of National Vision Holdings, Inc.</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74930</wp:posOffset>
            </wp:positionV>
            <wp:extent cx="92583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5830" cy="31686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74930</wp:posOffset>
            </wp:positionV>
            <wp:extent cx="1551305"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7180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Nathaniel H. Taylor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499"/>
        <w:spacing w:after="0"/>
        <w:rPr>
          <w:sz w:val="20"/>
          <w:szCs w:val="20"/>
          <w:color w:val="auto"/>
        </w:rPr>
      </w:pPr>
      <w:r>
        <w:rPr>
          <w:rFonts w:ascii="Arial" w:cs="Arial" w:eastAsia="Arial" w:hAnsi="Arial"/>
          <w:sz w:val="17"/>
          <w:szCs w:val="17"/>
          <w:color w:val="auto"/>
        </w:rPr>
        <w:t>L. Reade Fahs</w:t>
      </w:r>
    </w:p>
    <w:p>
      <w:pPr>
        <w:spacing w:after="0" w:line="2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760"/>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24, 2020</w:t>
      </w:r>
    </w:p>
    <w:p>
      <w:pPr>
        <w:sectPr>
          <w:pgSz w:w="11900" w:h="16838" w:orient="portrait"/>
          <w:cols w:equalWidth="0" w:num="1">
            <w:col w:w="10139"/>
          </w:cols>
          <w:pgMar w:left="320" w:top="132" w:right="1440" w:bottom="1440" w:gutter="0" w:footer="0" w:header="0"/>
          <w:type w:val="continuous"/>
        </w:sectPr>
      </w:pPr>
    </w:p>
    <w:p>
      <w:pPr>
        <w:spacing w:after="0" w:line="192"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311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355" cy="231140"/>
                    </a:xfrm>
                    <a:prstGeom prst="rect">
                      <a:avLst/>
                    </a:prstGeom>
                    <a:noFill/>
                    <a:ln>
                      <a:noFill/>
                    </a:ln>
                  </pic:spPr>
                </pic:pic>
              </a:graphicData>
            </a:graphic>
          </wp:inline>
        </w:drawing>
      </w:r>
      <w:r>
        <w:rPr>
          <w:rFonts w:ascii="Arial" w:cs="Arial" w:eastAsia="Arial" w:hAnsi="Arial"/>
          <w:sz w:val="16"/>
          <w:szCs w:val="16"/>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NOTICE OF ANNUAL MEETING OF STOCKHOLDERS</w:t>
      </w:r>
    </w:p>
    <w:p>
      <w:pPr>
        <w:sectPr>
          <w:pgSz w:w="11900" w:h="16838" w:orient="portrait"/>
          <w:cols w:equalWidth="0" w:num="1">
            <w:col w:w="10139"/>
          </w:cols>
          <w:pgMar w:left="320" w:top="131" w:right="1440" w:bottom="1440" w:gutter="0" w:footer="0" w:header="0"/>
        </w:sect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DATE &amp; TIME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1:00 p.m., Eastern Time, on Wednesday, June 10, 2020</w:t>
      </w:r>
    </w:p>
    <w:p>
      <w:pPr>
        <w:spacing w:after="0" w:line="26" w:lineRule="exact"/>
        <w:rPr>
          <w:sz w:val="20"/>
          <w:szCs w:val="20"/>
          <w:color w:val="auto"/>
        </w:rPr>
      </w:pPr>
    </w:p>
    <w:p>
      <w:pPr>
        <w:sectPr>
          <w:pgSz w:w="11900" w:h="16838" w:orient="portrait"/>
          <w:cols w:equalWidth="0" w:num="2">
            <w:col w:w="2280" w:space="720"/>
            <w:col w:w="7139"/>
          </w:cols>
          <w:pgMar w:left="320" w:top="131" w:right="1440" w:bottom="1440" w:gutter="0" w:footer="0" w:header="0"/>
          <w:type w:val="continuous"/>
        </w:sectPr>
      </w:pPr>
    </w:p>
    <w:p>
      <w:pPr>
        <w:ind w:left="760"/>
        <w:spacing w:after="0"/>
        <w:rPr>
          <w:sz w:val="20"/>
          <w:szCs w:val="20"/>
          <w:color w:val="auto"/>
        </w:rPr>
      </w:pPr>
      <w:r>
        <w:rPr>
          <w:rFonts w:ascii="Arial" w:cs="Arial" w:eastAsia="Arial" w:hAnsi="Arial"/>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National Vision’s Headquarters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w:t>
      </w:r>
    </w:p>
    <w:p>
      <w:pPr>
        <w:spacing w:after="0" w:line="234" w:lineRule="auto"/>
        <w:rPr>
          <w:sz w:val="20"/>
          <w:szCs w:val="20"/>
          <w:color w:val="auto"/>
        </w:rPr>
      </w:pPr>
      <w:r>
        <w:rPr>
          <w:rFonts w:ascii="Arial" w:cs="Arial" w:eastAsia="Arial" w:hAnsi="Arial"/>
          <w:sz w:val="18"/>
          <w:szCs w:val="18"/>
          <w:color w:val="auto"/>
        </w:rPr>
        <w:t>Building 2200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w:t>
      </w:r>
    </w:p>
    <w:p>
      <w:pPr>
        <w:spacing w:after="0" w:line="50" w:lineRule="exact"/>
        <w:rPr>
          <w:sz w:val="20"/>
          <w:szCs w:val="20"/>
          <w:color w:val="auto"/>
        </w:rPr>
      </w:pPr>
    </w:p>
    <w:p>
      <w:pPr>
        <w:sectPr>
          <w:pgSz w:w="11900" w:h="16838" w:orient="portrait"/>
          <w:cols w:equalWidth="0" w:num="2">
            <w:col w:w="2280" w:space="720"/>
            <w:col w:w="7139"/>
          </w:cols>
          <w:pgMar w:left="320" w:top="131" w:right="1440" w:bottom="1440" w:gutter="0" w:footer="0" w:header="0"/>
          <w:type w:val="continuous"/>
        </w:sectPr>
      </w:pPr>
    </w:p>
    <w:p>
      <w:pPr>
        <w:jc w:val="both"/>
        <w:ind w:left="3000" w:right="179"/>
        <w:spacing w:after="0" w:line="248" w:lineRule="auto"/>
        <w:rPr>
          <w:sz w:val="20"/>
          <w:szCs w:val="20"/>
          <w:color w:val="auto"/>
        </w:rPr>
      </w:pPr>
      <w:r>
        <w:rPr>
          <w:rFonts w:ascii="Arial" w:cs="Arial" w:eastAsia="Arial" w:hAnsi="Arial"/>
          <w:sz w:val="17"/>
          <w:szCs w:val="17"/>
          <w:color w:val="auto"/>
        </w:rPr>
        <w:t>Although we presently intend to hold the Annual Meeting in person, we are sensitive to the public health and travel concerns our stockholders may have and recommendations that public health officials may issue in light of the evolving situation regarding COVID-</w:t>
      </w:r>
    </w:p>
    <w:p>
      <w:pPr>
        <w:spacing w:after="0" w:line="2" w:lineRule="exact"/>
        <w:rPr>
          <w:sz w:val="20"/>
          <w:szCs w:val="20"/>
          <w:color w:val="auto"/>
        </w:rPr>
      </w:pPr>
    </w:p>
    <w:p>
      <w:pPr>
        <w:ind w:left="3000" w:right="339" w:hanging="9"/>
        <w:spacing w:after="0" w:line="248" w:lineRule="auto"/>
        <w:tabs>
          <w:tab w:leader="none" w:pos="3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As a part of our precautions regarding COVID-19, we may impose additional procedures or limitations on meeting attendees (beyond those described in the Proxy Statement) and are also planning for the possibility that the Annual Meeting may be held solely by means of remote communication. If we take this step, we will announce the decision to do so in advance in a press release, and details on how to participate will be available at </w:t>
      </w:r>
      <w:r>
        <w:rPr>
          <w:rFonts w:ascii="Arial" w:cs="Arial" w:eastAsia="Arial" w:hAnsi="Arial"/>
          <w:sz w:val="17"/>
          <w:szCs w:val="17"/>
          <w:u w:val="single" w:color="auto"/>
          <w:color w:val="auto"/>
        </w:rPr>
        <w:t>www.nationalvision.com/investors</w:t>
      </w:r>
      <w:r>
        <w:rPr>
          <w:rFonts w:ascii="Arial" w:cs="Arial" w:eastAsia="Arial" w:hAnsi="Arial"/>
          <w:sz w:val="17"/>
          <w:szCs w:val="17"/>
          <w:color w:val="auto"/>
        </w:rPr>
        <w:t xml:space="preserve">. Your Notice of Internet Availability of Proxy Materials, proxy card and related materials would not be updated to reflect the change to a virtual meeting and you would need the control number provided to attend the virtual Annual Meeting. If we hold the Annual Meeting virtually, all shareholders will be afforded the same rights they would have had a physical meeting. </w:t>
      </w:r>
      <w:r>
        <w:rPr>
          <w:rFonts w:ascii="Arial" w:cs="Arial" w:eastAsia="Arial" w:hAnsi="Arial"/>
          <w:sz w:val="17"/>
          <w:szCs w:val="17"/>
          <w:b w:val="1"/>
          <w:bCs w:val="1"/>
          <w:color w:val="auto"/>
        </w:rPr>
        <w:t>Thus, it is very important that you retain your Notice of Internet</w:t>
      </w:r>
    </w:p>
    <w:p>
      <w:pPr>
        <w:spacing w:after="0" w:line="5" w:lineRule="exact"/>
        <w:rPr>
          <w:rFonts w:ascii="Arial" w:cs="Arial" w:eastAsia="Arial" w:hAnsi="Arial"/>
          <w:sz w:val="17"/>
          <w:szCs w:val="17"/>
          <w:color w:val="auto"/>
        </w:rPr>
      </w:pPr>
    </w:p>
    <w:p>
      <w:pPr>
        <w:ind w:left="3000" w:right="399"/>
        <w:spacing w:after="0" w:line="246" w:lineRule="auto"/>
        <w:rPr>
          <w:rFonts w:ascii="Arial" w:cs="Arial" w:eastAsia="Arial" w:hAnsi="Arial"/>
          <w:sz w:val="17"/>
          <w:szCs w:val="17"/>
          <w:color w:val="auto"/>
        </w:rPr>
      </w:pPr>
      <w:r>
        <w:rPr>
          <w:rFonts w:ascii="Arial" w:cs="Arial" w:eastAsia="Arial" w:hAnsi="Arial"/>
          <w:sz w:val="18"/>
          <w:szCs w:val="18"/>
          <w:b w:val="1"/>
          <w:bCs w:val="1"/>
          <w:color w:val="auto"/>
        </w:rPr>
        <w:t>Availability of Proxy Materials, proxy card and related materials, including your control number, through the date of the Annual Meeting</w:t>
      </w:r>
      <w:r>
        <w:rPr>
          <w:rFonts w:ascii="Arial" w:cs="Arial" w:eastAsia="Arial" w:hAnsi="Arial"/>
          <w:sz w:val="18"/>
          <w:szCs w:val="18"/>
          <w:color w:val="auto"/>
        </w:rPr>
        <w:t>.</w:t>
      </w:r>
    </w:p>
    <w:p>
      <w:pPr>
        <w:spacing w:after="0" w:line="26" w:lineRule="exact"/>
        <w:rPr>
          <w:sz w:val="20"/>
          <w:szCs w:val="20"/>
          <w:color w:val="auto"/>
        </w:rPr>
      </w:pPr>
    </w:p>
    <w:tbl>
      <w:tblPr>
        <w:tblLayout w:type="fixed"/>
        <w:tblInd w:w="76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460" w:type="dxa"/>
            <w:vAlign w:val="bottom"/>
          </w:tcPr>
          <w:p>
            <w:pPr>
              <w:ind w:left="220"/>
              <w:spacing w:after="0"/>
              <w:rPr>
                <w:sz w:val="20"/>
                <w:szCs w:val="20"/>
                <w:color w:val="auto"/>
              </w:rPr>
            </w:pPr>
            <w:r>
              <w:rPr>
                <w:rFonts w:ascii="Arial" w:cs="Arial" w:eastAsia="Arial" w:hAnsi="Arial"/>
                <w:sz w:val="18"/>
                <w:szCs w:val="18"/>
                <w:color w:val="auto"/>
              </w:rPr>
              <w:t>1.</w:t>
            </w:r>
          </w:p>
        </w:tc>
        <w:tc>
          <w:tcPr>
            <w:tcW w:w="6660" w:type="dxa"/>
            <w:vAlign w:val="bottom"/>
          </w:tcPr>
          <w:p>
            <w:pPr>
              <w:ind w:left="120"/>
              <w:spacing w:after="0"/>
              <w:rPr>
                <w:sz w:val="20"/>
                <w:szCs w:val="20"/>
                <w:color w:val="auto"/>
              </w:rPr>
            </w:pPr>
            <w:r>
              <w:rPr>
                <w:rFonts w:ascii="Arial" w:cs="Arial" w:eastAsia="Arial" w:hAnsi="Arial"/>
                <w:sz w:val="18"/>
                <w:szCs w:val="18"/>
                <w:color w:val="auto"/>
              </w:rPr>
              <w:t>To elect the Class III director nominees listed in the Proxy Statement.</w:t>
            </w:r>
          </w:p>
        </w:tc>
      </w:tr>
      <w:tr>
        <w:trPr>
          <w:trHeight w:val="242"/>
        </w:trPr>
        <w:tc>
          <w:tcPr>
            <w:tcW w:w="202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2.</w:t>
            </w:r>
          </w:p>
        </w:tc>
        <w:tc>
          <w:tcPr>
            <w:tcW w:w="6660" w:type="dxa"/>
            <w:vAlign w:val="bottom"/>
          </w:tcPr>
          <w:p>
            <w:pPr>
              <w:ind w:left="120"/>
              <w:spacing w:after="0"/>
              <w:rPr>
                <w:sz w:val="20"/>
                <w:szCs w:val="20"/>
                <w:color w:val="auto"/>
              </w:rPr>
            </w:pPr>
            <w:r>
              <w:rPr>
                <w:rFonts w:ascii="Arial" w:cs="Arial" w:eastAsia="Arial" w:hAnsi="Arial"/>
                <w:sz w:val="18"/>
                <w:szCs w:val="18"/>
                <w:color w:val="auto"/>
              </w:rPr>
              <w:t>To ratify the appointment of Deloitte &amp; Touche LLP as our independent registered</w:t>
            </w:r>
          </w:p>
        </w:tc>
      </w:tr>
      <w:tr>
        <w:trPr>
          <w:trHeight w:val="217"/>
        </w:trPr>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public accounting firm for fiscal 2020.</w:t>
            </w:r>
          </w:p>
        </w:tc>
      </w:tr>
      <w:tr>
        <w:trPr>
          <w:trHeight w:val="242"/>
        </w:trPr>
        <w:tc>
          <w:tcPr>
            <w:tcW w:w="202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3.</w:t>
            </w:r>
          </w:p>
        </w:tc>
        <w:tc>
          <w:tcPr>
            <w:tcW w:w="6660" w:type="dxa"/>
            <w:vAlign w:val="bottom"/>
          </w:tcPr>
          <w:p>
            <w:pPr>
              <w:ind w:left="120"/>
              <w:spacing w:after="0"/>
              <w:rPr>
                <w:sz w:val="20"/>
                <w:szCs w:val="20"/>
                <w:color w:val="auto"/>
              </w:rPr>
            </w:pPr>
            <w:r>
              <w:rPr>
                <w:rFonts w:ascii="Arial" w:cs="Arial" w:eastAsia="Arial" w:hAnsi="Arial"/>
                <w:sz w:val="18"/>
                <w:szCs w:val="18"/>
                <w:color w:val="auto"/>
              </w:rPr>
              <w:t>To approve, in a non-binding advisory vote, the compensation paid to the named</w:t>
            </w:r>
          </w:p>
        </w:tc>
      </w:tr>
      <w:tr>
        <w:trPr>
          <w:trHeight w:val="217"/>
        </w:trPr>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executive officers.</w:t>
            </w:r>
          </w:p>
        </w:tc>
      </w:tr>
      <w:tr>
        <w:trPr>
          <w:trHeight w:val="242"/>
        </w:trPr>
        <w:tc>
          <w:tcPr>
            <w:tcW w:w="202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4.</w:t>
            </w:r>
          </w:p>
        </w:tc>
        <w:tc>
          <w:tcPr>
            <w:tcW w:w="6660" w:type="dxa"/>
            <w:vAlign w:val="bottom"/>
          </w:tcPr>
          <w:p>
            <w:pPr>
              <w:ind w:left="120"/>
              <w:spacing w:after="0"/>
              <w:rPr>
                <w:sz w:val="20"/>
                <w:szCs w:val="20"/>
                <w:color w:val="auto"/>
              </w:rPr>
            </w:pPr>
            <w:r>
              <w:rPr>
                <w:rFonts w:ascii="Arial" w:cs="Arial" w:eastAsia="Arial" w:hAnsi="Arial"/>
                <w:sz w:val="18"/>
                <w:szCs w:val="18"/>
                <w:color w:val="auto"/>
                <w:w w:val="99"/>
              </w:rPr>
              <w:t>To consider such other business as may properly come before the Annual Meeting</w:t>
            </w:r>
          </w:p>
        </w:tc>
      </w:tr>
      <w:tr>
        <w:trPr>
          <w:trHeight w:val="217"/>
        </w:trPr>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and any adjournments or postponements thereof.</w:t>
            </w:r>
          </w:p>
        </w:tc>
      </w:tr>
      <w:tr>
        <w:trPr>
          <w:trHeight w:val="242"/>
        </w:trPr>
        <w:tc>
          <w:tcPr>
            <w:tcW w:w="20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rPr>
              <w:t>You may vote at the Annual Meeting if you were a stockholder of record at the close of</w:t>
            </w:r>
          </w:p>
        </w:tc>
      </w:tr>
      <w:tr>
        <w:trPr>
          <w:trHeight w:val="217"/>
        </w:trPr>
        <w:tc>
          <w:tcPr>
            <w:tcW w:w="2020" w:type="dxa"/>
            <w:vAlign w:val="bottom"/>
          </w:tcPr>
          <w:p>
            <w:pPr>
              <w:spacing w:after="0"/>
              <w:rPr>
                <w:sz w:val="18"/>
                <w:szCs w:val="18"/>
                <w:color w:val="auto"/>
              </w:rPr>
            </w:pP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rPr>
              <w:t>business on April 15, 2020.</w:t>
            </w:r>
          </w:p>
        </w:tc>
      </w:tr>
      <w:tr>
        <w:trPr>
          <w:trHeight w:val="242"/>
        </w:trPr>
        <w:tc>
          <w:tcPr>
            <w:tcW w:w="202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rPr>
              <w:t>You may vote your shares on the Internet, by telephone or by completing, signing and</w:t>
            </w:r>
          </w:p>
        </w:tc>
      </w:tr>
      <w:tr>
        <w:trPr>
          <w:trHeight w:val="203"/>
        </w:trPr>
        <w:tc>
          <w:tcPr>
            <w:tcW w:w="2020" w:type="dxa"/>
            <w:vAlign w:val="bottom"/>
          </w:tcPr>
          <w:p>
            <w:pPr>
              <w:spacing w:after="0"/>
              <w:rPr>
                <w:sz w:val="17"/>
                <w:szCs w:val="17"/>
                <w:color w:val="auto"/>
              </w:rPr>
            </w:pPr>
          </w:p>
        </w:tc>
        <w:tc>
          <w:tcPr>
            <w:tcW w:w="7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promptly returning a proxy card or you may vote in person at the Annual Meeting.</w:t>
            </w:r>
          </w:p>
        </w:tc>
      </w:tr>
      <w:tr>
        <w:trPr>
          <w:trHeight w:val="203"/>
        </w:trPr>
        <w:tc>
          <w:tcPr>
            <w:tcW w:w="2020" w:type="dxa"/>
            <w:vAlign w:val="bottom"/>
          </w:tcPr>
          <w:p>
            <w:pPr>
              <w:spacing w:after="0"/>
              <w:rPr>
                <w:sz w:val="17"/>
                <w:szCs w:val="17"/>
                <w:color w:val="auto"/>
              </w:rPr>
            </w:pPr>
          </w:p>
        </w:tc>
        <w:tc>
          <w:tcPr>
            <w:tcW w:w="7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Voting online, by telephone or by returning your proxy card does not deprive you of</w:t>
            </w:r>
          </w:p>
        </w:tc>
      </w:tr>
      <w:tr>
        <w:trPr>
          <w:trHeight w:val="203"/>
        </w:trPr>
        <w:tc>
          <w:tcPr>
            <w:tcW w:w="2020" w:type="dxa"/>
            <w:vAlign w:val="bottom"/>
          </w:tcPr>
          <w:p>
            <w:pPr>
              <w:spacing w:after="0"/>
              <w:rPr>
                <w:sz w:val="17"/>
                <w:szCs w:val="17"/>
                <w:color w:val="auto"/>
              </w:rPr>
            </w:pPr>
          </w:p>
        </w:tc>
        <w:tc>
          <w:tcPr>
            <w:tcW w:w="7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your right to attend the Annual Meeting. If you do attend the Annual Meeting and wish</w:t>
            </w:r>
          </w:p>
        </w:tc>
      </w:tr>
      <w:tr>
        <w:trPr>
          <w:trHeight w:val="203"/>
        </w:trPr>
        <w:tc>
          <w:tcPr>
            <w:tcW w:w="2020" w:type="dxa"/>
            <w:vAlign w:val="bottom"/>
          </w:tcPr>
          <w:p>
            <w:pPr>
              <w:spacing w:after="0"/>
              <w:rPr>
                <w:sz w:val="17"/>
                <w:szCs w:val="17"/>
                <w:color w:val="auto"/>
              </w:rPr>
            </w:pPr>
          </w:p>
        </w:tc>
        <w:tc>
          <w:tcPr>
            <w:tcW w:w="7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to vote your shares personally, you may do so and such vote will supersede any prior</w:t>
            </w:r>
          </w:p>
        </w:tc>
      </w:tr>
      <w:tr>
        <w:trPr>
          <w:trHeight w:val="203"/>
        </w:trPr>
        <w:tc>
          <w:tcPr>
            <w:tcW w:w="2020" w:type="dxa"/>
            <w:vAlign w:val="bottom"/>
          </w:tcPr>
          <w:p>
            <w:pPr>
              <w:spacing w:after="0"/>
              <w:rPr>
                <w:sz w:val="17"/>
                <w:szCs w:val="17"/>
                <w:color w:val="auto"/>
              </w:rPr>
            </w:pPr>
          </w:p>
        </w:tc>
        <w:tc>
          <w:tcPr>
            <w:tcW w:w="7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vote recorded. Voting procedures are described on the following page and on the</w:t>
            </w:r>
          </w:p>
        </w:tc>
      </w:tr>
      <w:tr>
        <w:trPr>
          <w:trHeight w:val="217"/>
        </w:trPr>
        <w:tc>
          <w:tcPr>
            <w:tcW w:w="2020" w:type="dxa"/>
            <w:vAlign w:val="bottom"/>
          </w:tcPr>
          <w:p>
            <w:pPr>
              <w:spacing w:after="0"/>
              <w:rPr>
                <w:sz w:val="18"/>
                <w:szCs w:val="18"/>
                <w:color w:val="auto"/>
              </w:rPr>
            </w:pP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rPr>
              <w:t>Notice of Internet Availability of Proxy Materials and the proxy card.</w:t>
            </w:r>
          </w:p>
        </w:tc>
      </w:tr>
    </w:tbl>
    <w:p>
      <w:pPr>
        <w:spacing w:after="0" w:line="24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100330</wp:posOffset>
            </wp:positionV>
            <wp:extent cx="1440180" cy="625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Jared Brandman</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143510</wp:posOffset>
            </wp:positionV>
            <wp:extent cx="5837555" cy="480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7555" cy="480060"/>
                    </a:xfrm>
                    <a:prstGeom prst="rect">
                      <a:avLst/>
                    </a:prstGeom>
                    <a:noFill/>
                  </pic:spPr>
                </pic:pic>
              </a:graphicData>
            </a:graphic>
          </wp:anchor>
        </w:drawing>
      </w:r>
    </w:p>
    <w:p>
      <w:pPr>
        <w:spacing w:after="0" w:line="265" w:lineRule="exact"/>
        <w:rPr>
          <w:sz w:val="20"/>
          <w:szCs w:val="20"/>
          <w:color w:val="auto"/>
        </w:rPr>
      </w:pPr>
    </w:p>
    <w:p>
      <w:pPr>
        <w:jc w:val="center"/>
        <w:ind w:left="760" w:right="179"/>
        <w:spacing w:after="0" w:line="265" w:lineRule="auto"/>
        <w:rPr>
          <w:sz w:val="20"/>
          <w:szCs w:val="20"/>
          <w:color w:val="auto"/>
        </w:rPr>
      </w:pPr>
      <w:r>
        <w:rPr>
          <w:rFonts w:ascii="Arial" w:cs="Arial" w:eastAsia="Arial" w:hAnsi="Arial"/>
          <w:sz w:val="15"/>
          <w:szCs w:val="15"/>
          <w:b w:val="1"/>
          <w:bCs w:val="1"/>
          <w:i w:val="1"/>
          <w:iCs w:val="1"/>
          <w:color w:val="auto"/>
        </w:rPr>
        <w:t xml:space="preserve">Important Notice Regarding the Availability of Proxy Materials for the Stockholder Meeting to Be Held on Wednesday, June 10, 2020: This Proxy Statement and our Annual Report are available free of charge at </w:t>
      </w:r>
      <w:r>
        <w:rPr>
          <w:rFonts w:ascii="Arial" w:cs="Arial" w:eastAsia="Arial" w:hAnsi="Arial"/>
          <w:sz w:val="15"/>
          <w:szCs w:val="15"/>
          <w:b w:val="1"/>
          <w:bCs w:val="1"/>
          <w:i w:val="1"/>
          <w:iCs w:val="1"/>
          <w:u w:val="single" w:color="auto"/>
          <w:color w:val="auto"/>
        </w:rPr>
        <w:t>www.edocumentview.com/EYE</w:t>
      </w:r>
      <w:r>
        <w:rPr>
          <w:rFonts w:ascii="Arial" w:cs="Arial" w:eastAsia="Arial" w:hAnsi="Arial"/>
          <w:sz w:val="15"/>
          <w:szCs w:val="15"/>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  </w:t>
      </w:r>
      <w:r>
        <w:rPr>
          <w:sz w:val="1"/>
          <w:szCs w:val="1"/>
          <w:color w:val="auto"/>
        </w:rPr>
        <w:drawing>
          <wp:inline distT="0" distB="0" distL="0" distR="0">
            <wp:extent cx="299720" cy="2400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 SUMMARY</w:t>
      </w:r>
    </w:p>
    <w:p>
      <w:pPr>
        <w:spacing w:after="0" w:line="140" w:lineRule="exact"/>
        <w:rPr>
          <w:sz w:val="20"/>
          <w:szCs w:val="20"/>
          <w:color w:val="auto"/>
        </w:rPr>
      </w:pPr>
    </w:p>
    <w:p>
      <w:pPr>
        <w:ind w:left="760" w:right="279"/>
        <w:spacing w:after="0" w:line="271" w:lineRule="auto"/>
        <w:rPr>
          <w:sz w:val="20"/>
          <w:szCs w:val="20"/>
          <w:color w:val="auto"/>
        </w:rPr>
      </w:pPr>
      <w:r>
        <w:rPr>
          <w:rFonts w:ascii="Arial" w:cs="Arial" w:eastAsia="Arial" w:hAnsi="Arial"/>
          <w:sz w:val="17"/>
          <w:szCs w:val="17"/>
          <w:color w:val="auto"/>
        </w:rPr>
        <w:t>We are providing this proxy statement to you in connection with the solicitation of proxies by the Board of Directors (the “Board of Directors” or the “Board”) of National Vision Holdings, Inc. (the “Company”) for the 2020 Annual Meeting of Stockholders (the “Annual Meeting”) and for any adjournment or postponement of the Annual Meeting. This summary highlights information contained elsewhere in this proxy statement. This summary does not contain all the information you should consider, and you should read the entire proxy statement carefully before voting.</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151765</wp:posOffset>
            </wp:positionV>
            <wp:extent cx="5837555" cy="763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7555" cy="76327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7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FFFFFF"/>
        </w:rPr>
        <w:t>Date &amp; Time</w:t>
      </w:r>
    </w:p>
    <w:p>
      <w:pPr>
        <w:spacing w:after="0" w:line="58"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June 10, 2020</w:t>
      </w:r>
    </w:p>
    <w:p>
      <w:pPr>
        <w:spacing w:after="0" w:line="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1:00 p.m., Eastern Time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Location*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Vision’s Headquarters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Building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Duluth, Georgia 30096</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Record Date</w:t>
      </w:r>
    </w:p>
    <w:p>
      <w:pPr>
        <w:spacing w:after="0" w:line="58" w:lineRule="exact"/>
        <w:rPr>
          <w:sz w:val="20"/>
          <w:szCs w:val="20"/>
          <w:color w:val="auto"/>
        </w:rPr>
      </w:pPr>
    </w:p>
    <w:p>
      <w:pPr>
        <w:jc w:val="center"/>
        <w:ind w:right="279"/>
        <w:spacing w:after="0" w:line="256" w:lineRule="auto"/>
        <w:rPr>
          <w:sz w:val="20"/>
          <w:szCs w:val="20"/>
          <w:color w:val="auto"/>
        </w:rPr>
      </w:pPr>
      <w:r>
        <w:rPr>
          <w:rFonts w:ascii="Arial" w:cs="Arial" w:eastAsia="Arial" w:hAnsi="Arial"/>
          <w:sz w:val="18"/>
          <w:szCs w:val="18"/>
          <w:color w:val="auto"/>
        </w:rPr>
        <w:t>Record holders as of April 15, 2020 are entitled to notice of, and to vote at, the Annual Meeting</w:t>
      </w:r>
    </w:p>
    <w:p>
      <w:pPr>
        <w:spacing w:after="0" w:line="315" w:lineRule="exact"/>
        <w:rPr>
          <w:sz w:val="20"/>
          <w:szCs w:val="20"/>
          <w:color w:val="auto"/>
        </w:rPr>
      </w:pPr>
    </w:p>
    <w:p>
      <w:pPr>
        <w:sectPr>
          <w:pgSz w:w="11900" w:h="16838" w:orient="portrait"/>
          <w:cols w:equalWidth="0" w:num="3">
            <w:col w:w="3400" w:space="720"/>
            <w:col w:w="2480" w:space="440"/>
            <w:col w:w="3099"/>
          </w:cols>
          <w:pgMar w:left="320" w:top="131" w:right="1440" w:bottom="1440" w:gutter="0" w:footer="0" w:header="0"/>
          <w:type w:val="continuous"/>
        </w:sectPr>
      </w:pPr>
    </w:p>
    <w:p>
      <w:pPr>
        <w:ind w:left="940" w:right="199" w:hanging="176"/>
        <w:spacing w:after="0" w:line="258" w:lineRule="auto"/>
        <w:tabs>
          <w:tab w:leader="none" w:pos="9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disclosure earlier in the Notice of Annual Meeting regarding any potential change in location, procedures or the possibility that the Annual Meeting may be held solely by remote communications due to precautions regarding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68580</wp:posOffset>
            </wp:positionV>
            <wp:extent cx="583755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7555" cy="394335"/>
                    </a:xfrm>
                    <a:prstGeom prst="rect">
                      <a:avLst/>
                    </a:prstGeom>
                    <a:noFill/>
                  </pic:spPr>
                </pic:pic>
              </a:graphicData>
            </a:graphic>
          </wp:anchor>
        </w:drawing>
      </w:r>
    </w:p>
    <w:p>
      <w:pPr>
        <w:spacing w:after="0" w:line="146" w:lineRule="exact"/>
        <w:rPr>
          <w:sz w:val="20"/>
          <w:szCs w:val="20"/>
          <w:color w:val="auto"/>
        </w:rPr>
      </w:pPr>
    </w:p>
    <w:p>
      <w:pPr>
        <w:ind w:left="880" w:right="359"/>
        <w:spacing w:after="0" w:line="287" w:lineRule="auto"/>
        <w:rPr>
          <w:sz w:val="20"/>
          <w:szCs w:val="20"/>
          <w:color w:val="auto"/>
        </w:rPr>
      </w:pPr>
      <w:r>
        <w:rPr>
          <w:rFonts w:ascii="Arial" w:cs="Arial" w:eastAsia="Arial" w:hAnsi="Arial"/>
          <w:sz w:val="18"/>
          <w:szCs w:val="18"/>
          <w:b w:val="1"/>
          <w:bCs w:val="1"/>
          <w:color w:val="auto"/>
        </w:rPr>
        <w:t>On or about April 24, 2020, we started mailing the Notice of Internet Availability of Proxy Materials to our stockholders.</w: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194310</wp:posOffset>
            </wp:positionV>
            <wp:extent cx="5837555" cy="779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7555" cy="77978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Company Proposals</w:t>
      </w:r>
    </w:p>
    <w:p>
      <w:pPr>
        <w:spacing w:after="0" w:line="7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Proposal 1: Elect Class III Directors of the Company</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Proposal 2: Ratification of Deloitte &amp; Touche LLP as Our Independent Auditor for 2020</w:t>
      </w:r>
    </w:p>
    <w:p>
      <w:pPr>
        <w:spacing w:after="0" w:line="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Proposal 3: Advisory Vote to Approve Our Executive Compensation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Board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Recommendation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EACH NOMINEE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t>
      </w:r>
    </w:p>
    <w:p>
      <w:pPr>
        <w:spacing w:after="0" w:line="222" w:lineRule="exact"/>
        <w:rPr>
          <w:sz w:val="20"/>
          <w:szCs w:val="20"/>
          <w:color w:val="auto"/>
        </w:rPr>
      </w:pPr>
    </w:p>
    <w:p>
      <w:pPr>
        <w:sectPr>
          <w:pgSz w:w="11900" w:h="16838" w:orient="portrait"/>
          <w:cols w:equalWidth="0" w:num="2">
            <w:col w:w="7660" w:space="400"/>
            <w:col w:w="2079"/>
          </w:cols>
          <w:pgMar w:left="320" w:top="131" w:right="1440" w:bottom="1440" w:gutter="0" w:footer="0" w:header="0"/>
          <w:type w:val="continuous"/>
        </w:sectPr>
      </w:pPr>
    </w:p>
    <w:p>
      <w:pPr>
        <w:spacing w:after="0" w:line="1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85" w:lineRule="exact"/>
        <w:rPr>
          <w:sz w:val="20"/>
          <w:szCs w:val="20"/>
          <w:color w:val="auto"/>
        </w:rPr>
      </w:pPr>
    </w:p>
    <w:p>
      <w:pPr>
        <w:jc w:val="both"/>
        <w:ind w:left="760" w:right="459"/>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If at the close of business on April 15, 2020, you were a stockholder of record or held shares through a broker or bank, you may vote your shares by proxy at the Annual Meeting. You may vote your shares over the Internet, by telephone or by mail, or you may vote in person at the Annual Meeting. See full instructions under the Important Information About Voting At the Annual Meeting section of this proxy statement on page </w:t>
      </w:r>
      <w:hyperlink w:anchor="page49">
        <w:r>
          <w:rPr>
            <w:rFonts w:ascii="Arial" w:cs="Arial" w:eastAsia="Arial" w:hAnsi="Arial"/>
            <w:sz w:val="18"/>
            <w:szCs w:val="18"/>
            <w:u w:val="single" w:color="auto"/>
            <w:color w:val="0000EE"/>
          </w:rPr>
          <w:t>46</w:t>
        </w:r>
      </w:hyperlink>
      <w:r>
        <w:rPr>
          <w:rFonts w:ascii="Arial" w:cs="Arial" w:eastAsia="Arial" w:hAnsi="Arial"/>
          <w:sz w:val="18"/>
          <w:szCs w:val="18"/>
          <w:color w:val="auto"/>
        </w:rPr>
        <w:t>.</w:t>
      </w:r>
    </w:p>
    <w:p>
      <w:pPr>
        <w:spacing w:after="0" w:line="75" w:lineRule="exact"/>
        <w:rPr>
          <w:sz w:val="20"/>
          <w:szCs w:val="20"/>
          <w:color w:val="auto"/>
        </w:rPr>
      </w:pPr>
    </w:p>
    <w:p>
      <w:pPr>
        <w:jc w:val="both"/>
        <w:ind w:left="760" w:right="219"/>
        <w:spacing w:after="0" w:line="253" w:lineRule="auto"/>
        <w:rPr>
          <w:sz w:val="20"/>
          <w:szCs w:val="20"/>
          <w:color w:val="auto"/>
        </w:rPr>
      </w:pPr>
      <w:r>
        <w:rPr>
          <w:rFonts w:ascii="Arial" w:cs="Arial" w:eastAsia="Arial" w:hAnsi="Arial"/>
          <w:sz w:val="18"/>
          <w:szCs w:val="18"/>
          <w:b w:val="1"/>
          <w:bCs w:val="1"/>
          <w:color w:val="auto"/>
        </w:rPr>
        <w:t>If you are a stockholder of record, your vote must be received by 11:59 p.m., Eastern Time, on June 9, 2020 to be counted. If you hold shares through a broker, bank or other nominee, please refer to information from your bank, broker or nominee for voting instructions.</w:t>
      </w:r>
    </w:p>
    <w:p>
      <w:pPr>
        <w:spacing w:after="0" w:line="26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CORPORATE GOVERNANCE AND 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p>
      <w:pPr>
        <w:spacing w:after="0" w:line="283" w:lineRule="exact"/>
        <w:rPr>
          <w:sz w:val="20"/>
          <w:szCs w:val="20"/>
          <w:color w:val="auto"/>
        </w:rPr>
      </w:pPr>
    </w:p>
    <w:p>
      <w:pPr>
        <w:ind w:left="940" w:hanging="176"/>
        <w:spacing w:after="0"/>
        <w:tabs>
          <w:tab w:leader="none" w:pos="940" w:val="left"/>
        </w:tabs>
        <w:numPr>
          <w:ilvl w:val="0"/>
          <w:numId w:val="6"/>
        </w:numPr>
        <w:rPr>
          <w:rFonts w:ascii="MS PGothic" w:cs="MS PGothic" w:eastAsia="MS PGothic" w:hAnsi="MS PGothic"/>
          <w:sz w:val="17"/>
          <w:szCs w:val="17"/>
          <w:color w:val="auto"/>
        </w:rPr>
      </w:pPr>
      <w:r>
        <w:rPr>
          <w:rFonts w:ascii="Arial" w:cs="Arial" w:eastAsia="Arial" w:hAnsi="Arial"/>
          <w:sz w:val="17"/>
          <w:szCs w:val="17"/>
          <w:b w:val="1"/>
          <w:bCs w:val="1"/>
          <w:color w:val="auto"/>
        </w:rPr>
        <w:t>Independent, non-executive Chair of the Board</w:t>
      </w:r>
    </w:p>
    <w:p>
      <w:pPr>
        <w:spacing w:after="0" w:line="101" w:lineRule="exact"/>
        <w:rPr>
          <w:rFonts w:ascii="MS PGothic" w:cs="MS PGothic" w:eastAsia="MS PGothic" w:hAnsi="MS PGothic"/>
          <w:sz w:val="17"/>
          <w:szCs w:val="17"/>
          <w:color w:val="auto"/>
        </w:rPr>
      </w:pPr>
    </w:p>
    <w:p>
      <w:pPr>
        <w:ind w:left="940" w:hanging="176"/>
        <w:spacing w:after="0"/>
        <w:tabs>
          <w:tab w:leader="none" w:pos="940" w:val="left"/>
        </w:tabs>
        <w:numPr>
          <w:ilvl w:val="0"/>
          <w:numId w:val="6"/>
        </w:numPr>
        <w:rPr>
          <w:rFonts w:ascii="MS PGothic" w:cs="MS PGothic" w:eastAsia="MS PGothic" w:hAnsi="MS PGothic"/>
          <w:sz w:val="17"/>
          <w:szCs w:val="17"/>
          <w:color w:val="auto"/>
        </w:rPr>
      </w:pPr>
      <w:r>
        <w:rPr>
          <w:rFonts w:ascii="Arial" w:cs="Arial" w:eastAsia="Arial" w:hAnsi="Arial"/>
          <w:sz w:val="17"/>
          <w:szCs w:val="17"/>
          <w:b w:val="1"/>
          <w:bCs w:val="1"/>
          <w:color w:val="auto"/>
        </w:rPr>
        <w:t>All independent directors, excluding our CEO</w:t>
      </w:r>
    </w:p>
    <w:p>
      <w:pPr>
        <w:spacing w:after="0" w:line="101" w:lineRule="exact"/>
        <w:rPr>
          <w:rFonts w:ascii="MS PGothic" w:cs="MS PGothic" w:eastAsia="MS PGothic" w:hAnsi="MS PGothic"/>
          <w:sz w:val="17"/>
          <w:szCs w:val="17"/>
          <w:color w:val="auto"/>
        </w:rPr>
      </w:pPr>
    </w:p>
    <w:p>
      <w:pPr>
        <w:ind w:left="940" w:hanging="176"/>
        <w:spacing w:after="0"/>
        <w:tabs>
          <w:tab w:leader="none" w:pos="940" w:val="left"/>
        </w:tabs>
        <w:numPr>
          <w:ilvl w:val="0"/>
          <w:numId w:val="6"/>
        </w:numPr>
        <w:rPr>
          <w:rFonts w:ascii="MS PGothic" w:cs="MS PGothic" w:eastAsia="MS PGothic" w:hAnsi="MS PGothic"/>
          <w:sz w:val="17"/>
          <w:szCs w:val="17"/>
          <w:color w:val="auto"/>
        </w:rPr>
      </w:pPr>
      <w:r>
        <w:rPr>
          <w:rFonts w:ascii="Arial" w:cs="Arial" w:eastAsia="Arial" w:hAnsi="Arial"/>
          <w:sz w:val="17"/>
          <w:szCs w:val="17"/>
          <w:b w:val="1"/>
          <w:bCs w:val="1"/>
          <w:color w:val="auto"/>
        </w:rPr>
        <w:t>100% independent Board committees</w:t>
      </w:r>
    </w:p>
    <w:p>
      <w:pPr>
        <w:spacing w:after="0" w:line="115" w:lineRule="exact"/>
        <w:rPr>
          <w:rFonts w:ascii="MS PGothic" w:cs="MS PGothic" w:eastAsia="MS PGothic" w:hAnsi="MS PGothic"/>
          <w:sz w:val="17"/>
          <w:szCs w:val="17"/>
          <w:color w:val="auto"/>
        </w:rPr>
      </w:pPr>
    </w:p>
    <w:p>
      <w:pPr>
        <w:ind w:left="940" w:hanging="176"/>
        <w:spacing w:after="0"/>
        <w:tabs>
          <w:tab w:leader="none" w:pos="940" w:val="left"/>
        </w:tabs>
        <w:numPr>
          <w:ilvl w:val="0"/>
          <w:numId w:val="6"/>
        </w:numPr>
        <w:rPr>
          <w:rFonts w:ascii="MS PGothic" w:cs="MS PGothic" w:eastAsia="MS PGothic" w:hAnsi="MS PGothic"/>
          <w:sz w:val="17"/>
          <w:szCs w:val="17"/>
          <w:color w:val="auto"/>
        </w:rPr>
      </w:pPr>
      <w:r>
        <w:rPr>
          <w:rFonts w:ascii="Arial" w:cs="Arial" w:eastAsia="Arial" w:hAnsi="Arial"/>
          <w:sz w:val="17"/>
          <w:szCs w:val="17"/>
          <w:b w:val="1"/>
          <w:bCs w:val="1"/>
          <w:color w:val="auto"/>
        </w:rPr>
        <w:t>4 new independent directors since 2014</w:t>
      </w:r>
    </w:p>
    <w:p>
      <w:pPr>
        <w:spacing w:after="0" w:line="101" w:lineRule="exact"/>
        <w:rPr>
          <w:rFonts w:ascii="MS PGothic" w:cs="MS PGothic" w:eastAsia="MS PGothic" w:hAnsi="MS PGothic"/>
          <w:sz w:val="17"/>
          <w:szCs w:val="17"/>
          <w:color w:val="auto"/>
        </w:rPr>
      </w:pPr>
    </w:p>
    <w:p>
      <w:pPr>
        <w:ind w:left="940" w:hanging="176"/>
        <w:spacing w:after="0"/>
        <w:tabs>
          <w:tab w:leader="none" w:pos="940" w:val="left"/>
        </w:tabs>
        <w:numPr>
          <w:ilvl w:val="0"/>
          <w:numId w:val="6"/>
        </w:numPr>
        <w:rPr>
          <w:rFonts w:ascii="MS PGothic" w:cs="MS PGothic" w:eastAsia="MS PGothic" w:hAnsi="MS PGothic"/>
          <w:sz w:val="17"/>
          <w:szCs w:val="17"/>
          <w:color w:val="auto"/>
        </w:rPr>
      </w:pPr>
      <w:r>
        <w:rPr>
          <w:rFonts w:ascii="Arial" w:cs="Arial" w:eastAsia="Arial" w:hAnsi="Arial"/>
          <w:sz w:val="17"/>
          <w:szCs w:val="17"/>
          <w:b w:val="1"/>
          <w:bCs w:val="1"/>
          <w:color w:val="auto"/>
        </w:rPr>
        <w:t>5 experienced current and former CEOs/CFOs</w:t>
      </w:r>
    </w:p>
    <w:p>
      <w:pPr>
        <w:spacing w:after="0" w:line="101" w:lineRule="exact"/>
        <w:rPr>
          <w:rFonts w:ascii="MS PGothic" w:cs="MS PGothic" w:eastAsia="MS PGothic" w:hAnsi="MS PGothic"/>
          <w:sz w:val="17"/>
          <w:szCs w:val="17"/>
          <w:color w:val="auto"/>
        </w:rPr>
      </w:pPr>
    </w:p>
    <w:p>
      <w:pPr>
        <w:ind w:left="940" w:hanging="176"/>
        <w:spacing w:after="0"/>
        <w:tabs>
          <w:tab w:leader="none" w:pos="940" w:val="left"/>
        </w:tabs>
        <w:numPr>
          <w:ilvl w:val="0"/>
          <w:numId w:val="6"/>
        </w:numPr>
        <w:rPr>
          <w:rFonts w:ascii="MS PGothic" w:cs="MS PGothic" w:eastAsia="MS PGothic" w:hAnsi="MS PGothic"/>
          <w:sz w:val="17"/>
          <w:szCs w:val="17"/>
          <w:color w:val="auto"/>
        </w:rPr>
      </w:pPr>
      <w:r>
        <w:rPr>
          <w:rFonts w:ascii="Arial" w:cs="Arial" w:eastAsia="Arial" w:hAnsi="Arial"/>
          <w:sz w:val="17"/>
          <w:szCs w:val="17"/>
          <w:b w:val="1"/>
          <w:bCs w:val="1"/>
          <w:color w:val="auto"/>
        </w:rPr>
        <w:t>2 women directors</w:t>
      </w:r>
    </w:p>
    <w:p>
      <w:pPr>
        <w:spacing w:after="0" w:line="115" w:lineRule="exact"/>
        <w:rPr>
          <w:rFonts w:ascii="MS PGothic" w:cs="MS PGothic" w:eastAsia="MS PGothic" w:hAnsi="MS PGothic"/>
          <w:sz w:val="17"/>
          <w:szCs w:val="17"/>
          <w:color w:val="auto"/>
        </w:rPr>
      </w:pPr>
    </w:p>
    <w:p>
      <w:pPr>
        <w:ind w:left="940" w:right="380" w:hanging="176"/>
        <w:spacing w:after="0" w:line="285" w:lineRule="auto"/>
        <w:tabs>
          <w:tab w:leader="none" w:pos="940" w:val="left"/>
        </w:tabs>
        <w:numPr>
          <w:ilvl w:val="0"/>
          <w:numId w:val="6"/>
        </w:numPr>
        <w:rPr>
          <w:rFonts w:ascii="MS PGothic" w:cs="MS PGothic" w:eastAsia="MS PGothic" w:hAnsi="MS PGothic"/>
          <w:sz w:val="17"/>
          <w:szCs w:val="17"/>
          <w:color w:val="auto"/>
        </w:rPr>
      </w:pPr>
      <w:r>
        <w:rPr>
          <w:rFonts w:ascii="Arial" w:cs="Arial" w:eastAsia="Arial" w:hAnsi="Arial"/>
          <w:sz w:val="17"/>
          <w:szCs w:val="17"/>
          <w:b w:val="1"/>
          <w:bCs w:val="1"/>
          <w:color w:val="auto"/>
        </w:rPr>
        <w:t>Regular Board executive sessions without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-1402080</wp:posOffset>
            </wp:positionV>
            <wp:extent cx="64135" cy="6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-1213485</wp:posOffset>
            </wp:positionV>
            <wp:extent cx="64135" cy="65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-1024890</wp:posOffset>
            </wp:positionV>
            <wp:extent cx="64135" cy="65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-828040</wp:posOffset>
            </wp:positionV>
            <wp:extent cx="64135" cy="65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-639445</wp:posOffset>
            </wp:positionV>
            <wp:extent cx="64135" cy="65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-450850</wp:posOffset>
            </wp:positionV>
            <wp:extent cx="64135" cy="6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-253365</wp:posOffset>
            </wp:positionV>
            <wp:extent cx="64135" cy="65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35" cy="65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78" w:right="439" w:hanging="178"/>
        <w:spacing w:after="0" w:line="285" w:lineRule="auto"/>
        <w:tabs>
          <w:tab w:leader="none" w:pos="178"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color w:val="auto"/>
        </w:rPr>
        <w:t>Robust director and executive stock ownership guidelines</w:t>
      </w:r>
    </w:p>
    <w:p>
      <w:pPr>
        <w:spacing w:after="0" w:line="35" w:lineRule="exact"/>
        <w:rPr>
          <w:rFonts w:ascii="MS PGothic" w:cs="MS PGothic" w:eastAsia="MS PGothic" w:hAnsi="MS PGothic"/>
          <w:sz w:val="17"/>
          <w:szCs w:val="17"/>
          <w:color w:val="auto"/>
        </w:rPr>
      </w:pPr>
    </w:p>
    <w:p>
      <w:pPr>
        <w:ind w:left="178" w:hanging="178"/>
        <w:spacing w:after="0"/>
        <w:tabs>
          <w:tab w:leader="none" w:pos="178"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color w:val="auto"/>
        </w:rPr>
        <w:t>Anti-hedging policy</w:t>
      </w:r>
    </w:p>
    <w:p>
      <w:pPr>
        <w:spacing w:after="0" w:line="101" w:lineRule="exact"/>
        <w:rPr>
          <w:rFonts w:ascii="MS PGothic" w:cs="MS PGothic" w:eastAsia="MS PGothic" w:hAnsi="MS PGothic"/>
          <w:sz w:val="17"/>
          <w:szCs w:val="17"/>
          <w:color w:val="auto"/>
        </w:rPr>
      </w:pPr>
    </w:p>
    <w:p>
      <w:pPr>
        <w:ind w:left="178" w:hanging="178"/>
        <w:spacing w:after="0"/>
        <w:tabs>
          <w:tab w:leader="none" w:pos="178"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color w:val="auto"/>
        </w:rPr>
        <w:t>Established shareholder engagement program</w:t>
      </w:r>
    </w:p>
    <w:p>
      <w:pPr>
        <w:spacing w:after="0" w:line="115" w:lineRule="exact"/>
        <w:rPr>
          <w:rFonts w:ascii="MS PGothic" w:cs="MS PGothic" w:eastAsia="MS PGothic" w:hAnsi="MS PGothic"/>
          <w:sz w:val="17"/>
          <w:szCs w:val="17"/>
          <w:color w:val="auto"/>
        </w:rPr>
      </w:pPr>
    </w:p>
    <w:p>
      <w:pPr>
        <w:ind w:left="178" w:right="919" w:hanging="178"/>
        <w:spacing w:after="0" w:line="285" w:lineRule="auto"/>
        <w:tabs>
          <w:tab w:leader="none" w:pos="178"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color w:val="auto"/>
        </w:rPr>
        <w:t>Formal disclosure committee for financial reporting purposes</w:t>
      </w:r>
    </w:p>
    <w:p>
      <w:pPr>
        <w:spacing w:after="0" w:line="35" w:lineRule="exact"/>
        <w:rPr>
          <w:rFonts w:ascii="MS PGothic" w:cs="MS PGothic" w:eastAsia="MS PGothic" w:hAnsi="MS PGothic"/>
          <w:sz w:val="17"/>
          <w:szCs w:val="17"/>
          <w:color w:val="auto"/>
        </w:rPr>
      </w:pPr>
    </w:p>
    <w:p>
      <w:pPr>
        <w:ind w:left="178" w:hanging="178"/>
        <w:spacing w:after="0"/>
        <w:tabs>
          <w:tab w:leader="none" w:pos="178"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color w:val="auto"/>
        </w:rPr>
        <w:t>Annual Board and Committee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-1102995</wp:posOffset>
            </wp:positionV>
            <wp:extent cx="64135" cy="65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-785495</wp:posOffset>
            </wp:positionV>
            <wp:extent cx="64135" cy="6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-596900</wp:posOffset>
            </wp:positionV>
            <wp:extent cx="64135" cy="65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-400050</wp:posOffset>
            </wp:positionV>
            <wp:extent cx="64135" cy="6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-82550</wp:posOffset>
            </wp:positionV>
            <wp:extent cx="64135" cy="65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35" cy="65405"/>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4940" w:space="522"/>
            <w:col w:w="4677"/>
          </w:cols>
          <w:pgMar w:left="320" w:top="131" w:right="1440" w:bottom="1440" w:gutter="0" w:footer="0" w:header="0"/>
          <w:type w:val="continuous"/>
        </w:sectPr>
      </w:pPr>
    </w:p>
    <w:p>
      <w:pPr>
        <w:ind w:left="7520"/>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15" w:lineRule="exact"/>
        <w:rPr>
          <w:sz w:val="20"/>
          <w:szCs w:val="20"/>
          <w:color w:val="auto"/>
        </w:rPr>
      </w:pPr>
    </w:p>
    <w:p>
      <w:pPr>
        <w:jc w:val="right"/>
        <w:ind w:right="5519"/>
        <w:spacing w:after="0"/>
        <w:rPr>
          <w:sz w:val="20"/>
          <w:szCs w:val="20"/>
          <w:color w:val="auto"/>
        </w:rPr>
      </w:pPr>
      <w:r>
        <w:rPr>
          <w:rFonts w:ascii="Arial" w:cs="Arial" w:eastAsia="Arial" w:hAnsi="Arial"/>
          <w:sz w:val="22"/>
          <w:szCs w:val="22"/>
          <w:b w:val="1"/>
          <w:bCs w:val="1"/>
          <w:color w:val="3C5896"/>
        </w:rPr>
        <w:t>CURRENT NATIONAL VISION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2811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7555" cy="281178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FFFFFF"/>
        </w:rPr>
        <w:t>Directors</w:t>
      </w:r>
    </w:p>
    <w:p>
      <w:pPr>
        <w:spacing w:after="0" w:line="6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 Reade Fahs*</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Nathaniel Taylor**</w:t>
      </w:r>
    </w:p>
    <w:p>
      <w:pPr>
        <w:spacing w:after="0" w:line="200" w:lineRule="exact"/>
        <w:rPr>
          <w:sz w:val="20"/>
          <w:szCs w:val="20"/>
          <w:color w:val="auto"/>
        </w:rPr>
      </w:pPr>
    </w:p>
    <w:p>
      <w:pPr>
        <w:spacing w:after="0" w:line="2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Heather Cianfrocco</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Virginia Hepner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 Randolph Peeler</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Thomas V. Taylor, Jr.</w:t>
      </w:r>
    </w:p>
    <w:p>
      <w:pPr>
        <w:spacing w:after="0" w:line="200" w:lineRule="exact"/>
        <w:rPr>
          <w:sz w:val="20"/>
          <w:szCs w:val="20"/>
          <w:color w:val="auto"/>
        </w:rPr>
      </w:pPr>
    </w:p>
    <w:p>
      <w:pPr>
        <w:spacing w:after="0" w:line="289"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David M. Tehle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Age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Director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Since</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2014</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2014</w:t>
      </w: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2019</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2014</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2018</w:t>
      </w: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19"/>
        <w:spacing w:after="0"/>
        <w:rPr>
          <w:sz w:val="20"/>
          <w:szCs w:val="20"/>
          <w:color w:val="auto"/>
        </w:rPr>
      </w:pPr>
      <w:r>
        <w:rPr>
          <w:rFonts w:ascii="Arial" w:cs="Arial" w:eastAsia="Arial" w:hAnsi="Arial"/>
          <w:sz w:val="18"/>
          <w:szCs w:val="18"/>
          <w:b w:val="1"/>
          <w:bCs w:val="1"/>
          <w:color w:val="FFFFFF"/>
        </w:rPr>
        <w:t>Occupation</w:t>
      </w:r>
    </w:p>
    <w:p>
      <w:pPr>
        <w:spacing w:after="0" w:line="61"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Chief Executive Officer, National Vision</w:t>
      </w:r>
    </w:p>
    <w:p>
      <w:pPr>
        <w:spacing w:after="0" w:line="34"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Head of Americas Consumer Retail Team, KKR &amp; Co.</w:t>
      </w:r>
    </w:p>
    <w:p>
      <w:pPr>
        <w:spacing w:after="0" w:line="290"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CEO, UnitedHealthcare Community &amp; State</w:t>
      </w:r>
    </w:p>
    <w:p>
      <w:pPr>
        <w:spacing w:after="0" w:line="34"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Retired CEO, The Woodruff Arts Center</w:t>
      </w:r>
    </w:p>
    <w:p>
      <w:pPr>
        <w:spacing w:after="0" w:line="200" w:lineRule="exact"/>
        <w:rPr>
          <w:sz w:val="20"/>
          <w:szCs w:val="20"/>
          <w:color w:val="auto"/>
        </w:rPr>
      </w:pPr>
    </w:p>
    <w:p>
      <w:pPr>
        <w:spacing w:after="0" w:line="266" w:lineRule="exact"/>
        <w:rPr>
          <w:sz w:val="20"/>
          <w:szCs w:val="20"/>
          <w:color w:val="auto"/>
        </w:rPr>
      </w:pPr>
    </w:p>
    <w:p>
      <w:pPr>
        <w:ind w:right="460"/>
        <w:spacing w:after="0" w:line="242" w:lineRule="auto"/>
        <w:rPr>
          <w:sz w:val="20"/>
          <w:szCs w:val="20"/>
          <w:color w:val="auto"/>
        </w:rPr>
      </w:pPr>
      <w:r>
        <w:rPr>
          <w:rFonts w:ascii="Arial" w:cs="Arial" w:eastAsia="Arial" w:hAnsi="Arial"/>
          <w:sz w:val="16"/>
          <w:szCs w:val="16"/>
          <w:color w:val="auto"/>
        </w:rPr>
        <w:t>Managing Director, Berkshire Partners LLC</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CEO, Floor &amp; Decor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Retired CFO, Dollar 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Director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Class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w:t>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II</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II</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III</w:t>
      </w:r>
    </w:p>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FFFFFF"/>
        </w:rPr>
        <w:t>Committee</w:t>
      </w:r>
    </w:p>
    <w:p>
      <w:pPr>
        <w:ind w:left="440"/>
        <w:spacing w:after="0"/>
        <w:rPr>
          <w:sz w:val="20"/>
          <w:szCs w:val="20"/>
          <w:color w:val="auto"/>
        </w:rPr>
      </w:pPr>
      <w:r>
        <w:rPr>
          <w:rFonts w:ascii="Arial" w:cs="Arial" w:eastAsia="Arial" w:hAnsi="Arial"/>
          <w:sz w:val="18"/>
          <w:szCs w:val="18"/>
          <w:b w:val="1"/>
          <w:bCs w:val="1"/>
          <w:color w:val="FFFFFF"/>
        </w:rPr>
        <w:t>Membership</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Nominating &amp; Corporate</w:t>
      </w:r>
    </w:p>
    <w:p>
      <w:pPr>
        <w:ind w:right="339"/>
        <w:spacing w:after="0" w:line="348" w:lineRule="auto"/>
        <w:rPr>
          <w:sz w:val="20"/>
          <w:szCs w:val="20"/>
          <w:color w:val="auto"/>
        </w:rPr>
      </w:pPr>
      <w:r>
        <w:rPr>
          <w:rFonts w:ascii="Arial" w:cs="Arial" w:eastAsia="Arial" w:hAnsi="Arial"/>
          <w:sz w:val="16"/>
          <w:szCs w:val="16"/>
          <w:color w:val="auto"/>
        </w:rPr>
        <w:t>Governance Committee Compensation Committee</w:t>
      </w:r>
    </w:p>
    <w:p>
      <w:pPr>
        <w:spacing w:after="0" w:line="128" w:lineRule="exact"/>
        <w:rPr>
          <w:sz w:val="20"/>
          <w:szCs w:val="20"/>
          <w:color w:val="auto"/>
        </w:rPr>
      </w:pPr>
    </w:p>
    <w:p>
      <w:pPr>
        <w:jc w:val="both"/>
        <w:ind w:right="459"/>
        <w:spacing w:after="0" w:line="237" w:lineRule="auto"/>
        <w:rPr>
          <w:sz w:val="20"/>
          <w:szCs w:val="20"/>
          <w:color w:val="auto"/>
        </w:rPr>
      </w:pPr>
      <w:r>
        <w:rPr>
          <w:rFonts w:ascii="Arial" w:cs="Arial" w:eastAsia="Arial" w:hAnsi="Arial"/>
          <w:sz w:val="16"/>
          <w:szCs w:val="16"/>
          <w:color w:val="auto"/>
        </w:rPr>
        <w:t>Nominating &amp; Corporate Governance Committee (Chair)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73" w:lineRule="exact"/>
        <w:rPr>
          <w:sz w:val="20"/>
          <w:szCs w:val="20"/>
          <w:color w:val="auto"/>
        </w:rPr>
      </w:pPr>
    </w:p>
    <w:p>
      <w:pPr>
        <w:jc w:val="both"/>
        <w:ind w:right="459"/>
        <w:spacing w:after="0" w:line="242" w:lineRule="auto"/>
        <w:rPr>
          <w:sz w:val="20"/>
          <w:szCs w:val="20"/>
          <w:color w:val="auto"/>
        </w:rPr>
      </w:pPr>
      <w:r>
        <w:rPr>
          <w:rFonts w:ascii="Arial" w:cs="Arial" w:eastAsia="Arial" w:hAnsi="Arial"/>
          <w:sz w:val="16"/>
          <w:szCs w:val="16"/>
          <w:color w:val="auto"/>
        </w:rPr>
        <w:t>Nominating &amp; Corporate Governance Committee</w:t>
      </w:r>
    </w:p>
    <w:p>
      <w:pPr>
        <w:spacing w:after="0" w:line="34" w:lineRule="exact"/>
        <w:rPr>
          <w:sz w:val="20"/>
          <w:szCs w:val="20"/>
          <w:color w:val="auto"/>
        </w:rPr>
      </w:pPr>
    </w:p>
    <w:p>
      <w:pPr>
        <w:ind w:right="339"/>
        <w:spacing w:after="0" w:line="242" w:lineRule="auto"/>
        <w:rPr>
          <w:sz w:val="20"/>
          <w:szCs w:val="20"/>
          <w:color w:val="auto"/>
        </w:rPr>
      </w:pPr>
      <w:r>
        <w:rPr>
          <w:rFonts w:ascii="Arial" w:cs="Arial" w:eastAsia="Arial" w:hAnsi="Arial"/>
          <w:sz w:val="16"/>
          <w:szCs w:val="16"/>
          <w:color w:val="auto"/>
        </w:rPr>
        <w:t>Compensation Committee (Chair)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(Chair)</w:t>
      </w:r>
    </w:p>
    <w:p>
      <w:pPr>
        <w:spacing w:after="0" w:line="116" w:lineRule="exact"/>
        <w:rPr>
          <w:sz w:val="20"/>
          <w:szCs w:val="20"/>
          <w:color w:val="auto"/>
        </w:rPr>
      </w:pPr>
    </w:p>
    <w:p>
      <w:pPr>
        <w:sectPr>
          <w:pgSz w:w="11900" w:h="16838" w:orient="portrait"/>
          <w:cols w:equalWidth="0" w:num="6">
            <w:col w:w="2300" w:space="320"/>
            <w:col w:w="340" w:space="280"/>
            <w:col w:w="680" w:space="240"/>
            <w:col w:w="2540" w:space="340"/>
            <w:col w:w="680" w:space="220"/>
            <w:col w:w="2199"/>
          </w:cols>
          <w:pgMar w:left="320" w:top="131" w:right="1440" w:bottom="1440" w:gutter="0" w:footer="0" w:header="0"/>
          <w:type w:val="continuous"/>
        </w:sectPr>
      </w:pPr>
    </w:p>
    <w:p>
      <w:pPr>
        <w:ind w:left="760"/>
        <w:spacing w:after="0"/>
        <w:tabs>
          <w:tab w:leader="none" w:pos="920" w:val="left"/>
        </w:tabs>
        <w:rPr>
          <w:sz w:val="20"/>
          <w:szCs w:val="20"/>
          <w:color w:val="auto"/>
        </w:rPr>
      </w:pPr>
      <w:r>
        <w:rPr>
          <w:rFonts w:ascii="Arial" w:cs="Arial" w:eastAsia="Arial" w:hAnsi="Arial"/>
          <w:sz w:val="14"/>
          <w:szCs w:val="14"/>
          <w:color w:val="auto"/>
        </w:rPr>
        <w:t>*</w:t>
        <w:tab/>
        <w:t>All directors are independent, except for Mr. Fahs</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Mr. N. Taylor serves as the independent Chair of the Board</w:t>
      </w:r>
    </w:p>
    <w:p>
      <w:pPr>
        <w:spacing w:after="0" w:line="288" w:lineRule="exact"/>
        <w:rPr>
          <w:sz w:val="20"/>
          <w:szCs w:val="20"/>
          <w:color w:val="auto"/>
        </w:rPr>
      </w:pPr>
    </w:p>
    <w:p>
      <w:pPr>
        <w:ind w:left="760" w:right="1599"/>
        <w:spacing w:after="0" w:line="261" w:lineRule="auto"/>
        <w:rPr>
          <w:sz w:val="20"/>
          <w:szCs w:val="20"/>
          <w:color w:val="auto"/>
        </w:rPr>
      </w:pPr>
      <w:r>
        <w:rPr>
          <w:rFonts w:ascii="Arial" w:cs="Arial" w:eastAsia="Arial" w:hAnsi="Arial"/>
          <w:sz w:val="22"/>
          <w:szCs w:val="22"/>
          <w:b w:val="1"/>
          <w:bCs w:val="1"/>
          <w:color w:val="3C5896"/>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-2540</wp:posOffset>
            </wp:positionV>
            <wp:extent cx="58375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50" w:lineRule="exact"/>
        <w:rPr>
          <w:sz w:val="20"/>
          <w:szCs w:val="20"/>
          <w:color w:val="auto"/>
        </w:rPr>
      </w:pPr>
    </w:p>
    <w:p>
      <w:pPr>
        <w:ind w:left="760" w:right="339"/>
        <w:spacing w:after="0" w:line="253" w:lineRule="auto"/>
        <w:rPr>
          <w:sz w:val="20"/>
          <w:szCs w:val="20"/>
          <w:color w:val="auto"/>
        </w:rPr>
      </w:pPr>
      <w:r>
        <w:rPr>
          <w:rFonts w:ascii="Arial" w:cs="Arial" w:eastAsia="Arial" w:hAnsi="Arial"/>
          <w:sz w:val="18"/>
          <w:szCs w:val="18"/>
          <w:color w:val="auto"/>
        </w:rPr>
        <w:t>The audit committee of the Board has selected Deloitte &amp; Touche LLP as our independent registered public accounting firm for fiscal 2020. Each year the audit committee evaluates the qualifications and performance of the Company’s independent registered public accountants and determines whether to re-engage the current independent registered public accountants. Based on this evaluation, the audit committee believes the continued retention of Deloitte &amp; Touche LLP is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  </w:t>
      </w:r>
      <w:r>
        <w:rPr>
          <w:sz w:val="1"/>
          <w:szCs w:val="1"/>
          <w:color w:val="auto"/>
        </w:rPr>
        <w:drawing>
          <wp:inline distT="0" distB="0" distL="0" distR="0">
            <wp:extent cx="299720" cy="24003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FFFFFF"/>
        </w:rPr>
        <w:t>PROXY STATEMENT SUMMARY</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85" w:lineRule="exact"/>
        <w:rPr>
          <w:sz w:val="20"/>
          <w:szCs w:val="20"/>
          <w:color w:val="auto"/>
        </w:rPr>
      </w:pPr>
    </w:p>
    <w:p>
      <w:pPr>
        <w:ind w:left="760" w:right="399"/>
        <w:spacing w:after="0" w:line="253" w:lineRule="auto"/>
        <w:rPr>
          <w:sz w:val="20"/>
          <w:szCs w:val="20"/>
          <w:color w:val="auto"/>
        </w:rPr>
      </w:pPr>
      <w:r>
        <w:rPr>
          <w:rFonts w:ascii="Arial" w:cs="Arial" w:eastAsia="Arial" w:hAnsi="Arial"/>
          <w:sz w:val="18"/>
          <w:szCs w:val="18"/>
          <w:color w:val="auto"/>
        </w:rPr>
        <w:t>We strive to create an executive compensation program that strikes the right balance of pay for performance with an overarching goal to motivate our leaders to contribute to the achievement of our financial goals and focus on long-term value for our stockholders without taking undue risk. Our executive compensation program has three main components: (1) base salary; (2) annual cash incentive compensation; and (3) long-term incentive awards. Each component is designed to be consistent with the Company’s compensation philosophy.</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fiscal 2019 performance included the following significant financial and operational results:</w:t>
      </w:r>
    </w:p>
    <w:p>
      <w:pPr>
        <w:spacing w:after="0" w:line="131" w:lineRule="exact"/>
        <w:rPr>
          <w:sz w:val="20"/>
          <w:szCs w:val="20"/>
          <w:color w:val="auto"/>
        </w:rPr>
      </w:pPr>
    </w:p>
    <w:p>
      <w:pPr>
        <w:ind w:left="1340" w:hanging="216"/>
        <w:spacing w:after="0"/>
        <w:tabs>
          <w:tab w:leader="none" w:pos="1340" w:val="left"/>
        </w:tabs>
        <w:numPr>
          <w:ilvl w:val="1"/>
          <w:numId w:val="8"/>
        </w:numPr>
        <w:rPr>
          <w:rFonts w:ascii="Arial" w:cs="Arial" w:eastAsia="Arial" w:hAnsi="Arial"/>
          <w:sz w:val="18"/>
          <w:szCs w:val="18"/>
          <w:color w:val="3C5896"/>
        </w:rPr>
      </w:pPr>
      <w:r>
        <w:rPr>
          <w:rFonts w:ascii="Arial" w:cs="Arial" w:eastAsia="Arial" w:hAnsi="Arial"/>
          <w:sz w:val="18"/>
          <w:szCs w:val="18"/>
          <w:color w:val="auto"/>
        </w:rPr>
        <w:t>Net revenue increased 12.2% to $1.72 billion</w:t>
      </w:r>
    </w:p>
    <w:p>
      <w:pPr>
        <w:spacing w:after="0" w:line="63" w:lineRule="exact"/>
        <w:rPr>
          <w:rFonts w:ascii="Arial" w:cs="Arial" w:eastAsia="Arial" w:hAnsi="Arial"/>
          <w:sz w:val="18"/>
          <w:szCs w:val="18"/>
          <w:color w:val="3C5896"/>
        </w:rPr>
      </w:pPr>
    </w:p>
    <w:p>
      <w:pPr>
        <w:ind w:left="1340" w:hanging="216"/>
        <w:spacing w:after="0"/>
        <w:tabs>
          <w:tab w:leader="none" w:pos="1340" w:val="left"/>
        </w:tabs>
        <w:numPr>
          <w:ilvl w:val="1"/>
          <w:numId w:val="8"/>
        </w:numPr>
        <w:rPr>
          <w:rFonts w:ascii="Arial" w:cs="Arial" w:eastAsia="Arial" w:hAnsi="Arial"/>
          <w:sz w:val="18"/>
          <w:szCs w:val="18"/>
          <w:color w:val="3C5896"/>
        </w:rPr>
      </w:pPr>
      <w:r>
        <w:rPr>
          <w:rFonts w:ascii="Arial" w:cs="Arial" w:eastAsia="Arial" w:hAnsi="Arial"/>
          <w:sz w:val="18"/>
          <w:szCs w:val="18"/>
          <w:color w:val="auto"/>
        </w:rPr>
        <w:t>72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consecutive quarter of positive comparable store sales growth as of fiscal 2019 end</w:t>
      </w:r>
    </w:p>
    <w:p>
      <w:pPr>
        <w:spacing w:after="0" w:line="65" w:lineRule="exact"/>
        <w:rPr>
          <w:rFonts w:ascii="Arial" w:cs="Arial" w:eastAsia="Arial" w:hAnsi="Arial"/>
          <w:sz w:val="18"/>
          <w:szCs w:val="18"/>
          <w:color w:val="3C5896"/>
        </w:rPr>
      </w:pPr>
    </w:p>
    <w:p>
      <w:pPr>
        <w:ind w:left="1340" w:hanging="216"/>
        <w:spacing w:after="0"/>
        <w:tabs>
          <w:tab w:leader="none" w:pos="1340" w:val="left"/>
        </w:tabs>
        <w:numPr>
          <w:ilvl w:val="1"/>
          <w:numId w:val="8"/>
        </w:numPr>
        <w:rPr>
          <w:rFonts w:ascii="Arial" w:cs="Arial" w:eastAsia="Arial" w:hAnsi="Arial"/>
          <w:sz w:val="18"/>
          <w:szCs w:val="18"/>
          <w:color w:val="3C5896"/>
        </w:rPr>
      </w:pPr>
      <w:r>
        <w:rPr>
          <w:rFonts w:ascii="Arial" w:cs="Arial" w:eastAsia="Arial" w:hAnsi="Arial"/>
          <w:sz w:val="18"/>
          <w:szCs w:val="18"/>
          <w:color w:val="auto"/>
        </w:rPr>
        <w:t>Overall store count grew 6.4%, and fiscal 2019 ended with 1,151 stores</w:t>
      </w:r>
    </w:p>
    <w:p>
      <w:pPr>
        <w:spacing w:after="0" w:line="63" w:lineRule="exact"/>
        <w:rPr>
          <w:rFonts w:ascii="Arial" w:cs="Arial" w:eastAsia="Arial" w:hAnsi="Arial"/>
          <w:sz w:val="18"/>
          <w:szCs w:val="18"/>
          <w:color w:val="3C5896"/>
        </w:rPr>
      </w:pPr>
    </w:p>
    <w:p>
      <w:pPr>
        <w:ind w:left="1340" w:hanging="216"/>
        <w:spacing w:after="0"/>
        <w:tabs>
          <w:tab w:leader="none" w:pos="1340" w:val="left"/>
        </w:tabs>
        <w:numPr>
          <w:ilvl w:val="1"/>
          <w:numId w:val="8"/>
        </w:numPr>
        <w:rPr>
          <w:rFonts w:ascii="Arial" w:cs="Arial" w:eastAsia="Arial" w:hAnsi="Arial"/>
          <w:sz w:val="18"/>
          <w:szCs w:val="18"/>
          <w:color w:val="3C5896"/>
        </w:rPr>
      </w:pPr>
      <w:r>
        <w:rPr>
          <w:rFonts w:ascii="Arial" w:cs="Arial" w:eastAsia="Arial" w:hAnsi="Arial"/>
          <w:sz w:val="18"/>
          <w:szCs w:val="18"/>
          <w:color w:val="auto"/>
        </w:rPr>
        <w:t>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was 6.5%; adjusted 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was 6.2%</w:t>
      </w:r>
    </w:p>
    <w:p>
      <w:pPr>
        <w:spacing w:after="0" w:line="46" w:lineRule="exact"/>
        <w:rPr>
          <w:rFonts w:ascii="Arial" w:cs="Arial" w:eastAsia="Arial" w:hAnsi="Arial"/>
          <w:sz w:val="18"/>
          <w:szCs w:val="18"/>
          <w:color w:val="3C5896"/>
        </w:rPr>
      </w:pPr>
    </w:p>
    <w:p>
      <w:pPr>
        <w:ind w:left="1340" w:hanging="216"/>
        <w:spacing w:after="0"/>
        <w:tabs>
          <w:tab w:leader="none" w:pos="1340" w:val="left"/>
        </w:tabs>
        <w:numPr>
          <w:ilvl w:val="1"/>
          <w:numId w:val="8"/>
        </w:numPr>
        <w:rPr>
          <w:rFonts w:ascii="Arial" w:cs="Arial" w:eastAsia="Arial" w:hAnsi="Arial"/>
          <w:sz w:val="18"/>
          <w:szCs w:val="18"/>
          <w:color w:val="3C5896"/>
        </w:rPr>
      </w:pPr>
      <w:r>
        <w:rPr>
          <w:rFonts w:ascii="Arial" w:cs="Arial" w:eastAsia="Arial" w:hAnsi="Arial"/>
          <w:sz w:val="18"/>
          <w:szCs w:val="18"/>
          <w:color w:val="auto"/>
        </w:rPr>
        <w:t>Net income increased 38.7% to $32.8 million; adjusted net income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27.3% to $66.1 million</w:t>
      </w:r>
    </w:p>
    <w:p>
      <w:pPr>
        <w:spacing w:after="0" w:line="25" w:lineRule="exact"/>
        <w:rPr>
          <w:rFonts w:ascii="Arial" w:cs="Arial" w:eastAsia="Arial" w:hAnsi="Arial"/>
          <w:sz w:val="18"/>
          <w:szCs w:val="18"/>
          <w:color w:val="3C5896"/>
        </w:rPr>
      </w:pPr>
    </w:p>
    <w:p>
      <w:pPr>
        <w:ind w:left="1340" w:hanging="216"/>
        <w:spacing w:after="0"/>
        <w:tabs>
          <w:tab w:leader="none" w:pos="1340" w:val="left"/>
        </w:tabs>
        <w:numPr>
          <w:ilvl w:val="1"/>
          <w:numId w:val="8"/>
        </w:numPr>
        <w:rPr>
          <w:rFonts w:ascii="Arial" w:cs="Arial" w:eastAsia="Arial" w:hAnsi="Arial"/>
          <w:sz w:val="18"/>
          <w:szCs w:val="18"/>
          <w:color w:val="3C5896"/>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15.1% to $200.7 million</w:t>
      </w:r>
    </w:p>
    <w:p>
      <w:pPr>
        <w:spacing w:after="0" w:line="25" w:lineRule="exact"/>
        <w:rPr>
          <w:rFonts w:ascii="Arial" w:cs="Arial" w:eastAsia="Arial" w:hAnsi="Arial"/>
          <w:sz w:val="18"/>
          <w:szCs w:val="18"/>
          <w:color w:val="3C5896"/>
        </w:rPr>
      </w:pPr>
    </w:p>
    <w:p>
      <w:pPr>
        <w:ind w:left="1340" w:hanging="216"/>
        <w:spacing w:after="0"/>
        <w:tabs>
          <w:tab w:leader="none" w:pos="1340" w:val="left"/>
        </w:tabs>
        <w:numPr>
          <w:ilvl w:val="1"/>
          <w:numId w:val="8"/>
        </w:numPr>
        <w:rPr>
          <w:rFonts w:ascii="Arial" w:cs="Arial" w:eastAsia="Arial" w:hAnsi="Arial"/>
          <w:sz w:val="18"/>
          <w:szCs w:val="18"/>
          <w:color w:val="3C5896"/>
        </w:rPr>
      </w:pPr>
      <w:r>
        <w:rPr>
          <w:rFonts w:ascii="Arial" w:cs="Arial" w:eastAsia="Arial" w:hAnsi="Arial"/>
          <w:sz w:val="18"/>
          <w:szCs w:val="18"/>
          <w:color w:val="auto"/>
        </w:rPr>
        <w:t>Diluted EPS increased 34.2% to $0.40; adjusted diluted EPS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23.2% to $0.81</w:t>
      </w:r>
    </w:p>
    <w:p>
      <w:pPr>
        <w:ind w:left="760" w:right="199" w:firstLine="4"/>
        <w:spacing w:after="0" w:line="220" w:lineRule="auto"/>
        <w:tabs>
          <w:tab w:leader="none" w:pos="945"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For an explanation of our non-GAAP financial measures and a reconciliation of adjusted comparable store sales growth, adjusted net income, Adjusted EBITDA and adjusted diluted EPS to the most directly comparable GAAP measures, see Appendix A to this proxy statement.</w:t>
      </w:r>
    </w:p>
    <w:p>
      <w:pPr>
        <w:spacing w:after="0" w:line="102" w:lineRule="exact"/>
        <w:rPr>
          <w:sz w:val="20"/>
          <w:szCs w:val="20"/>
          <w:color w:val="auto"/>
        </w:rPr>
      </w:pPr>
    </w:p>
    <w:p>
      <w:pPr>
        <w:ind w:left="760" w:right="739"/>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discussion on pages </w:t>
      </w:r>
      <w:hyperlink w:anchor="page24">
        <w:r>
          <w:rPr>
            <w:rFonts w:ascii="Arial" w:cs="Arial" w:eastAsia="Arial" w:hAnsi="Arial"/>
            <w:sz w:val="18"/>
            <w:szCs w:val="18"/>
            <w:u w:val="single" w:color="auto"/>
            <w:color w:val="0000EE"/>
          </w:rPr>
          <w:t>21</w:t>
        </w:r>
      </w:hyperlink>
      <w:r>
        <w:rPr>
          <w:rFonts w:ascii="Arial" w:cs="Arial" w:eastAsia="Arial" w:hAnsi="Arial"/>
          <w:sz w:val="18"/>
          <w:szCs w:val="18"/>
          <w:color w:val="auto"/>
        </w:rPr>
        <w:t>-</w:t>
      </w:r>
      <w:hyperlink w:anchor="page46">
        <w:r>
          <w:rPr>
            <w:rFonts w:ascii="Arial" w:cs="Arial" w:eastAsia="Arial" w:hAnsi="Arial"/>
            <w:sz w:val="18"/>
            <w:szCs w:val="18"/>
            <w:u w:val="single" w:color="auto"/>
            <w:color w:val="0000EE"/>
          </w:rPr>
          <w:t>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more fully describes the design and evolution of our executive compensation program, including the Company’s performance for fiscal 2019 and its connection to executive officer compensation.</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and governance practices that support these principles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100330</wp:posOffset>
            </wp:positionV>
            <wp:extent cx="5837555" cy="2820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7555" cy="282003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What We Do:</w:t>
      </w:r>
    </w:p>
    <w:p>
      <w:pPr>
        <w:spacing w:after="0" w:line="45" w:lineRule="exact"/>
        <w:rPr>
          <w:sz w:val="20"/>
          <w:szCs w:val="20"/>
          <w:color w:val="auto"/>
        </w:rPr>
      </w:pPr>
    </w:p>
    <w:p>
      <w:pPr>
        <w:ind w:left="1180" w:hanging="182"/>
        <w:spacing w:after="0"/>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Pay for performance</w:t>
      </w:r>
    </w:p>
    <w:p>
      <w:pPr>
        <w:spacing w:after="0" w:line="63" w:lineRule="exact"/>
        <w:rPr>
          <w:rFonts w:ascii="MS PGothic" w:cs="MS PGothic" w:eastAsia="MS PGothic" w:hAnsi="MS PGothic"/>
          <w:sz w:val="18"/>
          <w:szCs w:val="18"/>
          <w:color w:val="3C5896"/>
        </w:rPr>
      </w:pPr>
    </w:p>
    <w:p>
      <w:pPr>
        <w:ind w:left="1180" w:right="600" w:hanging="182"/>
        <w:spacing w:after="0" w:line="261" w:lineRule="auto"/>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Maintain strong stock ownership guidelines for our named executive officers (“NEOs”)</w:t>
      </w:r>
    </w:p>
    <w:p>
      <w:pPr>
        <w:spacing w:after="0" w:line="76" w:lineRule="exact"/>
        <w:rPr>
          <w:rFonts w:ascii="MS PGothic" w:cs="MS PGothic" w:eastAsia="MS PGothic" w:hAnsi="MS PGothic"/>
          <w:sz w:val="18"/>
          <w:szCs w:val="18"/>
          <w:color w:val="3C5896"/>
        </w:rPr>
      </w:pPr>
    </w:p>
    <w:p>
      <w:pPr>
        <w:ind w:left="1180" w:right="420" w:hanging="182"/>
        <w:spacing w:after="0" w:line="286" w:lineRule="auto"/>
        <w:tabs>
          <w:tab w:leader="none" w:pos="1180" w:val="left"/>
        </w:tabs>
        <w:numPr>
          <w:ilvl w:val="0"/>
          <w:numId w:val="9"/>
        </w:numPr>
        <w:rPr>
          <w:rFonts w:ascii="MS PGothic" w:cs="MS PGothic" w:eastAsia="MS PGothic" w:hAnsi="MS PGothic"/>
          <w:sz w:val="17"/>
          <w:szCs w:val="17"/>
          <w:color w:val="3C5896"/>
        </w:rPr>
      </w:pPr>
      <w:r>
        <w:rPr>
          <w:rFonts w:ascii="Arial" w:cs="Arial" w:eastAsia="Arial" w:hAnsi="Arial"/>
          <w:sz w:val="17"/>
          <w:szCs w:val="17"/>
          <w:color w:val="auto"/>
        </w:rPr>
        <w:t>Require our NEOs to retain 50% of vested awards net of tax withholdings until they have met our ownership guidelines</w:t>
      </w:r>
    </w:p>
    <w:p>
      <w:pPr>
        <w:spacing w:after="0" w:line="47" w:lineRule="exact"/>
        <w:rPr>
          <w:rFonts w:ascii="MS PGothic" w:cs="MS PGothic" w:eastAsia="MS PGothic" w:hAnsi="MS PGothic"/>
          <w:sz w:val="17"/>
          <w:szCs w:val="17"/>
          <w:color w:val="3C5896"/>
        </w:rPr>
      </w:pPr>
    </w:p>
    <w:p>
      <w:pPr>
        <w:ind w:left="1180" w:hanging="182"/>
        <w:spacing w:after="0"/>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Provide market-level retirement benefits and limited perquisites</w:t>
      </w:r>
    </w:p>
    <w:p>
      <w:pPr>
        <w:spacing w:after="0" w:line="63" w:lineRule="exact"/>
        <w:rPr>
          <w:rFonts w:ascii="MS PGothic" w:cs="MS PGothic" w:eastAsia="MS PGothic" w:hAnsi="MS PGothic"/>
          <w:sz w:val="18"/>
          <w:szCs w:val="18"/>
          <w:color w:val="3C5896"/>
        </w:rPr>
      </w:pPr>
    </w:p>
    <w:p>
      <w:pPr>
        <w:ind w:left="1180" w:hanging="182"/>
        <w:spacing w:after="0" w:line="261" w:lineRule="auto"/>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Engage an independent compensation consultant to advise us on matters surrounding our compensation plans</w:t>
      </w:r>
    </w:p>
    <w:p>
      <w:pPr>
        <w:spacing w:after="0" w:line="76" w:lineRule="exact"/>
        <w:rPr>
          <w:rFonts w:ascii="MS PGothic" w:cs="MS PGothic" w:eastAsia="MS PGothic" w:hAnsi="MS PGothic"/>
          <w:sz w:val="18"/>
          <w:szCs w:val="18"/>
          <w:color w:val="3C5896"/>
        </w:rPr>
      </w:pPr>
    </w:p>
    <w:p>
      <w:pPr>
        <w:ind w:left="1180" w:right="200" w:hanging="182"/>
        <w:spacing w:after="0" w:line="261" w:lineRule="auto"/>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Review our compensation programs annually to prevent undue risk taking</w:t>
      </w:r>
    </w:p>
    <w:p>
      <w:pPr>
        <w:spacing w:after="0" w:line="62" w:lineRule="exact"/>
        <w:rPr>
          <w:rFonts w:ascii="MS PGothic" w:cs="MS PGothic" w:eastAsia="MS PGothic" w:hAnsi="MS PGothic"/>
          <w:sz w:val="18"/>
          <w:szCs w:val="18"/>
          <w:color w:val="3C5896"/>
        </w:rPr>
      </w:pPr>
    </w:p>
    <w:p>
      <w:pPr>
        <w:ind w:left="1180" w:hanging="182"/>
        <w:spacing w:after="0"/>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Hold an annual say-on-pay vote</w:t>
      </w:r>
    </w:p>
    <w:p>
      <w:pPr>
        <w:spacing w:after="0" w:line="63" w:lineRule="exact"/>
        <w:rPr>
          <w:rFonts w:ascii="MS PGothic" w:cs="MS PGothic" w:eastAsia="MS PGothic" w:hAnsi="MS PGothic"/>
          <w:sz w:val="18"/>
          <w:szCs w:val="18"/>
          <w:color w:val="3C5896"/>
        </w:rPr>
      </w:pPr>
    </w:p>
    <w:p>
      <w:pPr>
        <w:ind w:left="1180" w:right="320" w:hanging="182"/>
        <w:spacing w:after="0" w:line="261" w:lineRule="auto"/>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Establish target and maximum awards under our annual cash incentive program</w:t>
      </w:r>
    </w:p>
    <w:p>
      <w:pPr>
        <w:spacing w:after="0" w:line="62" w:lineRule="exact"/>
        <w:rPr>
          <w:rFonts w:ascii="MS PGothic" w:cs="MS PGothic" w:eastAsia="MS PGothic" w:hAnsi="MS PGothic"/>
          <w:sz w:val="18"/>
          <w:szCs w:val="18"/>
          <w:color w:val="3C5896"/>
        </w:rPr>
      </w:pPr>
    </w:p>
    <w:p>
      <w:pPr>
        <w:ind w:left="1180" w:hanging="182"/>
        <w:spacing w:after="0"/>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Maintain an established shareholder engagement program</w:t>
      </w:r>
    </w:p>
    <w:p>
      <w:pPr>
        <w:spacing w:after="0" w:line="63" w:lineRule="exact"/>
        <w:rPr>
          <w:rFonts w:ascii="MS PGothic" w:cs="MS PGothic" w:eastAsia="MS PGothic" w:hAnsi="MS PGothic"/>
          <w:sz w:val="18"/>
          <w:szCs w:val="18"/>
          <w:color w:val="3C5896"/>
        </w:rPr>
      </w:pPr>
    </w:p>
    <w:p>
      <w:pPr>
        <w:ind w:left="1180" w:right="240" w:hanging="182"/>
        <w:spacing w:after="0" w:line="261" w:lineRule="auto"/>
        <w:tabs>
          <w:tab w:leader="none" w:pos="118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Require “Double-trigger” vesting for Change in Control in post-IPO equity awards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58" w:lineRule="exact"/>
        <w:rPr>
          <w:sz w:val="20"/>
          <w:szCs w:val="20"/>
          <w:color w:val="auto"/>
        </w:rPr>
      </w:pPr>
    </w:p>
    <w:p>
      <w:pPr>
        <w:ind w:left="360" w:right="619" w:hanging="184"/>
        <w:spacing w:after="0" w:line="261" w:lineRule="auto"/>
        <w:tabs>
          <w:tab w:leader="none" w:pos="3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No excise tax gross-ups upon a change-in-control</w:t>
      </w:r>
    </w:p>
    <w:p>
      <w:pPr>
        <w:spacing w:after="0" w:line="62" w:lineRule="exact"/>
        <w:rPr>
          <w:rFonts w:ascii="MS PGothic" w:cs="MS PGothic" w:eastAsia="MS PGothic" w:hAnsi="MS PGothic"/>
          <w:sz w:val="18"/>
          <w:szCs w:val="18"/>
          <w:color w:val="auto"/>
        </w:rPr>
      </w:pPr>
    </w:p>
    <w:p>
      <w:pPr>
        <w:ind w:left="360" w:right="299" w:hanging="184"/>
        <w:spacing w:after="0" w:line="261" w:lineRule="auto"/>
        <w:tabs>
          <w:tab w:leader="none" w:pos="3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No hedging of the Company’s stock by NEOs or directors</w:t>
      </w:r>
    </w:p>
    <w:p>
      <w:pPr>
        <w:spacing w:after="0" w:line="76" w:lineRule="exact"/>
        <w:rPr>
          <w:rFonts w:ascii="MS PGothic" w:cs="MS PGothic" w:eastAsia="MS PGothic" w:hAnsi="MS PGothic"/>
          <w:sz w:val="18"/>
          <w:szCs w:val="18"/>
          <w:color w:val="auto"/>
        </w:rPr>
      </w:pPr>
    </w:p>
    <w:p>
      <w:pPr>
        <w:ind w:left="360" w:right="979" w:hanging="184"/>
        <w:spacing w:after="0" w:line="261" w:lineRule="auto"/>
        <w:tabs>
          <w:tab w:leader="none" w:pos="3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No supplemental executive retirement plans</w:t>
      </w:r>
    </w:p>
    <w:p>
      <w:pPr>
        <w:spacing w:after="0" w:line="76" w:lineRule="exact"/>
        <w:rPr>
          <w:rFonts w:ascii="MS PGothic" w:cs="MS PGothic" w:eastAsia="MS PGothic" w:hAnsi="MS PGothic"/>
          <w:sz w:val="18"/>
          <w:szCs w:val="18"/>
          <w:color w:val="auto"/>
        </w:rPr>
      </w:pPr>
    </w:p>
    <w:p>
      <w:pPr>
        <w:ind w:left="360" w:right="379" w:hanging="184"/>
        <w:spacing w:after="0" w:line="254" w:lineRule="auto"/>
        <w:tabs>
          <w:tab w:leader="none" w:pos="3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No re-pricing of underwater stock options and no grants below 100% of fair market value without shareholder approval</w:t>
      </w:r>
    </w:p>
    <w:p>
      <w:pPr>
        <w:spacing w:after="0" w:line="68" w:lineRule="exact"/>
        <w:rPr>
          <w:rFonts w:ascii="MS PGothic" w:cs="MS PGothic" w:eastAsia="MS PGothic" w:hAnsi="MS PGothic"/>
          <w:sz w:val="18"/>
          <w:szCs w:val="18"/>
          <w:color w:val="auto"/>
        </w:rPr>
      </w:pPr>
    </w:p>
    <w:p>
      <w:pPr>
        <w:ind w:left="360" w:right="879" w:hanging="184"/>
        <w:spacing w:after="0" w:line="261" w:lineRule="auto"/>
        <w:tabs>
          <w:tab w:leader="none" w:pos="3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No significant perquisites for executive officers</w:t>
      </w:r>
    </w:p>
    <w:p>
      <w:pPr>
        <w:spacing w:after="0" w:line="1347" w:lineRule="exact"/>
        <w:rPr>
          <w:sz w:val="20"/>
          <w:szCs w:val="20"/>
          <w:color w:val="auto"/>
        </w:rPr>
      </w:pPr>
    </w:p>
    <w:p>
      <w:pPr>
        <w:sectPr>
          <w:pgSz w:w="11900" w:h="16838" w:orient="portrait"/>
          <w:cols w:equalWidth="0" w:num="2">
            <w:col w:w="6380" w:space="260"/>
            <w:col w:w="34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32"/>
          <w:szCs w:val="32"/>
          <w:color w:val="auto"/>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106680</wp:posOffset>
            </wp:positionV>
            <wp:extent cx="5837555" cy="129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7555" cy="1294130"/>
                    </a:xfrm>
                    <a:prstGeom prst="rect">
                      <a:avLst/>
                    </a:prstGeom>
                    <a:noFill/>
                  </pic:spPr>
                </pic:pic>
              </a:graphicData>
            </a:graphic>
          </wp:anchor>
        </w:drawing>
      </w:r>
    </w:p>
    <w:p>
      <w:pPr>
        <w:spacing w:after="0" w:line="206" w:lineRule="exact"/>
        <w:rPr>
          <w:sz w:val="20"/>
          <w:szCs w:val="20"/>
          <w:color w:val="auto"/>
        </w:rPr>
      </w:pPr>
    </w:p>
    <w:p>
      <w:pPr>
        <w:ind w:left="880" w:right="519"/>
        <w:spacing w:after="0" w:line="27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elect each of the Class III director nominees named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proxy statement to hold office until the 2023 Annual Meeting and until their respective successors are elected and qualified.</w:t>
      </w:r>
    </w:p>
    <w:p>
      <w:pPr>
        <w:spacing w:after="0" w:line="1" w:lineRule="exact"/>
        <w:rPr>
          <w:sz w:val="20"/>
          <w:szCs w:val="20"/>
          <w:color w:val="auto"/>
        </w:rPr>
      </w:pPr>
    </w:p>
    <w:p>
      <w:pPr>
        <w:ind w:left="880" w:right="319"/>
        <w:spacing w:after="0" w:line="276"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election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Class III director nominee. The Nominating and Corporate Governance Committee evaluated and recommended the director nominees in accordance with its charter and our Corporate Governance Guidelines.</w:t>
      </w:r>
    </w:p>
    <w:p>
      <w:pPr>
        <w:spacing w:after="0" w:line="15" w:lineRule="exact"/>
        <w:rPr>
          <w:sz w:val="20"/>
          <w:szCs w:val="20"/>
          <w:color w:val="auto"/>
        </w:rPr>
      </w:pPr>
    </w:p>
    <w:p>
      <w:pPr>
        <w:ind w:left="880" w:right="339"/>
        <w:spacing w:after="0" w:line="30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elected, a director must receive more FOR votes than the number of votes AGAINST that</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w:t>
      </w:r>
    </w:p>
    <w:p>
      <w:pPr>
        <w:spacing w:after="0" w:line="174" w:lineRule="exact"/>
        <w:rPr>
          <w:sz w:val="20"/>
          <w:szCs w:val="20"/>
          <w:color w:val="auto"/>
        </w:rPr>
      </w:pPr>
    </w:p>
    <w:p>
      <w:pPr>
        <w:ind w:left="760" w:right="259"/>
        <w:spacing w:after="0" w:line="254" w:lineRule="auto"/>
        <w:rPr>
          <w:sz w:val="20"/>
          <w:szCs w:val="20"/>
          <w:color w:val="auto"/>
        </w:rPr>
      </w:pPr>
      <w:r>
        <w:rPr>
          <w:rFonts w:ascii="Arial" w:cs="Arial" w:eastAsia="Arial" w:hAnsi="Arial"/>
          <w:sz w:val="18"/>
          <w:szCs w:val="18"/>
          <w:color w:val="auto"/>
        </w:rPr>
        <w:t>Our Board of Directors oversees or directs our business and affairs, as provided by Delaware law, and conducts its business through meetings of the Board and three standing committees: the audit committee, the nominating and corporate governance committee and the compensation committee. The Board is currently comprised of seven directors, six of whom are independent.</w:t>
      </w:r>
    </w:p>
    <w:p>
      <w:pPr>
        <w:spacing w:after="0" w:line="82" w:lineRule="exact"/>
        <w:rPr>
          <w:sz w:val="20"/>
          <w:szCs w:val="20"/>
          <w:color w:val="auto"/>
        </w:rPr>
      </w:pPr>
    </w:p>
    <w:p>
      <w:pPr>
        <w:ind w:left="760" w:right="219"/>
        <w:spacing w:after="0" w:line="252" w:lineRule="auto"/>
        <w:rPr>
          <w:sz w:val="20"/>
          <w:szCs w:val="20"/>
          <w:color w:val="auto"/>
        </w:rPr>
      </w:pPr>
      <w:r>
        <w:rPr>
          <w:rFonts w:ascii="Arial" w:cs="Arial" w:eastAsia="Arial" w:hAnsi="Arial"/>
          <w:sz w:val="18"/>
          <w:szCs w:val="18"/>
          <w:color w:val="auto"/>
        </w:rPr>
        <w:t>Our Certificate of Incorporation provides for a classified Board, with two directors currently in Class I (Messrs. N. Taylor and Fahs), two directors currently in Class II (Mr. Peeler and Ms. Cianfrocco), and three directors currently in Class III (Messrs. Tehle and T. Taylor and Ms. Hepner). One class of directors stands for election at each of our Annual Meetings of Stockholders, with directors elected to serve for staggered three-year terms. Upon the recommendation of our nominating and corporate governance committee, our Board has committed to submit for stockholder vote at the 2021 Annual Meeting a proposal to amend our certificate of incorporation to eliminate the classified Board and other governance provisions. See “Classified Board and Supermajority Sunset Commitment” below for more details.</w:t>
      </w:r>
    </w:p>
    <w:p>
      <w:pPr>
        <w:spacing w:after="0" w:line="70" w:lineRule="exact"/>
        <w:rPr>
          <w:sz w:val="20"/>
          <w:szCs w:val="20"/>
          <w:color w:val="auto"/>
        </w:rPr>
      </w:pPr>
    </w:p>
    <w:p>
      <w:pPr>
        <w:ind w:left="760" w:right="399"/>
        <w:spacing w:after="0" w:line="254" w:lineRule="auto"/>
        <w:rPr>
          <w:sz w:val="20"/>
          <w:szCs w:val="20"/>
          <w:color w:val="auto"/>
        </w:rPr>
      </w:pPr>
      <w:r>
        <w:rPr>
          <w:rFonts w:ascii="Arial" w:cs="Arial" w:eastAsia="Arial" w:hAnsi="Arial"/>
          <w:sz w:val="18"/>
          <w:szCs w:val="18"/>
          <w:color w:val="auto"/>
        </w:rPr>
        <w:t>The terms of our three current Class III directors expire on the date of the Annual Meeting, subject to the election and qualification of their successors. Upon the recommendation of the nominating and corporate governance committee, the Board has nominated David M. Tehle, Thomas V. Taylor, Jr. and Virginia A. Hepner for election as Class III directors for a three-year term expiring in 2023.</w:t>
      </w:r>
    </w:p>
    <w:p>
      <w:pPr>
        <w:spacing w:after="0" w:line="82" w:lineRule="exact"/>
        <w:rPr>
          <w:sz w:val="20"/>
          <w:szCs w:val="20"/>
          <w:color w:val="auto"/>
        </w:rPr>
      </w:pPr>
    </w:p>
    <w:p>
      <w:pPr>
        <w:ind w:left="760" w:right="239"/>
        <w:spacing w:after="0" w:line="252" w:lineRule="auto"/>
        <w:rPr>
          <w:sz w:val="20"/>
          <w:szCs w:val="20"/>
          <w:color w:val="auto"/>
        </w:rPr>
      </w:pPr>
      <w:r>
        <w:rPr>
          <w:rFonts w:ascii="Arial" w:cs="Arial" w:eastAsia="Arial" w:hAnsi="Arial"/>
          <w:sz w:val="18"/>
          <w:szCs w:val="18"/>
          <w:color w:val="auto"/>
        </w:rPr>
        <w:t>Unless otherwise instructed, the persons named in the form of proxy card (the “proxyholders”) included with this proxy statement intend to vote the proxies held by them “FOR” the election of David M. Tehle, Thomas V. Taylor, Jr. and Virginia A. Hepner. We have no reason to believe that Messrs. Tehle and T. Taylor and Ms. Hepner will be unable or unwilling to serve if elected. If Messrs. Tehle and T. Taylor and Ms. Hepner cease to be a candidates for election by the time of the Annual Meeting (a contingency which the Board does not expect to occur), such proxies may be voted by the proxyholders in accordance with the 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  </w:t>
      </w:r>
      <w:r>
        <w:rPr>
          <w:sz w:val="1"/>
          <w:szCs w:val="1"/>
          <w:color w:val="auto"/>
        </w:rPr>
        <w:drawing>
          <wp:inline distT="0" distB="0" distL="0" distR="0">
            <wp:extent cx="299720" cy="24003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1" w:lineRule="exact"/>
        <w:rPr>
          <w:sz w:val="20"/>
          <w:szCs w:val="20"/>
          <w:color w:val="auto"/>
        </w:rPr>
      </w:pPr>
    </w:p>
    <w:p>
      <w:pPr>
        <w:ind w:left="760" w:right="339"/>
        <w:spacing w:after="0" w:line="261" w:lineRule="auto"/>
        <w:rPr>
          <w:sz w:val="20"/>
          <w:szCs w:val="20"/>
          <w:color w:val="auto"/>
        </w:rPr>
      </w:pPr>
      <w:r>
        <w:rPr>
          <w:rFonts w:ascii="Arial" w:cs="Arial" w:eastAsia="Arial" w:hAnsi="Arial"/>
          <w:sz w:val="18"/>
          <w:szCs w:val="18"/>
          <w:color w:val="auto"/>
        </w:rPr>
        <w:t>Set forth below is certain information regarding each director nominee. Beneficial ownership of equity securities of each director nominee is shown under “Ownership of Our Securities” below.</w:t>
      </w:r>
    </w:p>
    <w:p>
      <w:pPr>
        <w:spacing w:after="0" w:line="234"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3C5896"/>
        </w:rPr>
        <w:t>Virginia A. Hepner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-139065</wp:posOffset>
            </wp:positionV>
            <wp:extent cx="5795010" cy="1243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5010" cy="1243330"/>
                    </a:xfrm>
                    <a:prstGeom prst="rect">
                      <a:avLst/>
                    </a:prstGeom>
                    <a:noFill/>
                  </pic:spPr>
                </pic:pic>
              </a:graphicData>
            </a:graphic>
          </wp:anchor>
        </w:drawing>
      </w:r>
    </w:p>
    <w:p>
      <w:pPr>
        <w:spacing w:after="0" w:line="111"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2018</w:t>
      </w:r>
    </w:p>
    <w:p>
      <w:pPr>
        <w:spacing w:after="0" w:line="55"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96"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380" w:right="219"/>
        <w:spacing w:after="0" w:line="263" w:lineRule="auto"/>
        <w:rPr>
          <w:sz w:val="20"/>
          <w:szCs w:val="20"/>
          <w:color w:val="auto"/>
        </w:rPr>
      </w:pPr>
      <w:r>
        <w:rPr>
          <w:rFonts w:ascii="Arial" w:cs="Arial" w:eastAsia="Arial" w:hAnsi="Arial"/>
          <w:sz w:val="14"/>
          <w:szCs w:val="14"/>
          <w:color w:val="auto"/>
        </w:rPr>
        <w:t>Ms. Hepner is the former President and Chief Executive Officer of The Woodruff Arts Center in 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Ms. Hepner has been a member of the board of directors of Cadence Bancorporation since January 2019, serving on its audit committee, and had served as a director of State Bank Financial Corporation which merged with Cadence on January 1, 2019, serving on its audit committee and independent director committee, and as a director of its subsidiary bank, State Bank and Trust Company, from 2010 to 2019. Additionally, Ms. Hepner has been a member of the board of directors of Oxford Industries, Inc. since 2016, serving on its nominating, compensation and governance committee. Ms. Hepner holds a bachelor’s degree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-16510</wp:posOffset>
            </wp:positionV>
            <wp:extent cx="58375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52"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3C5896"/>
        </w:rPr>
        <w:t>Thomas V.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-139065</wp:posOffset>
            </wp:positionV>
            <wp:extent cx="5795010" cy="12426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5010" cy="1242695"/>
                    </a:xfrm>
                    <a:prstGeom prst="rect">
                      <a:avLst/>
                    </a:prstGeom>
                    <a:noFill/>
                  </pic:spPr>
                </pic:pic>
              </a:graphicData>
            </a:graphic>
          </wp:anchor>
        </w:drawing>
      </w:r>
    </w:p>
    <w:p>
      <w:pPr>
        <w:spacing w:after="0" w:line="111"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September 2018</w:t>
      </w:r>
    </w:p>
    <w:p>
      <w:pPr>
        <w:spacing w:after="0" w:line="55"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54</w:t>
      </w:r>
    </w:p>
    <w:p>
      <w:pPr>
        <w:spacing w:after="0" w:line="96"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380" w:right="239"/>
        <w:spacing w:after="0" w:line="264" w:lineRule="auto"/>
        <w:rPr>
          <w:sz w:val="20"/>
          <w:szCs w:val="20"/>
          <w:color w:val="auto"/>
        </w:rPr>
      </w:pPr>
      <w:r>
        <w:rPr>
          <w:rFonts w:ascii="Arial" w:cs="Arial" w:eastAsia="Arial" w:hAnsi="Arial"/>
          <w:sz w:val="14"/>
          <w:szCs w:val="14"/>
          <w:color w:val="auto"/>
        </w:rPr>
        <w:t>Mr. Taylor has served as Floor &amp; Decor’s Chief Executive Officer and as a director since December 2012, including during its 2017 IPO. Starting his retail career working at a Miami Home Depot store in 1983 at the age of 16, Mr. Taylor worked his way up through various operations roles to eventually serve as Executive Vice President of Operations responsible for all 2,200 Home Depot Stores; he also held the role of Executive Vice President of Merchandising and Marketing again for all stores. From 2006 to 2012, Mr. Taylor was Managing Director at Sun Capital Partners, during which time he served as a board member for more than 20 portfolio companies domestically and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-17145</wp:posOffset>
            </wp:positionV>
            <wp:extent cx="58375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52"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3C5896"/>
        </w:rPr>
        <w:t>David M. Tehle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-139065</wp:posOffset>
            </wp:positionV>
            <wp:extent cx="5795010" cy="1243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5010" cy="1243330"/>
                    </a:xfrm>
                    <a:prstGeom prst="rect">
                      <a:avLst/>
                    </a:prstGeom>
                    <a:noFill/>
                  </pic:spPr>
                </pic:pic>
              </a:graphicData>
            </a:graphic>
          </wp:anchor>
        </w:drawing>
      </w:r>
    </w:p>
    <w:p>
      <w:pPr>
        <w:spacing w:after="0" w:line="111"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July 2017</w:t>
      </w:r>
    </w:p>
    <w:p>
      <w:pPr>
        <w:spacing w:after="0" w:line="55"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96"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380" w:right="259"/>
        <w:spacing w:after="0" w:line="264" w:lineRule="auto"/>
        <w:rPr>
          <w:sz w:val="20"/>
          <w:szCs w:val="20"/>
          <w:color w:val="auto"/>
        </w:rPr>
      </w:pPr>
      <w:r>
        <w:rPr>
          <w:rFonts w:ascii="Arial" w:cs="Arial" w:eastAsia="Arial" w:hAnsi="Arial"/>
          <w:sz w:val="14"/>
          <w:szCs w:val="14"/>
          <w:color w:val="auto"/>
        </w:rPr>
        <w:t>Mr. Tehle retired from Dollar General Corporation in July 2015 as 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US Foods Holding Corp. in 2016, and serves on the audit and compensation committees. From 2016 until 2019, he was a member of the board of directors of Genesco, Inc. and he also served on the audit committee. Mr. Tehle holds a B.S. from the University of Wisconsin-Oshkosh and an M.B.A. from the University of Michigan’s Ross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58375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Continuing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85" w:lineRule="exact"/>
        <w:rPr>
          <w:sz w:val="20"/>
          <w:szCs w:val="20"/>
          <w:color w:val="auto"/>
        </w:rPr>
      </w:pPr>
    </w:p>
    <w:p>
      <w:pPr>
        <w:ind w:left="760" w:right="519"/>
        <w:spacing w:after="0" w:line="256" w:lineRule="auto"/>
        <w:rPr>
          <w:sz w:val="20"/>
          <w:szCs w:val="20"/>
          <w:color w:val="auto"/>
        </w:rPr>
      </w:pPr>
      <w:r>
        <w:rPr>
          <w:rFonts w:ascii="Arial" w:cs="Arial" w:eastAsia="Arial" w:hAnsi="Arial"/>
          <w:sz w:val="18"/>
          <w:szCs w:val="18"/>
          <w:color w:val="auto"/>
        </w:rPr>
        <w:t>Set forth below is certain information regarding each director whose term continues beyond the Annual Meeting and who is not subject to election this year. Beneficial ownership of equity securities for these directors is also shown under “Ownership of Our Securities” below.</w:t>
      </w:r>
    </w:p>
    <w:p>
      <w:pPr>
        <w:spacing w:after="0" w:line="238"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3C5896"/>
        </w:rPr>
        <w:t>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-139065</wp:posOffset>
            </wp:positionV>
            <wp:extent cx="5777865" cy="12426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7865" cy="1242695"/>
                    </a:xfrm>
                    <a:prstGeom prst="rect">
                      <a:avLst/>
                    </a:prstGeom>
                    <a:noFill/>
                  </pic:spPr>
                </pic:pic>
              </a:graphicData>
            </a:graphic>
          </wp:anchor>
        </w:drawing>
      </w:r>
    </w:p>
    <w:p>
      <w:pPr>
        <w:spacing w:after="0" w:line="111"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59</w:t>
      </w:r>
    </w:p>
    <w:p>
      <w:pPr>
        <w:spacing w:after="0" w:line="96"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114" w:lineRule="exact"/>
        <w:rPr>
          <w:sz w:val="20"/>
          <w:szCs w:val="20"/>
          <w:color w:val="auto"/>
        </w:rPr>
      </w:pPr>
    </w:p>
    <w:p>
      <w:pPr>
        <w:ind w:left="2440" w:right="259"/>
        <w:spacing w:after="0" w:line="264" w:lineRule="auto"/>
        <w:rPr>
          <w:sz w:val="20"/>
          <w:szCs w:val="20"/>
          <w:color w:val="auto"/>
        </w:rPr>
      </w:pPr>
      <w:r>
        <w:rPr>
          <w:rFonts w:ascii="Arial" w:cs="Arial" w:eastAsia="Arial" w:hAnsi="Arial"/>
          <w:sz w:val="14"/>
          <w:szCs w:val="14"/>
          <w:color w:val="auto"/>
        </w:rPr>
        <w:t>Mr. Fahs has served as the Chief Executive Officer of National Vision, Inc. (“NVI”) since January 2003, having joined NVI in April 2002 as the President and Chief Operating Officer, and was appointed the Chief Executive Officer of National Vision Holdings, Inc. in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22860</wp:posOffset>
            </wp:positionV>
            <wp:extent cx="58375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76"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3C5896"/>
        </w:rPr>
        <w:t>Nathaniel H.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-139065</wp:posOffset>
            </wp:positionV>
            <wp:extent cx="5768975" cy="12433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8975" cy="1243330"/>
                    </a:xfrm>
                    <a:prstGeom prst="rect">
                      <a:avLst/>
                    </a:prstGeom>
                    <a:noFill/>
                  </pic:spPr>
                </pic:pic>
              </a:graphicData>
            </a:graphic>
          </wp:anchor>
        </w:drawing>
      </w:r>
    </w:p>
    <w:p>
      <w:pPr>
        <w:spacing w:after="0" w:line="111"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February 2014</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43</w:t>
      </w:r>
    </w:p>
    <w:p>
      <w:pPr>
        <w:spacing w:after="0" w:line="96"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440" w:right="199"/>
        <w:spacing w:after="0" w:line="264" w:lineRule="auto"/>
        <w:rPr>
          <w:sz w:val="20"/>
          <w:szCs w:val="20"/>
          <w:color w:val="auto"/>
        </w:rPr>
      </w:pPr>
      <w:r>
        <w:rPr>
          <w:rFonts w:ascii="Arial" w:cs="Arial" w:eastAsia="Arial" w:hAnsi="Arial"/>
          <w:sz w:val="14"/>
          <w:szCs w:val="14"/>
          <w:color w:val="auto"/>
        </w:rPr>
        <w:t>Mr. Taylor has served as Chairman of the Board since October 2017. Mr. Taylor joined KKR &amp; Co. Inc. (“KKR”) in 2005 and currently is the Co-Head of Americas Private Equity and a member of the Investment Committee within KKR’s Americas Private Equity platform. Previously, he was the head of the Americas Consumer Retail team. Mr. Taylor also helped establish KKR’s Indian operations. Mr. Taylor has been involved with many investments at KKR and currently sits on the board of directors of Academy Sports + Outdoors, Mills Fleet Farm, and Nature’s Bounty Company. Before joining KKR, Mr. Taylor was with Bain Capital, where he was involved in the execution of investments in the retail, health care and technology sectors. Mr. Taylor holds a B.A. from Dartmouth College and an M.B.A. from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-19050</wp:posOffset>
            </wp:positionV>
            <wp:extent cx="58375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8  </w:t>
      </w:r>
      <w:r>
        <w:rPr>
          <w:sz w:val="1"/>
          <w:szCs w:val="1"/>
          <w:color w:val="auto"/>
        </w:rPr>
        <w:drawing>
          <wp:inline distT="0" distB="0" distL="0" distR="0">
            <wp:extent cx="299720" cy="24003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83"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3C5896"/>
        </w:rPr>
        <w:t>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-139065</wp:posOffset>
            </wp:positionV>
            <wp:extent cx="5777865" cy="1243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77865" cy="1243330"/>
                    </a:xfrm>
                    <a:prstGeom prst="rect">
                      <a:avLst/>
                    </a:prstGeom>
                    <a:noFill/>
                  </pic:spPr>
                </pic:pic>
              </a:graphicData>
            </a:graphic>
          </wp:anchor>
        </w:drawing>
      </w:r>
    </w:p>
    <w:p>
      <w:pPr>
        <w:spacing w:after="0" w:line="111"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96"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60" w:lineRule="exact"/>
        <w:rPr>
          <w:sz w:val="20"/>
          <w:szCs w:val="20"/>
          <w:color w:val="auto"/>
        </w:rPr>
      </w:pPr>
    </w:p>
    <w:p>
      <w:pPr>
        <w:ind w:left="2440" w:right="279"/>
        <w:spacing w:after="0" w:line="265" w:lineRule="auto"/>
        <w:rPr>
          <w:sz w:val="20"/>
          <w:szCs w:val="20"/>
          <w:color w:val="auto"/>
        </w:rPr>
      </w:pPr>
      <w:r>
        <w:rPr>
          <w:rFonts w:ascii="Arial" w:cs="Arial" w:eastAsia="Arial" w:hAnsi="Arial"/>
          <w:sz w:val="14"/>
          <w:szCs w:val="14"/>
          <w:color w:val="auto"/>
        </w:rPr>
        <w:t>Mr. Peeler joined Berkshire Partners LLC (“Berkshire”) in 1996 and became a Managing 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 Inc., Husky International, Inc., Lightower Fiber Networks and Curriculum Associates, LLC. Mr. Peeler has an A.B. from Duke University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99695</wp:posOffset>
            </wp:positionV>
            <wp:extent cx="58375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3C5896"/>
        </w:rPr>
        <w:t>Heather Cianfrocco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-139065</wp:posOffset>
            </wp:positionV>
            <wp:extent cx="5768975" cy="129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68975" cy="1294130"/>
                    </a:xfrm>
                    <a:prstGeom prst="rect">
                      <a:avLst/>
                    </a:prstGeom>
                    <a:noFill/>
                  </pic:spPr>
                </pic:pic>
              </a:graphicData>
            </a:graphic>
          </wp:anchor>
        </w:drawing>
      </w:r>
    </w:p>
    <w:p>
      <w:pPr>
        <w:spacing w:after="0" w:line="111"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July 2019</w:t>
      </w:r>
    </w:p>
    <w:p>
      <w:pPr>
        <w:spacing w:after="0" w:line="55"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46</w:t>
      </w:r>
    </w:p>
    <w:p>
      <w:pPr>
        <w:spacing w:after="0" w:line="96"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440" w:right="279"/>
        <w:spacing w:after="0" w:line="261" w:lineRule="auto"/>
        <w:rPr>
          <w:sz w:val="20"/>
          <w:szCs w:val="20"/>
          <w:color w:val="auto"/>
        </w:rPr>
      </w:pPr>
      <w:r>
        <w:rPr>
          <w:rFonts w:ascii="Arial" w:cs="Arial" w:eastAsia="Arial" w:hAnsi="Arial"/>
          <w:sz w:val="14"/>
          <w:szCs w:val="14"/>
          <w:color w:val="auto"/>
        </w:rPr>
        <w:t>Ms. Cianfrocco is the Chief Executive Officer of UnitedHealthcare Community &amp; State and has served in that role since February 2018. From July 2017 until February 2018, Ms. Cianfrocco served as Senior Vice President of Health Advancement and Clinical Transformation for UnitedHealthcare Medicare &amp; Retirement. From June 2016 until July 2017, she served as senior vice president of Clinical Strategy and Operations for UnitedHealthcare Community &amp; State. Prior to that, Ms. Cianfrocco was the Northeast Region President for UnitedHealthcare Community &amp; State from June 2012 until June 2016. Throughout her time with UnitedHealthcare, she has held other leadership positions within Community &amp; State in legal, compliance, operations, and contracting. Before joining UnitedHealthcare,</w:t>
      </w:r>
    </w:p>
    <w:p>
      <w:pPr>
        <w:spacing w:after="0" w:line="3" w:lineRule="exact"/>
        <w:rPr>
          <w:sz w:val="20"/>
          <w:szCs w:val="20"/>
          <w:color w:val="auto"/>
        </w:rPr>
      </w:pPr>
    </w:p>
    <w:p>
      <w:pPr>
        <w:jc w:val="both"/>
        <w:ind w:left="2440" w:right="439"/>
        <w:spacing w:after="0" w:line="267" w:lineRule="auto"/>
        <w:rPr>
          <w:sz w:val="20"/>
          <w:szCs w:val="20"/>
          <w:color w:val="auto"/>
        </w:rPr>
      </w:pPr>
      <w:r>
        <w:rPr>
          <w:rFonts w:ascii="Arial" w:cs="Arial" w:eastAsia="Arial" w:hAnsi="Arial"/>
          <w:sz w:val="14"/>
          <w:szCs w:val="14"/>
          <w:color w:val="auto"/>
        </w:rPr>
        <w:t>Ms. Cianfrocco worked in private legal practices in Pittsburgh, Pennsylvania where she concentrated on corporate and securities law, representing health care entities in mergers and acquisitions. Ms. Cianfrocco has a Bachelor of Arts degree from Pennsylvania State University, a Juris Doctorate from Duquesne University School of Law, and a Masters in Health Care Delivery Science from Dartmouth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-20320</wp:posOffset>
            </wp:positionV>
            <wp:extent cx="58375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right="339"/>
        <w:spacing w:after="0" w:line="252" w:lineRule="auto"/>
        <w:rPr>
          <w:sz w:val="20"/>
          <w:szCs w:val="20"/>
          <w:color w:val="auto"/>
        </w:rPr>
      </w:pPr>
      <w:r>
        <w:rPr>
          <w:rFonts w:ascii="Arial" w:cs="Arial" w:eastAsia="Arial" w:hAnsi="Arial"/>
          <w:sz w:val="18"/>
          <w:szCs w:val="18"/>
          <w:color w:val="auto"/>
        </w:rPr>
        <w:t>The primary responsibility of our Board is to oversee the affairs of the Company for the benefit of our stockholders and other stakeholders. As part of its responsibility, the Board oversees critical matters such as strategy, management succession planning, financial and other internal controls, corporate governance, risk management and compliance. To assist it in fulfilling its duties, our Board has delegated certain authority to its standing committees—the audit committee, the nominating and corporate governance committee and the compensation committee. The duties and responsibilities of these standing committees are described below under “Board Committees and Meetings.”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31" w:lineRule="exact"/>
        <w:rPr>
          <w:sz w:val="20"/>
          <w:szCs w:val="20"/>
          <w:color w:val="auto"/>
        </w:rPr>
      </w:pPr>
    </w:p>
    <w:p>
      <w:pPr>
        <w:ind w:left="760" w:right="299"/>
        <w:spacing w:after="0" w:line="254" w:lineRule="auto"/>
        <w:rPr>
          <w:sz w:val="20"/>
          <w:szCs w:val="20"/>
          <w:color w:val="auto"/>
        </w:rPr>
      </w:pPr>
      <w:r>
        <w:rPr>
          <w:rFonts w:ascii="Arial" w:cs="Arial" w:eastAsia="Arial" w:hAnsi="Arial"/>
          <w:sz w:val="18"/>
          <w:szCs w:val="18"/>
          <w:color w:val="auto"/>
        </w:rPr>
        <w:t>We believe the Company benefits from having a strong and independent Board. Under our Corporate Governance Guidelines and the Nasdaq Listing Rules, a director is not independent unless the Board affirmatively determines that he or she does not have a relationship with management that, in the opinion of the Board, would interfere with the exercise of independent judgment in carrying out the responsibilities of a director.</w:t>
      </w:r>
    </w:p>
    <w:p>
      <w:pPr>
        <w:spacing w:after="0" w:line="96" w:lineRule="exact"/>
        <w:rPr>
          <w:sz w:val="20"/>
          <w:szCs w:val="20"/>
          <w:color w:val="auto"/>
        </w:rPr>
      </w:pPr>
    </w:p>
    <w:p>
      <w:pPr>
        <w:jc w:val="both"/>
        <w:ind w:left="760" w:right="199"/>
        <w:spacing w:after="0" w:line="256" w:lineRule="auto"/>
        <w:rPr>
          <w:sz w:val="20"/>
          <w:szCs w:val="20"/>
          <w:color w:val="auto"/>
        </w:rPr>
      </w:pPr>
      <w:r>
        <w:rPr>
          <w:rFonts w:ascii="Arial" w:cs="Arial" w:eastAsia="Arial" w:hAnsi="Arial"/>
          <w:sz w:val="18"/>
          <w:szCs w:val="18"/>
          <w:color w:val="auto"/>
        </w:rPr>
        <w:t>Our Corporate Governance Guidelines define independence in accordance with the independence standards in the current Nasdaq Listing Rules. Our Corporate Governance Guidelines require the Board to review the independence of all directors at least annually.</w:t>
      </w:r>
    </w:p>
    <w:p>
      <w:pPr>
        <w:spacing w:after="0" w:line="94" w:lineRule="exact"/>
        <w:rPr>
          <w:sz w:val="20"/>
          <w:szCs w:val="20"/>
          <w:color w:val="auto"/>
        </w:rPr>
      </w:pPr>
    </w:p>
    <w:p>
      <w:pPr>
        <w:ind w:left="760" w:right="299"/>
        <w:spacing w:after="0" w:line="253" w:lineRule="auto"/>
        <w:rPr>
          <w:sz w:val="20"/>
          <w:szCs w:val="20"/>
          <w:color w:val="auto"/>
        </w:rPr>
      </w:pPr>
      <w:r>
        <w:rPr>
          <w:rFonts w:ascii="Arial" w:cs="Arial" w:eastAsia="Arial" w:hAnsi="Arial"/>
          <w:sz w:val="18"/>
          <w:szCs w:val="18"/>
          <w:color w:val="auto"/>
        </w:rPr>
        <w:t>Our Board has affirmatively determined that all of the directors and nominees for director, except Mr. Fahs, are independent under the guidelines for director independence set forth in the Corporate Governance Guidelines and under all applicable Nasdaq guidelines. Mr. Fahs is not considered an independent director because of his employment as Chief Executive Officer of the Company. All members of the audit committee, compensation committee and nominating and corporate governance committee are independent.</w:t>
      </w:r>
    </w:p>
    <w:p>
      <w:pPr>
        <w:spacing w:after="0" w:line="97" w:lineRule="exact"/>
        <w:rPr>
          <w:sz w:val="20"/>
          <w:szCs w:val="20"/>
          <w:color w:val="auto"/>
        </w:rPr>
      </w:pPr>
    </w:p>
    <w:p>
      <w:pPr>
        <w:ind w:left="760" w:right="899"/>
        <w:spacing w:after="0" w:line="261" w:lineRule="auto"/>
        <w:rPr>
          <w:sz w:val="20"/>
          <w:szCs w:val="20"/>
          <w:color w:val="auto"/>
        </w:rPr>
      </w:pPr>
      <w:r>
        <w:rPr>
          <w:rFonts w:ascii="Arial" w:cs="Arial" w:eastAsia="Arial" w:hAnsi="Arial"/>
          <w:sz w:val="18"/>
          <w:szCs w:val="18"/>
          <w:color w:val="auto"/>
        </w:rPr>
        <w:t>In making its independence determinations, the Board considered and reviewed all information known to it, including information identified through annual directors’ questionnaires.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right="239"/>
        <w:spacing w:after="0" w:line="251" w:lineRule="auto"/>
        <w:rPr>
          <w:sz w:val="20"/>
          <w:szCs w:val="20"/>
          <w:color w:val="auto"/>
        </w:rPr>
      </w:pPr>
      <w:r>
        <w:rPr>
          <w:rFonts w:ascii="Arial" w:cs="Arial" w:eastAsia="Arial" w:hAnsi="Arial"/>
          <w:sz w:val="18"/>
          <w:szCs w:val="18"/>
          <w:color w:val="auto"/>
        </w:rPr>
        <w:t>At each Annual Meeting, the successors to directors whose terms then expire will be elected to serve from the time of election and qualification until the third Annual Meeting following their election. Our Certificate of Incorporation provides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 of our Company. See “Classified Board and Supermajority Sunset Commitment” below for more details of our Board’s commitment to submit for stockholder vote at the 2021 Annual Meeting a proposal that would eliminate the classified Board structure and certain other governance provisions.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right="199"/>
        <w:spacing w:after="0" w:line="267" w:lineRule="auto"/>
        <w:rPr>
          <w:sz w:val="20"/>
          <w:szCs w:val="20"/>
          <w:color w:val="auto"/>
        </w:rPr>
      </w:pPr>
      <w:r>
        <w:rPr>
          <w:rFonts w:ascii="Arial" w:cs="Arial" w:eastAsia="Arial" w:hAnsi="Arial"/>
          <w:sz w:val="17"/>
          <w:szCs w:val="17"/>
          <w:color w:val="auto"/>
        </w:rPr>
        <w:t>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integrity, accountability, skills, experience, independence, other outside commitments and ability to work collegially with the other members of the Board of Directors. In addition, although the Board considers a diversity of viewpoints, background and experiences (including age, race and ethnicity) as important to the selection of directors to enhance the Board’s cognitive diversity, the Board does not have a formal diversity policy. The nominating and corporate governance committee may identify candidates for election to the Board of Directors on its own, or by considering recommendations from stockholders, officers and employees of the Company and other sources that the nominating and corporate governance committee deems appropriate. The nominating and corporate governance committee may retain a third-party search firm to assist in the identification of possible candidates for election to the Board of Directors.</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10  </w:t>
      </w:r>
      <w:r>
        <w:rPr>
          <w:sz w:val="1"/>
          <w:szCs w:val="1"/>
          <w:color w:val="auto"/>
        </w:rPr>
        <w:drawing>
          <wp:inline distT="0" distB="0" distL="0" distR="0">
            <wp:extent cx="299720" cy="24003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760" w:right="239"/>
        <w:spacing w:after="0" w:line="252" w:lineRule="auto"/>
        <w:rPr>
          <w:sz w:val="20"/>
          <w:szCs w:val="20"/>
          <w:color w:val="auto"/>
        </w:rPr>
      </w:pPr>
      <w:r>
        <w:rPr>
          <w:rFonts w:ascii="Arial" w:cs="Arial" w:eastAsia="Arial" w:hAnsi="Arial"/>
          <w:sz w:val="18"/>
          <w:szCs w:val="18"/>
          <w:color w:val="auto"/>
        </w:rPr>
        <w:t>When considering whether directors and nominees have the experience, qualifications, attributes or skills, taken as a whole, to enable our Board of Directors to satisfy its oversight responsibilities effectively in light of our business and structure and address areas where additional expertise or skills may be needed,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00" w:lineRule="exact"/>
        <w:rPr>
          <w:sz w:val="20"/>
          <w:szCs w:val="20"/>
          <w:color w:val="auto"/>
        </w:rPr>
      </w:pPr>
    </w:p>
    <w:p>
      <w:pPr>
        <w:ind w:left="760" w:right="659"/>
        <w:spacing w:after="0" w:line="261" w:lineRule="auto"/>
        <w:rPr>
          <w:sz w:val="20"/>
          <w:szCs w:val="20"/>
          <w:color w:val="auto"/>
        </w:rPr>
      </w:pPr>
      <w:r>
        <w:rPr>
          <w:rFonts w:ascii="Arial" w:cs="Arial" w:eastAsia="Arial" w:hAnsi="Arial"/>
          <w:sz w:val="18"/>
          <w:szCs w:val="18"/>
          <w:color w:val="auto"/>
        </w:rPr>
        <w:t>In particular, the members of our Board of Directors considered the following important characteristics, among others:</w:t>
      </w:r>
    </w:p>
    <w:p>
      <w:pPr>
        <w:spacing w:after="0" w:line="103" w:lineRule="exact"/>
        <w:rPr>
          <w:sz w:val="20"/>
          <w:szCs w:val="20"/>
          <w:color w:val="auto"/>
        </w:rPr>
      </w:pPr>
    </w:p>
    <w:p>
      <w:pPr>
        <w:ind w:left="1120" w:hanging="212"/>
        <w:spacing w:after="0"/>
        <w:tabs>
          <w:tab w:leader="none" w:pos="1120" w:val="left"/>
        </w:tabs>
        <w:numPr>
          <w:ilvl w:val="0"/>
          <w:numId w:val="11"/>
        </w:numPr>
        <w:rPr>
          <w:rFonts w:ascii="Arial" w:cs="Arial" w:eastAsia="Arial" w:hAnsi="Arial"/>
          <w:sz w:val="18"/>
          <w:szCs w:val="18"/>
          <w:color w:val="3C5896"/>
        </w:rPr>
      </w:pPr>
      <w:r>
        <w:rPr>
          <w:rFonts w:ascii="Arial" w:cs="Arial" w:eastAsia="Arial" w:hAnsi="Arial"/>
          <w:sz w:val="18"/>
          <w:szCs w:val="18"/>
          <w:color w:val="auto"/>
        </w:rPr>
        <w:t>Mr. Fahs, our Chief Executive Officer, has many years of executive experience in the optical retail industry.</w:t>
      </w:r>
    </w:p>
    <w:p>
      <w:pPr>
        <w:spacing w:after="0" w:line="103" w:lineRule="exact"/>
        <w:rPr>
          <w:rFonts w:ascii="Arial" w:cs="Arial" w:eastAsia="Arial" w:hAnsi="Arial"/>
          <w:sz w:val="18"/>
          <w:szCs w:val="18"/>
          <w:color w:val="3C5896"/>
        </w:rPr>
      </w:pPr>
    </w:p>
    <w:p>
      <w:pPr>
        <w:ind w:left="1120" w:right="339" w:hanging="212"/>
        <w:spacing w:after="0"/>
        <w:tabs>
          <w:tab w:leader="none" w:pos="1120" w:val="left"/>
        </w:tabs>
        <w:numPr>
          <w:ilvl w:val="0"/>
          <w:numId w:val="11"/>
        </w:numPr>
        <w:rPr>
          <w:rFonts w:ascii="Arial" w:cs="Arial" w:eastAsia="Arial" w:hAnsi="Arial"/>
          <w:sz w:val="18"/>
          <w:szCs w:val="18"/>
          <w:color w:val="3C5896"/>
        </w:rPr>
      </w:pPr>
      <w:r>
        <w:rPr>
          <w:rFonts w:ascii="Arial" w:cs="Arial" w:eastAsia="Arial" w:hAnsi="Arial"/>
          <w:sz w:val="18"/>
          <w:szCs w:val="18"/>
          <w:color w:val="auto"/>
        </w:rPr>
        <w:t>Mr. N. Taylor has significant financial, investment and operational experience from his involvement with numerous portfolio companies of KKR &amp; Co. and its affiliated funds and has played active roles in overseeing those businesses.</w:t>
      </w:r>
    </w:p>
    <w:p>
      <w:pPr>
        <w:spacing w:after="0" w:line="94" w:lineRule="exact"/>
        <w:rPr>
          <w:rFonts w:ascii="Arial" w:cs="Arial" w:eastAsia="Arial" w:hAnsi="Arial"/>
          <w:sz w:val="18"/>
          <w:szCs w:val="18"/>
          <w:color w:val="3C5896"/>
        </w:rPr>
      </w:pPr>
    </w:p>
    <w:p>
      <w:pPr>
        <w:ind w:left="1120" w:right="479" w:hanging="212"/>
        <w:spacing w:after="0" w:line="246" w:lineRule="auto"/>
        <w:tabs>
          <w:tab w:leader="none" w:pos="1120" w:val="left"/>
        </w:tabs>
        <w:numPr>
          <w:ilvl w:val="0"/>
          <w:numId w:val="11"/>
        </w:numPr>
        <w:rPr>
          <w:rFonts w:ascii="Arial" w:cs="Arial" w:eastAsia="Arial" w:hAnsi="Arial"/>
          <w:sz w:val="18"/>
          <w:szCs w:val="18"/>
          <w:color w:val="3C5896"/>
        </w:rPr>
      </w:pPr>
      <w:r>
        <w:rPr>
          <w:rFonts w:ascii="Arial" w:cs="Arial" w:eastAsia="Arial" w:hAnsi="Arial"/>
          <w:sz w:val="18"/>
          <w:szCs w:val="18"/>
          <w:color w:val="auto"/>
        </w:rPr>
        <w:t>Mr. Peeler has significant experience and expertise in private equity investments through his involvement in Berkshire’s investments.</w:t>
      </w:r>
    </w:p>
    <w:p>
      <w:pPr>
        <w:spacing w:after="0" w:line="102" w:lineRule="exact"/>
        <w:rPr>
          <w:rFonts w:ascii="Arial" w:cs="Arial" w:eastAsia="Arial" w:hAnsi="Arial"/>
          <w:sz w:val="18"/>
          <w:szCs w:val="18"/>
          <w:color w:val="3C5896"/>
        </w:rPr>
      </w:pPr>
    </w:p>
    <w:p>
      <w:pPr>
        <w:ind w:left="1120" w:right="419" w:hanging="212"/>
        <w:spacing w:after="0"/>
        <w:tabs>
          <w:tab w:leader="none" w:pos="1120" w:val="left"/>
        </w:tabs>
        <w:numPr>
          <w:ilvl w:val="0"/>
          <w:numId w:val="11"/>
        </w:numPr>
        <w:rPr>
          <w:rFonts w:ascii="Arial" w:cs="Arial" w:eastAsia="Arial" w:hAnsi="Arial"/>
          <w:sz w:val="18"/>
          <w:szCs w:val="18"/>
          <w:color w:val="3C5896"/>
        </w:rPr>
      </w:pPr>
      <w:r>
        <w:rPr>
          <w:rFonts w:ascii="Arial" w:cs="Arial" w:eastAsia="Arial" w:hAnsi="Arial"/>
          <w:sz w:val="18"/>
          <w:szCs w:val="18"/>
          <w:color w:val="auto"/>
        </w:rPr>
        <w:t>Mr. Tehle has many years of experience as the chief financial officer of a publicly held company and as a director of publicly held companies and has significant knowledge of financial reporting, internal controls and procedures and risk management.</w:t>
      </w:r>
    </w:p>
    <w:p>
      <w:pPr>
        <w:spacing w:after="0" w:line="94" w:lineRule="exact"/>
        <w:rPr>
          <w:rFonts w:ascii="Arial" w:cs="Arial" w:eastAsia="Arial" w:hAnsi="Arial"/>
          <w:sz w:val="18"/>
          <w:szCs w:val="18"/>
          <w:color w:val="3C5896"/>
        </w:rPr>
      </w:pPr>
    </w:p>
    <w:p>
      <w:pPr>
        <w:ind w:left="1120" w:right="359" w:hanging="212"/>
        <w:spacing w:after="0"/>
        <w:tabs>
          <w:tab w:leader="none" w:pos="1120" w:val="left"/>
        </w:tabs>
        <w:numPr>
          <w:ilvl w:val="0"/>
          <w:numId w:val="11"/>
        </w:numPr>
        <w:rPr>
          <w:rFonts w:ascii="Arial" w:cs="Arial" w:eastAsia="Arial" w:hAnsi="Arial"/>
          <w:sz w:val="18"/>
          <w:szCs w:val="18"/>
          <w:color w:val="3C5896"/>
        </w:rPr>
      </w:pPr>
      <w:r>
        <w:rPr>
          <w:rFonts w:ascii="Arial" w:cs="Arial" w:eastAsia="Arial" w:hAnsi="Arial"/>
          <w:sz w:val="18"/>
          <w:szCs w:val="18"/>
          <w:color w:val="auto"/>
        </w:rPr>
        <w:t>Ms. Hepner has leadership experience as the president and chief executive officer of a nationally-esteemed arts center, has significant financial expertise in corporate banking and capital markets having served as a senior officer with financial oversight responsibilities and has served as a director of publicly held companies.</w:t>
      </w:r>
    </w:p>
    <w:p>
      <w:pPr>
        <w:spacing w:after="0" w:line="94" w:lineRule="exact"/>
        <w:rPr>
          <w:rFonts w:ascii="Arial" w:cs="Arial" w:eastAsia="Arial" w:hAnsi="Arial"/>
          <w:sz w:val="18"/>
          <w:szCs w:val="18"/>
          <w:color w:val="3C5896"/>
        </w:rPr>
      </w:pPr>
    </w:p>
    <w:p>
      <w:pPr>
        <w:ind w:left="1120" w:right="399" w:hanging="212"/>
        <w:spacing w:after="0" w:line="246" w:lineRule="auto"/>
        <w:tabs>
          <w:tab w:leader="none" w:pos="1120" w:val="left"/>
        </w:tabs>
        <w:numPr>
          <w:ilvl w:val="0"/>
          <w:numId w:val="11"/>
        </w:numPr>
        <w:rPr>
          <w:rFonts w:ascii="Arial" w:cs="Arial" w:eastAsia="Arial" w:hAnsi="Arial"/>
          <w:sz w:val="18"/>
          <w:szCs w:val="18"/>
          <w:color w:val="3C5896"/>
        </w:rPr>
      </w:pPr>
      <w:r>
        <w:rPr>
          <w:rFonts w:ascii="Arial" w:cs="Arial" w:eastAsia="Arial" w:hAnsi="Arial"/>
          <w:sz w:val="18"/>
          <w:szCs w:val="18"/>
          <w:color w:val="auto"/>
        </w:rPr>
        <w:t>Mr. T. Taylor has significant executive, financial and operational experience as the chief executive officer of a publicly held retail company.</w:t>
      </w:r>
    </w:p>
    <w:p>
      <w:pPr>
        <w:spacing w:after="0" w:line="88" w:lineRule="exact"/>
        <w:rPr>
          <w:rFonts w:ascii="Arial" w:cs="Arial" w:eastAsia="Arial" w:hAnsi="Arial"/>
          <w:sz w:val="18"/>
          <w:szCs w:val="18"/>
          <w:color w:val="3C5896"/>
        </w:rPr>
      </w:pPr>
    </w:p>
    <w:p>
      <w:pPr>
        <w:ind w:left="1120" w:right="179" w:hanging="212"/>
        <w:spacing w:after="0" w:line="246" w:lineRule="auto"/>
        <w:tabs>
          <w:tab w:leader="none" w:pos="1120" w:val="left"/>
        </w:tabs>
        <w:numPr>
          <w:ilvl w:val="0"/>
          <w:numId w:val="11"/>
        </w:numPr>
        <w:rPr>
          <w:rFonts w:ascii="Arial" w:cs="Arial" w:eastAsia="Arial" w:hAnsi="Arial"/>
          <w:sz w:val="18"/>
          <w:szCs w:val="18"/>
          <w:color w:val="3C5896"/>
        </w:rPr>
      </w:pPr>
      <w:r>
        <w:rPr>
          <w:rFonts w:ascii="Arial" w:cs="Arial" w:eastAsia="Arial" w:hAnsi="Arial"/>
          <w:sz w:val="18"/>
          <w:szCs w:val="18"/>
          <w:color w:val="auto"/>
        </w:rPr>
        <w:t>Ms. Cianfrocco has leadership and business expertise, a depth of knowledge and experience in the health care industry as well as experience in private legal practice where she focused on corporate and securities law.</w:t>
      </w:r>
    </w:p>
    <w:p>
      <w:pPr>
        <w:spacing w:after="0" w:line="89" w:lineRule="exact"/>
        <w:rPr>
          <w:sz w:val="20"/>
          <w:szCs w:val="20"/>
          <w:color w:val="auto"/>
        </w:rPr>
      </w:pPr>
    </w:p>
    <w:p>
      <w:pPr>
        <w:ind w:left="760" w:right="199"/>
        <w:spacing w:after="0" w:line="251"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stockholders on the same basis as recommendations from other sources. Any recommendation submitted to the Secretary of the Company should be in writing and should include any supporting material the stockholder considers appropriate in support of that recommendation, but must include information that would be required under the rules of the U.S. Securities and Exchange Commission (the “SEC”) to be included in a proxy statement soliciting proxies for the election of such candidate and a written consent of the candidate to serve as one of our directors if elected. Stockholders also must satisfy the notification, timeliness, consent and information requirements set forth in our Bylaws. Stockholders wishing to propose a candidate for consideration may do so by submitting the required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nominating and corporate governance committee for its consideration. These requirements are also described under “Stockholder Proposals for the 2021 Annual Meeting.”</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Leadership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right="279"/>
        <w:spacing w:after="0" w:line="251" w:lineRule="auto"/>
        <w:rPr>
          <w:sz w:val="20"/>
          <w:szCs w:val="20"/>
          <w:color w:val="auto"/>
        </w:rPr>
      </w:pPr>
      <w:r>
        <w:rPr>
          <w:rFonts w:ascii="Arial" w:cs="Arial" w:eastAsia="Arial" w:hAnsi="Arial"/>
          <w:sz w:val="18"/>
          <w:szCs w:val="18"/>
          <w:color w:val="auto"/>
        </w:rPr>
        <w:t>As described in our Corporate Governance Guidelines, our Board directs and oversees the management of the business and the affairs of the Company using its business judgment to act in the best interests of the Company and its stockholders. As part of this oversight role, the Board selects and oversees the members of senior management who are charged by the Board with conducting the business of the Company. While our 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our Board currently believes that having these positions separated, with Mr. N. Taylor serving as Chairman of the Board and Mr. Fahs serving as our Chief Executive Officer and also as a director, is the appropriate leadership structure at this time and demonstrates our commitment to good corporate governance. However, our Board of Directors will continue to periodically review our leadership structure and may make such changes in the future as it deems appropriate. Under our Corporate Governance Guidelines, should the Board determine that such positions should not be separated and the Chairperson of the Board is also the Chief Executive</w:t>
      </w:r>
    </w:p>
    <w:p>
      <w:pPr>
        <w:spacing w:after="0" w:line="325"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4" w:lineRule="exact"/>
        <w:rPr>
          <w:sz w:val="20"/>
          <w:szCs w:val="20"/>
          <w:color w:val="auto"/>
        </w:rPr>
      </w:pPr>
    </w:p>
    <w:p>
      <w:pPr>
        <w:ind w:left="760" w:right="299"/>
        <w:spacing w:after="0" w:line="235" w:lineRule="auto"/>
        <w:rPr>
          <w:sz w:val="20"/>
          <w:szCs w:val="20"/>
          <w:color w:val="auto"/>
        </w:rPr>
      </w:pPr>
      <w:r>
        <w:rPr>
          <w:rFonts w:ascii="Arial" w:cs="Arial" w:eastAsia="Arial" w:hAnsi="Arial"/>
          <w:sz w:val="18"/>
          <w:szCs w:val="18"/>
          <w:color w:val="auto"/>
        </w:rPr>
        <w:t>Officer or a director who does not qualify as an independent director, the independent directors may annually elect from among themselves a lead independent director.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77" w:lineRule="exact"/>
        <w:rPr>
          <w:sz w:val="20"/>
          <w:szCs w:val="20"/>
          <w:color w:val="auto"/>
        </w:rPr>
      </w:pPr>
    </w:p>
    <w:p>
      <w:pPr>
        <w:ind w:left="760" w:right="179"/>
        <w:spacing w:after="0" w:line="222" w:lineRule="auto"/>
        <w:rPr>
          <w:sz w:val="20"/>
          <w:szCs w:val="20"/>
          <w:color w:val="auto"/>
        </w:rPr>
      </w:pPr>
      <w:r>
        <w:rPr>
          <w:rFonts w:ascii="Arial" w:cs="Arial" w:eastAsia="Arial" w:hAnsi="Arial"/>
          <w:sz w:val="18"/>
          <w:szCs w:val="18"/>
          <w:color w:val="auto"/>
        </w:rPr>
        <w:t>Management is responsible for the day-to-day management of risk, while the Board, as a whole and through its committees has extensive involvement in the oversight of the Company’s risk management. The Board engages in risk oversight throughout the year as a matter of course in fulfilling its role overseeing management and business operations, including receiving reports from management on the strategic plans and related risks facing the Company which range from financial risks to regulatory, legal, supply chain, COVID-19 or pandemic-related, competitive and information technology risks. The Board has delegated to its committees certain elements of its risk oversight function to better coordinate with management and serve the long-term interests of our stockholders. We believe that the leadership structure of our Board of Directors, along with the allocation of risk management responsibilities described below by appropriate committee oversight, provides appropriate risk oversight of our activities.</w:t>
      </w:r>
    </w:p>
    <w:p>
      <w:pPr>
        <w:spacing w:after="0" w:line="97" w:lineRule="exact"/>
        <w:rPr>
          <w:sz w:val="20"/>
          <w:szCs w:val="20"/>
          <w:color w:val="auto"/>
        </w:rPr>
      </w:pPr>
    </w:p>
    <w:p>
      <w:pPr>
        <w:ind w:left="760" w:right="219"/>
        <w:spacing w:after="0" w:line="236" w:lineRule="auto"/>
        <w:rPr>
          <w:sz w:val="20"/>
          <w:szCs w:val="20"/>
          <w:color w:val="auto"/>
        </w:rPr>
      </w:pPr>
      <w:r>
        <w:rPr>
          <w:rFonts w:ascii="Arial" w:cs="Arial" w:eastAsia="Arial" w:hAnsi="Arial"/>
          <w:sz w:val="18"/>
          <w:szCs w:val="18"/>
          <w:color w:val="auto"/>
        </w:rPr>
        <w:t>The audit committee oversees our risk management process with a specific focus on internal controls, financial statement integrity, compliance programs, fraud risk, legal matters and related risk mitigation. Along with the Board, the audit committee also receives regular reports from management to help ensure effective and efficient oversight and to assist in proper risk management, including with respect to cybersecurity, and the ongoing evaluation of management controls. Through its regular meetings with management, including the finance, legal, internal audit, and compliance functions and discussions, as appropriate, with our independent registered public accounting firm and internal auditors, the audit committee reviews and discusses significant areas of our business, including areas of risk and appropriate mitigating factors. Internal audit reports functionally and administratively to our Chief Financial Officer and directly to the audit committee.</w:t>
      </w:r>
    </w:p>
    <w:p>
      <w:pPr>
        <w:spacing w:after="0" w:line="99" w:lineRule="exact"/>
        <w:rPr>
          <w:sz w:val="20"/>
          <w:szCs w:val="20"/>
          <w:color w:val="auto"/>
        </w:rPr>
      </w:pPr>
    </w:p>
    <w:p>
      <w:pPr>
        <w:ind w:left="760" w:right="359"/>
        <w:spacing w:after="0"/>
        <w:rPr>
          <w:sz w:val="20"/>
          <w:szCs w:val="20"/>
          <w:color w:val="auto"/>
        </w:rPr>
      </w:pPr>
      <w:r>
        <w:rPr>
          <w:rFonts w:ascii="Arial" w:cs="Arial" w:eastAsia="Arial" w:hAnsi="Arial"/>
          <w:sz w:val="18"/>
          <w:szCs w:val="18"/>
          <w:color w:val="auto"/>
        </w:rPr>
        <w:t>The compensation committee reviews the risk profile of the Company’s compensation policies and practices, including a review of a risk assessment of our compensation programs and managing risk associated with human capital management, including employee recruitment and retention.</w:t>
      </w:r>
    </w:p>
    <w:p>
      <w:pPr>
        <w:spacing w:after="0" w:line="95" w:lineRule="exact"/>
        <w:rPr>
          <w:sz w:val="20"/>
          <w:szCs w:val="20"/>
          <w:color w:val="auto"/>
        </w:rPr>
      </w:pPr>
    </w:p>
    <w:p>
      <w:pPr>
        <w:ind w:left="760" w:right="659"/>
        <w:spacing w:after="0" w:line="274" w:lineRule="auto"/>
        <w:rPr>
          <w:sz w:val="20"/>
          <w:szCs w:val="20"/>
          <w:color w:val="auto"/>
        </w:rPr>
      </w:pPr>
      <w:r>
        <w:rPr>
          <w:rFonts w:ascii="Arial" w:cs="Arial" w:eastAsia="Arial" w:hAnsi="Arial"/>
          <w:sz w:val="17"/>
          <w:szCs w:val="17"/>
          <w:color w:val="auto"/>
        </w:rPr>
        <w:t>The nominating and corporate governance committee monitors risks relating to governance matters, including corporate responsibility and sustainability, and recommends appropriate actions in response to those risks.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ind w:left="760" w:right="519"/>
        <w:spacing w:after="0" w:line="238" w:lineRule="auto"/>
        <w:rPr>
          <w:sz w:val="20"/>
          <w:szCs w:val="20"/>
          <w:color w:val="auto"/>
        </w:rPr>
      </w:pPr>
      <w:r>
        <w:rPr>
          <w:rFonts w:ascii="Arial" w:cs="Arial" w:eastAsia="Arial" w:hAnsi="Arial"/>
          <w:sz w:val="18"/>
          <w:szCs w:val="18"/>
          <w:color w:val="auto"/>
        </w:rPr>
        <w:t>The Board believes that one of its primary responsibilities is to oversee the development and retention of senior talent and to ensure that an appropriate succession plan is in place for our Chief Executive Officer and other members of senior management. The Board and compensation committee, together with the Chief Executive Officer, regularly reviews senior management talent and succession planning.</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1" w:lineRule="exact"/>
        <w:rPr>
          <w:sz w:val="20"/>
          <w:szCs w:val="20"/>
          <w:color w:val="auto"/>
        </w:rPr>
      </w:pPr>
    </w:p>
    <w:p>
      <w:pPr>
        <w:ind w:left="760" w:right="579"/>
        <w:spacing w:after="0"/>
        <w:rPr>
          <w:sz w:val="20"/>
          <w:szCs w:val="20"/>
          <w:color w:val="auto"/>
        </w:rPr>
      </w:pPr>
      <w:r>
        <w:rPr>
          <w:rFonts w:ascii="Arial" w:cs="Arial" w:eastAsia="Arial" w:hAnsi="Arial"/>
          <w:sz w:val="18"/>
          <w:szCs w:val="18"/>
          <w:color w:val="auto"/>
        </w:rPr>
        <w:t>Executive sessions, which are meetings of the independent directors of the Board, are regularly scheduled throughout the year, typically at the time of each regular Board meeting and as frequently as such independent directors deem appropriate.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1" w:lineRule="exact"/>
        <w:rPr>
          <w:sz w:val="20"/>
          <w:szCs w:val="20"/>
          <w:color w:val="auto"/>
        </w:rPr>
      </w:pPr>
    </w:p>
    <w:p>
      <w:pPr>
        <w:ind w:left="760" w:right="219"/>
        <w:spacing w:after="0" w:line="237" w:lineRule="auto"/>
        <w:rPr>
          <w:sz w:val="20"/>
          <w:szCs w:val="20"/>
          <w:color w:val="auto"/>
        </w:rPr>
      </w:pPr>
      <w:r>
        <w:rPr>
          <w:rFonts w:ascii="Arial" w:cs="Arial" w:eastAsia="Arial" w:hAnsi="Arial"/>
          <w:sz w:val="18"/>
          <w:szCs w:val="18"/>
          <w:color w:val="auto"/>
        </w:rPr>
        <w:t>In order to increase the effectiveness of the Board, the nominating and corporate governance committee supervises a review and evaluation of the performance of the Board and its committees. The evaluation is conducted through a range of questions related to topics including structure of the Board and its committees, overall Board and committee effectiveness, oversight and risk management, strategy and Board access to information and resources. In 2019, an evaluation was conducted and completed with each director providing direct feedback. The evaluation results about the Board and its committees were reviewed and discussed by the nominating and corporate governance committee as well as the full Board.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ind w:left="760" w:right="719"/>
        <w:spacing w:after="0" w:line="274" w:lineRule="auto"/>
        <w:rPr>
          <w:sz w:val="20"/>
          <w:szCs w:val="20"/>
          <w:color w:val="auto"/>
        </w:rPr>
      </w:pPr>
      <w:r>
        <w:rPr>
          <w:rFonts w:ascii="Arial" w:cs="Arial" w:eastAsia="Arial" w:hAnsi="Arial"/>
          <w:sz w:val="17"/>
          <w:szCs w:val="17"/>
          <w:color w:val="auto"/>
        </w:rPr>
        <w:t>As described in our Corporate Governance Guidelines, stockholders and other interested parties who wish to communicate with a member or members of our Board of Directors, including the chairperson of our Board of</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12  </w:t>
      </w:r>
      <w:r>
        <w:rPr>
          <w:sz w:val="1"/>
          <w:szCs w:val="1"/>
          <w:color w:val="auto"/>
        </w:rPr>
        <w:drawing>
          <wp:inline distT="0" distB="0" distL="0" distR="0">
            <wp:extent cx="299720" cy="24003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FFFFFF"/>
        </w:rPr>
        <w:t>BOARD OF DIRECTORS AND CERTAIN GOVERNANCE MATTERS</w:t>
      </w:r>
    </w:p>
    <w:p>
      <w:pPr>
        <w:spacing w:after="0" w:line="259" w:lineRule="exact"/>
        <w:rPr>
          <w:sz w:val="20"/>
          <w:szCs w:val="20"/>
          <w:color w:val="auto"/>
        </w:rPr>
      </w:pPr>
    </w:p>
    <w:p>
      <w:pPr>
        <w:ind w:left="760" w:right="499"/>
        <w:spacing w:after="0" w:line="254" w:lineRule="auto"/>
        <w:rPr>
          <w:sz w:val="20"/>
          <w:szCs w:val="20"/>
          <w:color w:val="auto"/>
        </w:rPr>
      </w:pPr>
      <w:r>
        <w:rPr>
          <w:rFonts w:ascii="Arial" w:cs="Arial" w:eastAsia="Arial" w:hAnsi="Arial"/>
          <w:sz w:val="18"/>
          <w:szCs w:val="18"/>
          <w:color w:val="auto"/>
        </w:rPr>
        <w:t>Directors, the chairperson of any of the audit, compensation and nominating and corporate governance committees, or to the non-management or independent directors as a group, may do so by addressing such communications or concerns to the Secretary of the Company, 2435 Commerce Ave, Building 2200, Duluth, GA 30096, who will forward such communication to the appropriate party.</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Committees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right="999"/>
        <w:spacing w:after="0" w:line="261" w:lineRule="auto"/>
        <w:rPr>
          <w:sz w:val="20"/>
          <w:szCs w:val="20"/>
          <w:color w:val="auto"/>
        </w:rPr>
      </w:pPr>
      <w:r>
        <w:rPr>
          <w:rFonts w:ascii="Arial" w:cs="Arial" w:eastAsia="Arial" w:hAnsi="Arial"/>
          <w:sz w:val="18"/>
          <w:szCs w:val="18"/>
          <w:color w:val="auto"/>
        </w:rPr>
        <w:t>Our Board of Directors has an audit committee, a nominating and corporate governance committee and a compensation committee, each of which operates under a charter that has been approved by our Board.</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current membership of each of the Board’s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100330</wp:posOffset>
            </wp:positionV>
            <wp:extent cx="5837555" cy="1431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37555" cy="14312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 Reade Fahs</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Nathaniel H. Taylor</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Heather Cianfrocco</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Virginia A. Hepner</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 Randolph Peeler</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Thomas V. Taylor, Jr.</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David M. Tehle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top w:val="single" w:sz="8" w:color="3C5896"/>
            </w:tcBorders>
            <w:shd w:val="clear" w:color="auto" w:fill="3C5896"/>
          </w:tcPr>
          <w:p>
            <w:pPr>
              <w:spacing w:after="0"/>
              <w:rPr>
                <w:sz w:val="17"/>
                <w:szCs w:val="17"/>
                <w:color w:val="auto"/>
              </w:rPr>
            </w:pPr>
          </w:p>
        </w:tc>
        <w:tc>
          <w:tcPr>
            <w:tcW w:w="170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5"/>
              </w:rPr>
              <w:t>Audit</w:t>
            </w:r>
          </w:p>
        </w:tc>
        <w:tc>
          <w:tcPr>
            <w:tcW w:w="258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Nominating and Corporate</w:t>
            </w:r>
          </w:p>
        </w:tc>
        <w:tc>
          <w:tcPr>
            <w:tcW w:w="40" w:type="dxa"/>
            <w:vAlign w:val="bottom"/>
            <w:tcBorders>
              <w:top w:val="single" w:sz="8" w:color="3C5896"/>
            </w:tcBorders>
            <w:shd w:val="clear" w:color="auto" w:fill="3C5896"/>
          </w:tcPr>
          <w:p>
            <w:pPr>
              <w:spacing w:after="0"/>
              <w:rPr>
                <w:sz w:val="17"/>
                <w:szCs w:val="17"/>
                <w:color w:val="auto"/>
              </w:rPr>
            </w:pPr>
          </w:p>
        </w:tc>
        <w:tc>
          <w:tcPr>
            <w:tcW w:w="1680" w:type="dxa"/>
            <w:vAlign w:val="bottom"/>
            <w:tcBorders>
              <w:top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rPr>
              <w:t>Compensation</w:t>
            </w:r>
          </w:p>
        </w:tc>
        <w:tc>
          <w:tcPr>
            <w:tcW w:w="20" w:type="dxa"/>
            <w:vAlign w:val="bottom"/>
            <w:tcBorders>
              <w:top w:val="single" w:sz="8" w:color="3C5896"/>
            </w:tcBorders>
            <w:shd w:val="clear" w:color="auto" w:fill="3C5896"/>
          </w:tcPr>
          <w:p>
            <w:pPr>
              <w:spacing w:after="0"/>
              <w:rPr>
                <w:sz w:val="17"/>
                <w:szCs w:val="17"/>
                <w:color w:val="auto"/>
              </w:rPr>
            </w:pPr>
          </w:p>
        </w:tc>
      </w:tr>
      <w:tr>
        <w:trPr>
          <w:trHeight w:val="252"/>
        </w:trPr>
        <w:tc>
          <w:tcPr>
            <w:tcW w:w="40" w:type="dxa"/>
            <w:vAlign w:val="bottom"/>
            <w:shd w:val="clear" w:color="auto" w:fill="3C5896"/>
          </w:tcPr>
          <w:p>
            <w:pPr>
              <w:spacing w:after="0"/>
              <w:rPr>
                <w:sz w:val="21"/>
                <w:szCs w:val="21"/>
                <w:color w:val="auto"/>
              </w:rPr>
            </w:pPr>
          </w:p>
        </w:tc>
        <w:tc>
          <w:tcPr>
            <w:tcW w:w="17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25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Governance Committee</w:t>
            </w:r>
          </w:p>
        </w:tc>
        <w:tc>
          <w:tcPr>
            <w:tcW w:w="40" w:type="dxa"/>
            <w:vAlign w:val="bottom"/>
            <w:shd w:val="clear" w:color="auto" w:fill="3C5896"/>
          </w:tcPr>
          <w:p>
            <w:pPr>
              <w:spacing w:after="0"/>
              <w:rPr>
                <w:sz w:val="21"/>
                <w:szCs w:val="21"/>
                <w:color w:val="auto"/>
              </w:rPr>
            </w:pPr>
          </w:p>
        </w:tc>
        <w:tc>
          <w:tcPr>
            <w:tcW w:w="1680" w:type="dxa"/>
            <w:vAlign w:val="bottom"/>
            <w:shd w:val="clear" w:color="auto" w:fill="3C5896"/>
          </w:tcPr>
          <w:p>
            <w:pPr>
              <w:jc w:val="center"/>
              <w:spacing w:after="0"/>
              <w:rPr>
                <w:sz w:val="20"/>
                <w:szCs w:val="20"/>
                <w:color w:val="auto"/>
              </w:rPr>
            </w:pPr>
            <w:r>
              <w:rPr>
                <w:rFonts w:ascii="Arial" w:cs="Arial" w:eastAsia="Arial" w:hAnsi="Arial"/>
                <w:sz w:val="18"/>
                <w:szCs w:val="18"/>
                <w:b w:val="1"/>
                <w:bCs w:val="1"/>
                <w:color w:val="FFFFFF"/>
              </w:rPr>
              <w:t>Committee</w:t>
            </w:r>
          </w:p>
        </w:tc>
        <w:tc>
          <w:tcPr>
            <w:tcW w:w="20" w:type="dxa"/>
            <w:vAlign w:val="bottom"/>
            <w:shd w:val="clear" w:color="auto" w:fill="3C5896"/>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1700" w:type="dxa"/>
            <w:vAlign w:val="bottom"/>
            <w:tcBorders>
              <w:right w:val="single" w:sz="8" w:color="9EACCA"/>
            </w:tcBorders>
          </w:tcPr>
          <w:p>
            <w:pPr>
              <w:spacing w:after="0"/>
              <w:rPr>
                <w:sz w:val="22"/>
                <w:szCs w:val="22"/>
                <w:color w:val="auto"/>
              </w:rPr>
            </w:pPr>
          </w:p>
        </w:tc>
        <w:tc>
          <w:tcPr>
            <w:tcW w:w="2580" w:type="dxa"/>
            <w:vAlign w:val="bottom"/>
            <w:tcBorders>
              <w:right w:val="single" w:sz="8" w:color="9EACCA"/>
            </w:tcBorders>
          </w:tcPr>
          <w:p>
            <w:pPr>
              <w:spacing w:after="0"/>
              <w:rPr>
                <w:sz w:val="22"/>
                <w:szCs w:val="22"/>
                <w:color w:val="auto"/>
              </w:rPr>
            </w:pPr>
          </w:p>
        </w:tc>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0" w:type="dxa"/>
            <w:vAlign w:val="bottom"/>
            <w:shd w:val="clear" w:color="auto" w:fill="CCCCCC"/>
          </w:tcPr>
          <w:p>
            <w:pPr>
              <w:spacing w:after="0"/>
              <w:rPr>
                <w:sz w:val="22"/>
                <w:szCs w:val="22"/>
                <w:color w:val="auto"/>
              </w:rPr>
            </w:pPr>
          </w:p>
        </w:tc>
        <w:tc>
          <w:tcPr>
            <w:tcW w:w="1700" w:type="dxa"/>
            <w:vAlign w:val="bottom"/>
            <w:tcBorders>
              <w:right w:val="single" w:sz="8" w:color="9EACCA"/>
            </w:tcBorders>
            <w:shd w:val="clear" w:color="auto" w:fill="CCCCCC"/>
          </w:tcPr>
          <w:p>
            <w:pPr>
              <w:spacing w:after="0"/>
              <w:rPr>
                <w:sz w:val="22"/>
                <w:szCs w:val="22"/>
                <w:color w:val="auto"/>
              </w:rPr>
            </w:pPr>
          </w:p>
        </w:tc>
        <w:tc>
          <w:tcPr>
            <w:tcW w:w="25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1700" w:type="dxa"/>
            <w:vAlign w:val="bottom"/>
            <w:tcBorders>
              <w:right w:val="single" w:sz="8" w:color="9EACCA"/>
            </w:tcBorders>
          </w:tcPr>
          <w:p>
            <w:pPr>
              <w:spacing w:after="0"/>
              <w:rPr>
                <w:sz w:val="21"/>
                <w:szCs w:val="21"/>
                <w:color w:val="auto"/>
              </w:rPr>
            </w:pPr>
          </w:p>
        </w:tc>
        <w:tc>
          <w:tcPr>
            <w:tcW w:w="258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1"/>
                <w:szCs w:val="21"/>
                <w:color w:val="auto"/>
              </w:rPr>
            </w:pPr>
          </w:p>
        </w:tc>
      </w:tr>
      <w:tr>
        <w:trPr>
          <w:trHeight w:val="263"/>
        </w:trPr>
        <w:tc>
          <w:tcPr>
            <w:tcW w:w="40" w:type="dxa"/>
            <w:vAlign w:val="bottom"/>
            <w:shd w:val="clear" w:color="auto" w:fill="CCCCCC"/>
          </w:tcPr>
          <w:p>
            <w:pPr>
              <w:spacing w:after="0"/>
              <w:rPr>
                <w:sz w:val="22"/>
                <w:szCs w:val="22"/>
                <w:color w:val="auto"/>
              </w:rPr>
            </w:pPr>
          </w:p>
        </w:tc>
        <w:tc>
          <w:tcPr>
            <w:tcW w:w="17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25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7"/>
              </w:rPr>
              <w:t>Chair</w:t>
            </w: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1700" w:type="dxa"/>
            <w:vAlign w:val="bottom"/>
            <w:tcBorders>
              <w:right w:val="single" w:sz="8" w:color="9EACCA"/>
            </w:tcBorders>
          </w:tcPr>
          <w:p>
            <w:pPr>
              <w:spacing w:after="0"/>
              <w:rPr>
                <w:sz w:val="21"/>
                <w:szCs w:val="21"/>
                <w:color w:val="auto"/>
              </w:rPr>
            </w:pPr>
          </w:p>
        </w:tc>
        <w:tc>
          <w:tcPr>
            <w:tcW w:w="258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40" w:type="dxa"/>
            <w:vAlign w:val="bottom"/>
            <w:shd w:val="clear" w:color="auto" w:fill="CCCCCC"/>
          </w:tcPr>
          <w:p>
            <w:pPr>
              <w:spacing w:after="0"/>
              <w:rPr>
                <w:sz w:val="22"/>
                <w:szCs w:val="22"/>
                <w:color w:val="auto"/>
              </w:rPr>
            </w:pPr>
          </w:p>
        </w:tc>
        <w:tc>
          <w:tcPr>
            <w:tcW w:w="17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258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Chair</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17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Chair</w:t>
            </w:r>
          </w:p>
        </w:tc>
        <w:tc>
          <w:tcPr>
            <w:tcW w:w="258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75" w:lineRule="exact"/>
        <w:rPr>
          <w:sz w:val="20"/>
          <w:szCs w:val="20"/>
          <w:color w:val="auto"/>
        </w:rPr>
      </w:pPr>
    </w:p>
    <w:p>
      <w:pPr>
        <w:sectPr>
          <w:pgSz w:w="11900" w:h="16838" w:orient="portrait"/>
          <w:cols w:equalWidth="0" w:num="2">
            <w:col w:w="3180" w:space="720"/>
            <w:col w:w="6239"/>
          </w:cols>
          <w:pgMar w:left="320" w:top="132" w:right="1440" w:bottom="1440" w:gutter="0" w:footer="0" w:header="0"/>
          <w:type w:val="continuous"/>
        </w:sectPr>
      </w:pPr>
    </w:p>
    <w:p>
      <w:pPr>
        <w:ind w:left="760" w:right="379"/>
        <w:spacing w:after="0" w:line="251" w:lineRule="auto"/>
        <w:rPr>
          <w:sz w:val="20"/>
          <w:szCs w:val="20"/>
          <w:color w:val="auto"/>
        </w:rPr>
      </w:pPr>
      <w:r>
        <w:rPr>
          <w:rFonts w:ascii="Arial" w:cs="Arial" w:eastAsia="Arial" w:hAnsi="Arial"/>
          <w:sz w:val="18"/>
          <w:szCs w:val="18"/>
          <w:color w:val="auto"/>
        </w:rPr>
        <w:t>All directors are expected to make every effort to attend all meetings of the Board of Directors, meetings of the committees of which they are members and the Annual Meeting of Stockholders. During the fiscal year ended December 28, 2019, the Board held seven meetings, the audit committee held eight meetings, the compensation committee held four meetings and the nominating and corporate governance committee, held four meetings. In addition, the Board, the audit committee, the compensation committee and the nominating and corporate governance committee acted by unanimous written consent several times during fiscal 2019. In fiscal 2019, other than Mr. N. Taylor and Ms. Cianfrocco, all directors attended 100% of the meeting of the Board of Directors and committees. Mr. N. Taylor attended 71% of the meetings of the Board of Directors as he was unable to attend two Board meetings due to extenuating circumstances. Ms. Cianfrocco attended 50% of the Board and committee meetings held after her appointment to the Board in July 2019 due to a pre-existing conflict for one meeting date prior to her joining the Board.</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Committee</w:t>
      </w:r>
    </w:p>
    <w:p>
      <w:pPr>
        <w:spacing w:after="0" w:line="139" w:lineRule="exact"/>
        <w:rPr>
          <w:sz w:val="20"/>
          <w:szCs w:val="20"/>
          <w:color w:val="auto"/>
        </w:rPr>
      </w:pPr>
    </w:p>
    <w:p>
      <w:pPr>
        <w:ind w:left="760" w:right="179"/>
        <w:spacing w:after="0" w:line="253" w:lineRule="auto"/>
        <w:rPr>
          <w:sz w:val="20"/>
          <w:szCs w:val="20"/>
          <w:color w:val="auto"/>
        </w:rPr>
      </w:pPr>
      <w:r>
        <w:rPr>
          <w:rFonts w:ascii="Arial" w:cs="Arial" w:eastAsia="Arial" w:hAnsi="Arial"/>
          <w:sz w:val="18"/>
          <w:szCs w:val="18"/>
          <w:color w:val="auto"/>
        </w:rPr>
        <w:t>Our audit committee consists of David M. Tehle, who serves as the Chair, Virginia A. Hepner and Thomas Taylor, Jr. Mr. Tehle, Ms. Hepner and Mr. T. Taylor each qualifies as an independent director under Nasdaq corporate governance standards and the independence requirements of Rule 10A-3 of the Securities Exchange Act of 1934 (the “Exchange Act”). Our Board of Directors has determined that Mr. Tehle and Ms. Hepner each qualifies as an “audit committee financial expert” as such term is defined in Item 407(d)(5) of Regulation S-K.</w:t>
      </w:r>
    </w:p>
    <w:p>
      <w:pPr>
        <w:spacing w:after="0" w:line="97" w:lineRule="exact"/>
        <w:rPr>
          <w:sz w:val="20"/>
          <w:szCs w:val="20"/>
          <w:color w:val="auto"/>
        </w:rPr>
      </w:pPr>
    </w:p>
    <w:p>
      <w:pPr>
        <w:ind w:left="760" w:right="459"/>
        <w:spacing w:after="0" w:line="265" w:lineRule="auto"/>
        <w:rPr>
          <w:sz w:val="20"/>
          <w:szCs w:val="20"/>
          <w:color w:val="auto"/>
        </w:rPr>
      </w:pPr>
      <w:r>
        <w:rPr>
          <w:rFonts w:ascii="Arial" w:cs="Arial" w:eastAsia="Arial" w:hAnsi="Arial"/>
          <w:sz w:val="17"/>
          <w:szCs w:val="17"/>
          <w:color w:val="auto"/>
        </w:rPr>
        <w:t>The audit committee is responsible for, among other things, preparing the audit committee report required by the SEC to be included in our proxy statement and assisting our Board of Directors with respect to its oversight of</w:t>
      </w:r>
    </w:p>
    <w:p>
      <w:pPr>
        <w:ind w:left="760" w:right="279" w:firstLine="4"/>
        <w:spacing w:after="0" w:line="253" w:lineRule="auto"/>
        <w:tabs>
          <w:tab w:leader="none" w:pos="10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risk management policies and procedures, (2) the audits and integrity of our financial statements, and the effectiveness of internal control over financial reporting, (3) our compliance with legal and regulatory requirements, including SEC filings, (4) the qualifications, engagement, performance and independence of the outside auditors, including approving all auditing and non-auditing services performed by our outside auditors and (5) approving the annual audit plans and the performance of our internal audit function.</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39" w:lineRule="exact"/>
        <w:rPr>
          <w:sz w:val="20"/>
          <w:szCs w:val="20"/>
          <w:color w:val="auto"/>
        </w:rPr>
      </w:pPr>
    </w:p>
    <w:p>
      <w:pPr>
        <w:ind w:left="760" w:right="219"/>
        <w:spacing w:after="0" w:line="254" w:lineRule="auto"/>
        <w:rPr>
          <w:sz w:val="20"/>
          <w:szCs w:val="20"/>
          <w:color w:val="auto"/>
        </w:rPr>
      </w:pPr>
      <w:r>
        <w:rPr>
          <w:rFonts w:ascii="Arial" w:cs="Arial" w:eastAsia="Arial" w:hAnsi="Arial"/>
          <w:sz w:val="18"/>
          <w:szCs w:val="18"/>
          <w:color w:val="auto"/>
        </w:rPr>
        <w:t>Our nominating and corporate governance committee consists of Virginia Hepner, who serves as the Chair, Nathaniel H. Taylor and D. Randolph Peeler. Each member of the nominating and corporate governance committee has been determined to be independent under the applicable listing standards of Nasdaq and our Corporate Governance Guidelines.</w:t>
      </w:r>
    </w:p>
    <w:p>
      <w:pPr>
        <w:spacing w:after="0" w:line="306"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760" w:right="299"/>
        <w:spacing w:after="0" w:line="238" w:lineRule="auto"/>
        <w:rPr>
          <w:sz w:val="20"/>
          <w:szCs w:val="20"/>
          <w:color w:val="auto"/>
        </w:rPr>
      </w:pPr>
      <w:r>
        <w:rPr>
          <w:rFonts w:ascii="Arial" w:cs="Arial" w:eastAsia="Arial" w:hAnsi="Arial"/>
          <w:sz w:val="18"/>
          <w:szCs w:val="18"/>
          <w:color w:val="auto"/>
        </w:rPr>
        <w:t>The primary purpose of the nominating and corporate governance committee is to provide assistance to the Board of Directors by, among other things, determining the size, structure, composition, processes and practices of the Board and its committees and assessing director independence and qualifications. The committee also identifies, recommends and assists the Board in recruiting individuals qualified to become Board members, and takes a leadership role in shaping the corporate governance of the Company.</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ind w:left="760" w:right="319"/>
        <w:spacing w:after="0"/>
        <w:rPr>
          <w:sz w:val="20"/>
          <w:szCs w:val="20"/>
          <w:color w:val="auto"/>
        </w:rPr>
      </w:pPr>
      <w:r>
        <w:rPr>
          <w:rFonts w:ascii="Arial" w:cs="Arial" w:eastAsia="Arial" w:hAnsi="Arial"/>
          <w:sz w:val="18"/>
          <w:szCs w:val="18"/>
          <w:color w:val="auto"/>
        </w:rPr>
        <w:t>Our compensation committee consists of Thomas Taylor, Jr., who serves as the Chair, Nathaniel H. Taylor and Heather Cianfrocco. Each member of the compensation committee has been determined to be independent under the applicable listing standards of Nasdaq and our Corporate Governance Guidelines.</w:t>
      </w:r>
    </w:p>
    <w:p>
      <w:pPr>
        <w:spacing w:after="0" w:line="95" w:lineRule="exact"/>
        <w:rPr>
          <w:sz w:val="20"/>
          <w:szCs w:val="20"/>
          <w:color w:val="auto"/>
        </w:rPr>
      </w:pPr>
    </w:p>
    <w:p>
      <w:pPr>
        <w:ind w:left="760" w:right="219"/>
        <w:spacing w:after="0" w:line="238" w:lineRule="auto"/>
        <w:rPr>
          <w:sz w:val="20"/>
          <w:szCs w:val="20"/>
          <w:color w:val="auto"/>
        </w:rPr>
      </w:pPr>
      <w:r>
        <w:rPr>
          <w:rFonts w:ascii="Arial" w:cs="Arial" w:eastAsia="Arial" w:hAnsi="Arial"/>
          <w:sz w:val="18"/>
          <w:szCs w:val="18"/>
          <w:color w:val="auto"/>
        </w:rPr>
        <w:t>The primary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Committee Charters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right="239"/>
        <w:spacing w:after="0" w:line="238"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 of Directors’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w:t>
      </w:r>
    </w:p>
    <w:p>
      <w:pPr>
        <w:spacing w:after="0" w:line="94" w:lineRule="exact"/>
        <w:rPr>
          <w:sz w:val="20"/>
          <w:szCs w:val="20"/>
          <w:color w:val="auto"/>
        </w:rPr>
      </w:pPr>
    </w:p>
    <w:p>
      <w:pPr>
        <w:ind w:left="760" w:right="279"/>
        <w:spacing w:after="0"/>
        <w:rPr>
          <w:sz w:val="20"/>
          <w:szCs w:val="20"/>
          <w:color w:val="auto"/>
        </w:rPr>
      </w:pPr>
      <w:r>
        <w:rPr>
          <w:rFonts w:ascii="Arial" w:cs="Arial" w:eastAsia="Arial" w:hAnsi="Arial"/>
          <w:sz w:val="18"/>
          <w:szCs w:val="18"/>
          <w:color w:val="auto"/>
        </w:rPr>
        <w:t xml:space="preserve">Our Corporate Governance Guidelines, audit, nominating and corporate governance and compensation committee charters, and other corporate governance information are available in the investors section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ind w:left="760" w:right="299"/>
        <w:spacing w:after="0" w:line="238" w:lineRule="auto"/>
        <w:rPr>
          <w:sz w:val="20"/>
          <w:szCs w:val="20"/>
          <w:color w:val="auto"/>
        </w:rPr>
      </w:pPr>
      <w:r>
        <w:rPr>
          <w:rFonts w:ascii="Arial" w:cs="Arial" w:eastAsia="Arial" w:hAnsi="Arial"/>
          <w:sz w:val="18"/>
          <w:szCs w:val="18"/>
          <w:color w:val="auto"/>
        </w:rPr>
        <w:t xml:space="preserve">We are committed to ensuring our business is conducted ethically and legally. We maintain a written code of conduct that applies to our directors, officers and employees, including our principal executive officer, principal financial officer, principal accounting officer or controller, or persons performing similar functions, which we call our Code of Conduct. Our Code of Conduct is a “code of ethics” as defined in Item 406(b) of Regulation S-K and is posted in the investors section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94" w:lineRule="exact"/>
        <w:rPr>
          <w:sz w:val="20"/>
          <w:szCs w:val="20"/>
          <w:color w:val="auto"/>
        </w:rPr>
      </w:pPr>
    </w:p>
    <w:p>
      <w:pPr>
        <w:ind w:left="760" w:right="199"/>
        <w:spacing w:after="0" w:line="246" w:lineRule="auto"/>
        <w:rPr>
          <w:sz w:val="20"/>
          <w:szCs w:val="20"/>
          <w:color w:val="auto"/>
        </w:rPr>
      </w:pPr>
      <w:r>
        <w:rPr>
          <w:rFonts w:ascii="Arial" w:cs="Arial" w:eastAsia="Arial" w:hAnsi="Arial"/>
          <w:sz w:val="18"/>
          <w:szCs w:val="18"/>
          <w:color w:val="auto"/>
        </w:rPr>
        <w:t>We intend to make any legally required disclosures regarding amendments to, or waivers of, provisions of our Code of Conduct on our website.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Hedging and 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ind w:left="760" w:right="219"/>
        <w:spacing w:after="0" w:line="236" w:lineRule="auto"/>
        <w:rPr>
          <w:sz w:val="20"/>
          <w:szCs w:val="20"/>
          <w:color w:val="auto"/>
        </w:rPr>
      </w:pPr>
      <w:r>
        <w:rPr>
          <w:rFonts w:ascii="Arial" w:cs="Arial" w:eastAsia="Arial" w:hAnsi="Arial"/>
          <w:sz w:val="18"/>
          <w:szCs w:val="18"/>
          <w:color w:val="auto"/>
        </w:rPr>
        <w:t>The Company’s Securities Trading Policy requires executive officers and directors to consult the Company’s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The Company’s Securities Trading Policy discourages employees from purchasing the Company’s securities on margin, or borrowing against any account in which the Company’s securities are held, or pledging the Company’s securities as collateral for a loan. For directors and officers, the pledging of Company securities is limited to those situations approved by the Company’s General Counsel.</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ind w:left="760" w:right="219"/>
        <w:spacing w:after="0" w:line="238" w:lineRule="auto"/>
        <w:rPr>
          <w:sz w:val="20"/>
          <w:szCs w:val="20"/>
          <w:color w:val="auto"/>
        </w:rPr>
      </w:pPr>
      <w:r>
        <w:rPr>
          <w:rFonts w:ascii="Arial" w:cs="Arial" w:eastAsia="Arial" w:hAnsi="Arial"/>
          <w:sz w:val="18"/>
          <w:szCs w:val="18"/>
          <w:color w:val="auto"/>
        </w:rPr>
        <w:t>The Board has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w:t>
      </w:r>
    </w:p>
    <w:p>
      <w:pPr>
        <w:spacing w:after="0" w:line="32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14  </w:t>
      </w:r>
      <w:r>
        <w:rPr>
          <w:sz w:val="1"/>
          <w:szCs w:val="1"/>
          <w:color w:val="auto"/>
        </w:rPr>
        <w:drawing>
          <wp:inline distT="0" distB="0" distL="0" distR="0">
            <wp:extent cx="299720" cy="24003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760" w:right="219"/>
        <w:spacing w:after="0" w:line="253" w:lineRule="auto"/>
        <w:rPr>
          <w:sz w:val="20"/>
          <w:szCs w:val="20"/>
          <w:color w:val="auto"/>
        </w:rPr>
      </w:pPr>
      <w:r>
        <w:rPr>
          <w:rFonts w:ascii="Arial" w:cs="Arial" w:eastAsia="Arial" w:hAnsi="Arial"/>
          <w:sz w:val="18"/>
          <w:szCs w:val="18"/>
          <w:color w:val="auto"/>
        </w:rPr>
        <w:t>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jc w:val="both"/>
        <w:ind w:left="760" w:right="339"/>
        <w:spacing w:after="0" w:line="255" w:lineRule="auto"/>
        <w:rPr>
          <w:sz w:val="20"/>
          <w:szCs w:val="20"/>
          <w:color w:val="auto"/>
        </w:rPr>
      </w:pPr>
      <w:r>
        <w:rPr>
          <w:rFonts w:ascii="Arial" w:cs="Arial" w:eastAsia="Arial" w:hAnsi="Arial"/>
          <w:sz w:val="18"/>
          <w:szCs w:val="18"/>
          <w:i w:val="1"/>
          <w:iCs w:val="1"/>
          <w:color w:val="auto"/>
        </w:rPr>
        <w:t xml:space="preserve">Registration Rights Agreement. </w:t>
      </w:r>
      <w:r>
        <w:rPr>
          <w:rFonts w:ascii="Arial" w:cs="Arial" w:eastAsia="Arial" w:hAnsi="Arial"/>
          <w:sz w:val="18"/>
          <w:szCs w:val="18"/>
          <w:color w:val="auto"/>
        </w:rPr>
        <w:t>In connection with the acquisition of NVI in March 2014 by affiliates of KKR (the</w:t>
      </w:r>
      <w:r>
        <w:rPr>
          <w:rFonts w:ascii="Arial" w:cs="Arial" w:eastAsia="Arial" w:hAnsi="Arial"/>
          <w:sz w:val="18"/>
          <w:szCs w:val="18"/>
          <w:i w:val="1"/>
          <w:iCs w:val="1"/>
          <w:color w:val="auto"/>
        </w:rPr>
        <w:t xml:space="preserve"> </w:t>
      </w:r>
      <w:r>
        <w:rPr>
          <w:rFonts w:ascii="Arial" w:cs="Arial" w:eastAsia="Arial" w:hAnsi="Arial"/>
          <w:sz w:val="18"/>
          <w:szCs w:val="18"/>
          <w:color w:val="auto"/>
        </w:rPr>
        <w:t>“KKR Acquisition”), we entered into a registration rights agreement with affiliates of KKR and private equity funds managed by Berkshire (the “Sponsors”) and with other persons who may become party thereto. Subject to certain conditions, the registration rights agreement provided certain affiliates of KKR with an unlimited number</w:t>
      </w:r>
    </w:p>
    <w:p>
      <w:pPr>
        <w:spacing w:after="0" w:line="2" w:lineRule="exact"/>
        <w:rPr>
          <w:sz w:val="20"/>
          <w:szCs w:val="20"/>
          <w:color w:val="auto"/>
        </w:rPr>
      </w:pPr>
    </w:p>
    <w:p>
      <w:pPr>
        <w:ind w:left="760" w:right="339"/>
        <w:spacing w:after="0" w:line="253" w:lineRule="auto"/>
        <w:rPr>
          <w:sz w:val="20"/>
          <w:szCs w:val="20"/>
          <w:color w:val="auto"/>
        </w:rPr>
      </w:pPr>
      <w:r>
        <w:rPr>
          <w:rFonts w:ascii="Arial" w:cs="Arial" w:eastAsia="Arial" w:hAnsi="Arial"/>
          <w:sz w:val="18"/>
          <w:szCs w:val="18"/>
          <w:color w:val="auto"/>
        </w:rPr>
        <w:t>of ”demand” registrations, and provided certain affiliates of Berkshire with two “demand” registrations following an initial public offering. The registration rights agreement also provided that we would pay certain expenses of these holders relating to such registrations and indemnify them against certain liabilities which may arise under the Securities Act. Following secondary offerings in 2018 and 2019, neither Sponsor retains any further demand registration rights following our IPO.</w:t>
      </w:r>
    </w:p>
    <w:p>
      <w:pPr>
        <w:spacing w:after="0" w:line="79" w:lineRule="exact"/>
        <w:rPr>
          <w:sz w:val="20"/>
          <w:szCs w:val="20"/>
          <w:color w:val="auto"/>
        </w:rPr>
      </w:pPr>
    </w:p>
    <w:p>
      <w:pPr>
        <w:ind w:left="760" w:right="179"/>
        <w:spacing w:after="0" w:line="266" w:lineRule="auto"/>
        <w:rPr>
          <w:sz w:val="20"/>
          <w:szCs w:val="20"/>
          <w:color w:val="auto"/>
        </w:rPr>
      </w:pPr>
      <w:r>
        <w:rPr>
          <w:rFonts w:ascii="Arial" w:cs="Arial" w:eastAsia="Arial" w:hAnsi="Arial"/>
          <w:sz w:val="18"/>
          <w:szCs w:val="18"/>
          <w:i w:val="1"/>
          <w:iCs w:val="1"/>
          <w:color w:val="auto"/>
        </w:rPr>
        <w:t xml:space="preserve">Relationship with KKR Capital Markets. </w:t>
      </w:r>
      <w:r>
        <w:rPr>
          <w:rFonts w:ascii="Arial" w:cs="Arial" w:eastAsia="Arial" w:hAnsi="Arial"/>
          <w:sz w:val="18"/>
          <w:szCs w:val="18"/>
          <w:color w:val="auto"/>
        </w:rPr>
        <w:t>KKR Capital Markets LLC, an affiliate of KKR, acted as a lead arranger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refinancing of our first lien credit agreement, dated as of July 18, 2019, and received $1.0 million in fees in connection therewith.</w:t>
      </w:r>
    </w:p>
    <w:p>
      <w:pPr>
        <w:spacing w:after="0" w:line="68" w:lineRule="exact"/>
        <w:rPr>
          <w:sz w:val="20"/>
          <w:szCs w:val="20"/>
          <w:color w:val="auto"/>
        </w:rPr>
      </w:pPr>
    </w:p>
    <w:p>
      <w:pPr>
        <w:jc w:val="both"/>
        <w:ind w:left="760" w:right="259"/>
        <w:spacing w:after="0" w:line="282" w:lineRule="auto"/>
        <w:rPr>
          <w:sz w:val="20"/>
          <w:szCs w:val="20"/>
          <w:color w:val="auto"/>
        </w:rPr>
      </w:pPr>
      <w:r>
        <w:rPr>
          <w:rFonts w:ascii="Arial" w:cs="Arial" w:eastAsia="Arial" w:hAnsi="Arial"/>
          <w:sz w:val="18"/>
          <w:szCs w:val="18"/>
          <w:i w:val="1"/>
          <w:iCs w:val="1"/>
          <w:color w:val="auto"/>
        </w:rPr>
        <w:t xml:space="preserve">Relationship with KKR Credit. </w:t>
      </w:r>
      <w:r>
        <w:rPr>
          <w:rFonts w:ascii="Arial" w:cs="Arial" w:eastAsia="Arial" w:hAnsi="Arial"/>
          <w:sz w:val="18"/>
          <w:szCs w:val="18"/>
          <w:color w:val="auto"/>
        </w:rPr>
        <w:t>As of December 28, 2019, investment funds or accounts managed or advised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credit business of KKR no longer held our term loans under our first lien and second lien credit agreements.</w:t>
      </w:r>
    </w:p>
    <w:p>
      <w:pPr>
        <w:spacing w:after="0" w:line="54" w:lineRule="exact"/>
        <w:rPr>
          <w:sz w:val="20"/>
          <w:szCs w:val="20"/>
          <w:color w:val="auto"/>
        </w:rPr>
      </w:pPr>
    </w:p>
    <w:p>
      <w:pPr>
        <w:ind w:left="760" w:right="339"/>
        <w:spacing w:after="0" w:line="256" w:lineRule="auto"/>
        <w:rPr>
          <w:sz w:val="20"/>
          <w:szCs w:val="20"/>
          <w:color w:val="auto"/>
        </w:rPr>
      </w:pPr>
      <w:r>
        <w:rPr>
          <w:rFonts w:ascii="Arial" w:cs="Arial" w:eastAsia="Arial" w:hAnsi="Arial"/>
          <w:sz w:val="18"/>
          <w:szCs w:val="18"/>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Stockholder’s Agreements with certain of our senior executive officers and other employees who made an equity investment in us or were granted equity based awards. The Management Stockholder’s Agreements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9" w:lineRule="exact"/>
        <w:rPr>
          <w:sz w:val="20"/>
          <w:szCs w:val="20"/>
          <w:color w:val="auto"/>
        </w:rPr>
      </w:pPr>
    </w:p>
    <w:p>
      <w:pPr>
        <w:ind w:left="760" w:right="259"/>
        <w:spacing w:after="0" w:line="254" w:lineRule="auto"/>
        <w:rPr>
          <w:sz w:val="20"/>
          <w:szCs w:val="20"/>
          <w:color w:val="auto"/>
        </w:rPr>
      </w:pPr>
      <w:r>
        <w:rPr>
          <w:rFonts w:ascii="Arial" w:cs="Arial" w:eastAsia="Arial" w:hAnsi="Arial"/>
          <w:sz w:val="18"/>
          <w:szCs w:val="18"/>
          <w:i w:val="1"/>
          <w:iCs w:val="1"/>
          <w:color w:val="auto"/>
        </w:rPr>
        <w:t xml:space="preserve">Agreements with Directors and Officers. </w:t>
      </w:r>
      <w:r>
        <w:rPr>
          <w:rFonts w:ascii="Arial" w:cs="Arial" w:eastAsia="Arial" w:hAnsi="Arial"/>
          <w:sz w:val="18"/>
          <w:szCs w:val="18"/>
          <w:color w:val="auto"/>
        </w:rPr>
        <w:t>In addition, we have certain agreements with our directors and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described in the Executive Compensation section below. In connection with our IPO, we entered into indemnification agreements with our directors. These agreements and our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right="239"/>
        <w:spacing w:after="0" w:line="251" w:lineRule="auto"/>
        <w:rPr>
          <w:sz w:val="20"/>
          <w:szCs w:val="20"/>
          <w:color w:val="auto"/>
        </w:rPr>
      </w:pPr>
      <w:r>
        <w:rPr>
          <w:rFonts w:ascii="Arial" w:cs="Arial" w:eastAsia="Arial" w:hAnsi="Arial"/>
          <w:sz w:val="18"/>
          <w:szCs w:val="18"/>
          <w:color w:val="auto"/>
        </w:rPr>
        <w:t>In connection with and following our IPO, we have been committed to stockholder engagement and we greatly value the input we receive from our stockholders. Our investor relations team and members of our senior management are in frequent communication with stockholders on a variety of matters, primarily focused on our operations and financial performance. In 2019, we established an additional component of our stockholder engagement program focused on corporate governance, executive compensation, corporate social responsibility and other ESG matters of interest to our stockholders. As part of our engagement efforts, we conducted stockholder outreach with several of the Company’s top institutional investors representing approximately 55% of our shares outstanding. Many of these stockholders expressed the view that they were looking for progress over time on the Company’s governance practices, continued evolution and disclosure on the Company’s philanthropic, environmental and social responsibilities, and had no major issues or concerns with the Company’s executive compensation program. After careful consideration of the stockholder feedback, the Board approved a commitment to sunset our classified Board and supermajority voting provisions in our organizational documents (as discussed further below in “Classified Board and Supermajority Sunset Commitment”).</w:t>
      </w:r>
    </w:p>
    <w:p>
      <w:pPr>
        <w:spacing w:after="0" w:line="312"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Classified Board and Supermajority Sunset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right="179"/>
        <w:spacing w:after="0" w:line="251" w:lineRule="auto"/>
        <w:rPr>
          <w:sz w:val="20"/>
          <w:szCs w:val="20"/>
          <w:color w:val="auto"/>
        </w:rPr>
      </w:pPr>
      <w:r>
        <w:rPr>
          <w:rFonts w:ascii="Arial" w:cs="Arial" w:eastAsia="Arial" w:hAnsi="Arial"/>
          <w:sz w:val="18"/>
          <w:szCs w:val="18"/>
          <w:color w:val="auto"/>
        </w:rPr>
        <w:t>Our nominating and corporate governance committee and our Board carefully considered the advantages of a classified board, majority and plurality voting standards for the election of directors, analyzed current corporate governance trends, and evaluated the appropriateness of a classified Board and supermajority voting provisions in light of our overall corporate governance structure and recent stockholder engagement efforts (as discussed further above). Following consideration of our current governance structure and strong corporate governance practices, as well as feedback received from stockholders, the Board, upon the recommendation of the nominating and corporate governance committee, has committed to submitting for stockholder vote at the 2021 Annual Meeting a management proposal to amend our certificate of incorporation to eliminate the classified Board and certain supermajority provisions within it.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Philanthropy and Corporate 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right="259"/>
        <w:spacing w:after="0" w:line="253" w:lineRule="auto"/>
        <w:rPr>
          <w:sz w:val="20"/>
          <w:szCs w:val="20"/>
          <w:color w:val="auto"/>
        </w:rPr>
      </w:pPr>
      <w:r>
        <w:rPr>
          <w:rFonts w:ascii="Arial" w:cs="Arial" w:eastAsia="Arial" w:hAnsi="Arial"/>
          <w:sz w:val="18"/>
          <w:szCs w:val="18"/>
          <w:color w:val="auto"/>
        </w:rPr>
        <w:t>We strive to align our actions with our Company vision—“We believe everyone deserves to see their best to live their best.” The need for eye care and eyewear is a critical national and global issue. We focus our philanthropy efforts in the optical sector, where we feel we can make the greatest difference. We are proud to be working with organizations and individuals, both domestically and around the world, to provide solutions so more people can get the care they need.</w:t>
      </w:r>
    </w:p>
    <w:p>
      <w:pPr>
        <w:spacing w:after="0" w:line="97" w:lineRule="exact"/>
        <w:rPr>
          <w:sz w:val="20"/>
          <w:szCs w:val="20"/>
          <w:color w:val="auto"/>
        </w:rPr>
      </w:pPr>
    </w:p>
    <w:p>
      <w:pPr>
        <w:ind w:left="760" w:right="219"/>
        <w:spacing w:after="0" w:line="253" w:lineRule="auto"/>
        <w:rPr>
          <w:sz w:val="20"/>
          <w:szCs w:val="20"/>
          <w:color w:val="auto"/>
        </w:rPr>
      </w:pPr>
      <w:r>
        <w:rPr>
          <w:rFonts w:ascii="Arial" w:cs="Arial" w:eastAsia="Arial" w:hAnsi="Arial"/>
          <w:sz w:val="18"/>
          <w:szCs w:val="18"/>
          <w:color w:val="auto"/>
        </w:rPr>
        <w:t>In addition to our philanthropic efforts, we understand the importance of acting responsibly as a business, employer and corporate citizen. Engagement on corporate social responsibility is important to us and our stakeholders. Following our stockholder engagement outlined above, we are focused on a commitment to balancing the social, economic, human capital management and environmental aspects of our business and to developing additional disclosure to highlight our aspirations and achievements in these areas in the future.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ind w:left="760" w:right="759"/>
        <w:spacing w:after="0" w:line="261" w:lineRule="auto"/>
        <w:rPr>
          <w:sz w:val="20"/>
          <w:szCs w:val="20"/>
          <w:color w:val="auto"/>
        </w:rPr>
      </w:pPr>
      <w:r>
        <w:rPr>
          <w:rFonts w:ascii="Arial" w:cs="Arial" w:eastAsia="Arial" w:hAnsi="Arial"/>
          <w:sz w:val="18"/>
          <w:szCs w:val="18"/>
          <w:color w:val="auto"/>
        </w:rPr>
        <w:t>Directors who are our employees do not receive remuneration for serving on our Board. In 2019, our director compensation program consisted of the following:</w:t>
      </w:r>
    </w:p>
    <w:p>
      <w:pPr>
        <w:spacing w:after="0" w:line="103" w:lineRule="exact"/>
        <w:rPr>
          <w:sz w:val="20"/>
          <w:szCs w:val="20"/>
          <w:color w:val="auto"/>
        </w:rPr>
      </w:pPr>
    </w:p>
    <w:p>
      <w:pPr>
        <w:ind w:left="1120" w:hanging="212"/>
        <w:spacing w:after="0"/>
        <w:tabs>
          <w:tab w:leader="none" w:pos="1120" w:val="left"/>
        </w:tabs>
        <w:numPr>
          <w:ilvl w:val="0"/>
          <w:numId w:val="13"/>
        </w:numPr>
        <w:rPr>
          <w:rFonts w:ascii="Arial" w:cs="Arial" w:eastAsia="Arial" w:hAnsi="Arial"/>
          <w:sz w:val="18"/>
          <w:szCs w:val="18"/>
          <w:color w:val="3C5896"/>
        </w:rPr>
      </w:pPr>
      <w:r>
        <w:rPr>
          <w:rFonts w:ascii="Arial" w:cs="Arial" w:eastAsia="Arial" w:hAnsi="Arial"/>
          <w:sz w:val="18"/>
          <w:szCs w:val="18"/>
          <w:color w:val="auto"/>
        </w:rPr>
        <w:t>Annual cash retainer of $75,000, paid quarterly, in arrears.</w:t>
      </w:r>
    </w:p>
    <w:p>
      <w:pPr>
        <w:spacing w:after="0" w:line="103" w:lineRule="exact"/>
        <w:rPr>
          <w:rFonts w:ascii="Arial" w:cs="Arial" w:eastAsia="Arial" w:hAnsi="Arial"/>
          <w:sz w:val="18"/>
          <w:szCs w:val="18"/>
          <w:color w:val="3C5896"/>
        </w:rPr>
      </w:pPr>
    </w:p>
    <w:p>
      <w:pPr>
        <w:ind w:left="1120" w:right="539" w:hanging="212"/>
        <w:spacing w:after="0"/>
        <w:tabs>
          <w:tab w:leader="none" w:pos="1120" w:val="left"/>
        </w:tabs>
        <w:numPr>
          <w:ilvl w:val="0"/>
          <w:numId w:val="13"/>
        </w:numPr>
        <w:rPr>
          <w:rFonts w:ascii="Arial" w:cs="Arial" w:eastAsia="Arial" w:hAnsi="Arial"/>
          <w:sz w:val="18"/>
          <w:szCs w:val="18"/>
          <w:color w:val="3C5896"/>
        </w:rPr>
      </w:pPr>
      <w:r>
        <w:rPr>
          <w:rFonts w:ascii="Arial" w:cs="Arial" w:eastAsia="Arial" w:hAnsi="Arial"/>
          <w:sz w:val="18"/>
          <w:szCs w:val="18"/>
          <w:color w:val="auto"/>
        </w:rPr>
        <w:t>The Chair of the audit committee, compensation committee and nominating and corporate governance committee received annual cash retainers of $20,000, $15,000 and $10,000, respectively, paid quarterly, in arrears.</w:t>
      </w:r>
    </w:p>
    <w:p>
      <w:pPr>
        <w:spacing w:after="0" w:line="94" w:lineRule="exact"/>
        <w:rPr>
          <w:rFonts w:ascii="Arial" w:cs="Arial" w:eastAsia="Arial" w:hAnsi="Arial"/>
          <w:sz w:val="18"/>
          <w:szCs w:val="18"/>
          <w:color w:val="3C5896"/>
        </w:rPr>
      </w:pPr>
    </w:p>
    <w:p>
      <w:pPr>
        <w:ind w:left="1120" w:right="599" w:hanging="212"/>
        <w:spacing w:after="0" w:line="246" w:lineRule="auto"/>
        <w:tabs>
          <w:tab w:leader="none" w:pos="1120" w:val="left"/>
        </w:tabs>
        <w:numPr>
          <w:ilvl w:val="0"/>
          <w:numId w:val="13"/>
        </w:numPr>
        <w:rPr>
          <w:rFonts w:ascii="Arial" w:cs="Arial" w:eastAsia="Arial" w:hAnsi="Arial"/>
          <w:sz w:val="18"/>
          <w:szCs w:val="18"/>
          <w:color w:val="3C5896"/>
        </w:rPr>
      </w:pPr>
      <w:r>
        <w:rPr>
          <w:rFonts w:ascii="Arial" w:cs="Arial" w:eastAsia="Arial" w:hAnsi="Arial"/>
          <w:sz w:val="18"/>
          <w:szCs w:val="18"/>
          <w:color w:val="auto"/>
        </w:rPr>
        <w:t>Annual $100,000 restricted stock grant, which will vest on the first anniversary of the grant date, subject to continued service through the applicable vesting date.</w:t>
      </w:r>
    </w:p>
    <w:p>
      <w:pPr>
        <w:spacing w:after="0" w:line="89" w:lineRule="exact"/>
        <w:rPr>
          <w:sz w:val="20"/>
          <w:szCs w:val="20"/>
          <w:color w:val="auto"/>
        </w:rPr>
      </w:pPr>
    </w:p>
    <w:p>
      <w:pPr>
        <w:ind w:left="760" w:right="419"/>
        <w:spacing w:after="0" w:line="261" w:lineRule="auto"/>
        <w:rPr>
          <w:sz w:val="20"/>
          <w:szCs w:val="20"/>
          <w:color w:val="auto"/>
        </w:rPr>
      </w:pPr>
      <w:r>
        <w:rPr>
          <w:rFonts w:ascii="Arial" w:cs="Arial" w:eastAsia="Arial" w:hAnsi="Arial"/>
          <w:sz w:val="18"/>
          <w:szCs w:val="18"/>
          <w:color w:val="auto"/>
        </w:rPr>
        <w:t>Our directors are not paid any fees for attending meetings. However, our directors are reimbursed for reasonable travel and related expenses associated with attendance at board or committee meetings.</w:t>
      </w:r>
    </w:p>
    <w:p>
      <w:pPr>
        <w:spacing w:after="0" w:line="90" w:lineRule="exact"/>
        <w:rPr>
          <w:sz w:val="20"/>
          <w:szCs w:val="20"/>
          <w:color w:val="auto"/>
        </w:rPr>
      </w:pPr>
    </w:p>
    <w:p>
      <w:pPr>
        <w:ind w:left="760" w:right="319"/>
        <w:spacing w:after="0" w:line="252" w:lineRule="auto"/>
        <w:rPr>
          <w:sz w:val="20"/>
          <w:szCs w:val="20"/>
          <w:color w:val="auto"/>
        </w:rPr>
      </w:pPr>
      <w:r>
        <w:rPr>
          <w:rFonts w:ascii="Arial" w:cs="Arial" w:eastAsia="Arial" w:hAnsi="Arial"/>
          <w:sz w:val="18"/>
          <w:szCs w:val="18"/>
          <w:color w:val="auto"/>
        </w:rPr>
        <w:t>The compensation committee, with assistance from its independent compensation consultant, reviews the director compensation program regularly to ensure the program is structured consistent with best practices and current trends. As part of this review, the director compensation program is benchmarked against the same compensation peer group used for executive compensation benchmarking, as described later in the Compensation Discussion &amp; Analysis section. The compensation committee last reviewed director compensation in December 2018 and made appropriate changes based upon the results at that time.</w:t>
      </w:r>
    </w:p>
    <w:p>
      <w:pPr>
        <w:spacing w:after="0" w:line="82" w:lineRule="exact"/>
        <w:rPr>
          <w:sz w:val="20"/>
          <w:szCs w:val="20"/>
          <w:color w:val="auto"/>
        </w:rPr>
      </w:pPr>
    </w:p>
    <w:p>
      <w:pPr>
        <w:ind w:left="760" w:right="339"/>
        <w:spacing w:after="0" w:line="282" w:lineRule="auto"/>
        <w:rPr>
          <w:sz w:val="20"/>
          <w:szCs w:val="20"/>
          <w:color w:val="auto"/>
        </w:rPr>
      </w:pPr>
      <w:r>
        <w:rPr>
          <w:rFonts w:ascii="Arial" w:cs="Arial" w:eastAsia="Arial" w:hAnsi="Arial"/>
          <w:sz w:val="18"/>
          <w:szCs w:val="18"/>
          <w:i w:val="1"/>
          <w:iCs w:val="1"/>
          <w:color w:val="auto"/>
        </w:rPr>
        <w:t xml:space="preserve">2020 Matters. </w:t>
      </w:r>
      <w:r>
        <w:rPr>
          <w:rFonts w:ascii="Arial" w:cs="Arial" w:eastAsia="Arial" w:hAnsi="Arial"/>
          <w:sz w:val="18"/>
          <w:szCs w:val="18"/>
          <w:color w:val="auto"/>
        </w:rPr>
        <w:t>On March 25, 2020, in light of the unprecedented impact of COVID-19, the Board elected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the remainder of their annual cash retainers for 2020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16  </w:t>
      </w:r>
      <w:r>
        <w:rPr>
          <w:sz w:val="1"/>
          <w:szCs w:val="1"/>
          <w:color w:val="auto"/>
        </w:rPr>
        <w:drawing>
          <wp:inline distT="0" distB="0" distL="0" distR="0">
            <wp:extent cx="299720" cy="24003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760" w:right="479"/>
        <w:spacing w:after="0" w:line="261" w:lineRule="auto"/>
        <w:rPr>
          <w:sz w:val="20"/>
          <w:szCs w:val="20"/>
          <w:color w:val="auto"/>
        </w:rPr>
      </w:pPr>
      <w:r>
        <w:rPr>
          <w:rFonts w:ascii="Arial" w:cs="Arial" w:eastAsia="Arial" w:hAnsi="Arial"/>
          <w:sz w:val="18"/>
          <w:szCs w:val="18"/>
          <w:color w:val="auto"/>
        </w:rPr>
        <w:t>The following table reflects all cash compensation paid and the aggregate market value of stock awards granted earned to our non-employee directors for service in fiscal 2019:</w:t>
      </w:r>
    </w:p>
    <w:p>
      <w:pPr>
        <w:spacing w:after="0" w:line="30" w:lineRule="exact"/>
        <w:rPr>
          <w:sz w:val="20"/>
          <w:szCs w:val="20"/>
          <w:color w:val="auto"/>
        </w:rPr>
      </w:pPr>
    </w:p>
    <w:tbl>
      <w:tblPr>
        <w:tblLayout w:type="fixed"/>
        <w:tblInd w:w="770" w:type="dxa"/>
        <w:tblCellMar>
          <w:top w:w="0" w:type="dxa"/>
          <w:left w:w="0" w:type="dxa"/>
          <w:bottom w:w="0" w:type="dxa"/>
          <w:right w:w="0" w:type="dxa"/>
        </w:tblCellMar>
      </w:tblPr>
      <w:tr>
        <w:trPr>
          <w:trHeight w:val="229"/>
        </w:trPr>
        <w:tc>
          <w:tcPr>
            <w:tcW w:w="60" w:type="dxa"/>
            <w:vAlign w:val="bottom"/>
            <w:tcBorders>
              <w:top w:val="single" w:sz="8" w:color="3C5896"/>
              <w:left w:val="single" w:sz="8" w:color="3C5896"/>
            </w:tcBorders>
            <w:shd w:val="clear" w:color="auto" w:fill="3C5896"/>
          </w:tcPr>
          <w:p>
            <w:pPr>
              <w:spacing w:after="0"/>
              <w:rPr>
                <w:sz w:val="19"/>
                <w:szCs w:val="19"/>
                <w:color w:val="auto"/>
              </w:rPr>
            </w:pPr>
          </w:p>
        </w:tc>
        <w:tc>
          <w:tcPr>
            <w:tcW w:w="2640" w:type="dxa"/>
            <w:vAlign w:val="bottom"/>
            <w:tcBorders>
              <w:top w:val="single" w:sz="8" w:color="3C5896"/>
              <w:right w:val="single" w:sz="8" w:color="9EACCA"/>
            </w:tcBorders>
            <w:shd w:val="clear" w:color="auto" w:fill="3C5896"/>
          </w:tcPr>
          <w:p>
            <w:pPr>
              <w:spacing w:after="0"/>
              <w:rPr>
                <w:sz w:val="19"/>
                <w:szCs w:val="19"/>
                <w:color w:val="auto"/>
              </w:rPr>
            </w:pPr>
          </w:p>
        </w:tc>
        <w:tc>
          <w:tcPr>
            <w:tcW w:w="40" w:type="dxa"/>
            <w:vAlign w:val="bottom"/>
            <w:tcBorders>
              <w:top w:val="single" w:sz="8" w:color="3C5896"/>
            </w:tcBorders>
            <w:shd w:val="clear" w:color="auto" w:fill="3C5896"/>
          </w:tcPr>
          <w:p>
            <w:pPr>
              <w:spacing w:after="0"/>
              <w:rPr>
                <w:sz w:val="19"/>
                <w:szCs w:val="19"/>
                <w:color w:val="auto"/>
              </w:rPr>
            </w:pPr>
          </w:p>
        </w:tc>
        <w:tc>
          <w:tcPr>
            <w:tcW w:w="158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Fees earned or</w:t>
            </w:r>
          </w:p>
        </w:tc>
        <w:tc>
          <w:tcPr>
            <w:tcW w:w="40" w:type="dxa"/>
            <w:vAlign w:val="bottom"/>
            <w:tcBorders>
              <w:top w:val="single" w:sz="8" w:color="3C5896"/>
            </w:tcBorders>
            <w:shd w:val="clear" w:color="auto" w:fill="3C5896"/>
          </w:tcPr>
          <w:p>
            <w:pPr>
              <w:spacing w:after="0"/>
              <w:rPr>
                <w:sz w:val="19"/>
                <w:szCs w:val="19"/>
                <w:color w:val="auto"/>
              </w:rPr>
            </w:pPr>
          </w:p>
        </w:tc>
        <w:tc>
          <w:tcPr>
            <w:tcW w:w="158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rPr>
              <w:t>Stock</w:t>
            </w:r>
          </w:p>
        </w:tc>
        <w:tc>
          <w:tcPr>
            <w:tcW w:w="40" w:type="dxa"/>
            <w:vAlign w:val="bottom"/>
            <w:tcBorders>
              <w:top w:val="single" w:sz="8" w:color="3C5896"/>
            </w:tcBorders>
            <w:shd w:val="clear" w:color="auto" w:fill="3C5896"/>
          </w:tcPr>
          <w:p>
            <w:pPr>
              <w:spacing w:after="0"/>
              <w:rPr>
                <w:sz w:val="19"/>
                <w:szCs w:val="19"/>
                <w:color w:val="auto"/>
              </w:rPr>
            </w:pPr>
          </w:p>
        </w:tc>
        <w:tc>
          <w:tcPr>
            <w:tcW w:w="160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All other</w:t>
            </w:r>
          </w:p>
        </w:tc>
        <w:tc>
          <w:tcPr>
            <w:tcW w:w="1620" w:type="dxa"/>
            <w:vAlign w:val="bottom"/>
            <w:tcBorders>
              <w:top w:val="single" w:sz="8" w:color="3C5896"/>
              <w:right w:val="single" w:sz="8" w:color="3C5896"/>
            </w:tcBorders>
            <w:vMerge w:val="restart"/>
            <w:shd w:val="clear" w:color="auto" w:fill="3C5896"/>
          </w:tcPr>
          <w:p>
            <w:pPr>
              <w:jc w:val="right"/>
              <w:ind w:right="53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76"/>
        </w:trPr>
        <w:tc>
          <w:tcPr>
            <w:tcW w:w="60" w:type="dxa"/>
            <w:vAlign w:val="bottom"/>
            <w:tcBorders>
              <w:left w:val="single" w:sz="8" w:color="3C5896"/>
            </w:tcBorders>
            <w:shd w:val="clear" w:color="auto" w:fill="3C5896"/>
          </w:tcPr>
          <w:p>
            <w:pPr>
              <w:spacing w:after="0"/>
              <w:rPr>
                <w:sz w:val="15"/>
                <w:szCs w:val="15"/>
                <w:color w:val="auto"/>
              </w:rPr>
            </w:pPr>
          </w:p>
        </w:tc>
        <w:tc>
          <w:tcPr>
            <w:tcW w:w="2640" w:type="dxa"/>
            <w:vAlign w:val="bottom"/>
            <w:tcBorders>
              <w:right w:val="single" w:sz="8" w:color="9EACCA"/>
            </w:tcBorders>
            <w:vMerge w:val="restart"/>
            <w:shd w:val="clear" w:color="auto" w:fill="3C5896"/>
          </w:tcPr>
          <w:p>
            <w:pPr>
              <w:ind w:left="1040"/>
              <w:spacing w:after="0"/>
              <w:rPr>
                <w:sz w:val="20"/>
                <w:szCs w:val="20"/>
                <w:color w:val="auto"/>
              </w:rPr>
            </w:pPr>
            <w:r>
              <w:rPr>
                <w:rFonts w:ascii="Arial" w:cs="Arial" w:eastAsia="Arial" w:hAnsi="Arial"/>
                <w:sz w:val="18"/>
                <w:szCs w:val="18"/>
                <w:b w:val="1"/>
                <w:bCs w:val="1"/>
                <w:color w:val="FFFFFF"/>
              </w:rPr>
              <w:t>Name</w:t>
            </w:r>
          </w:p>
        </w:tc>
        <w:tc>
          <w:tcPr>
            <w:tcW w:w="40" w:type="dxa"/>
            <w:vAlign w:val="bottom"/>
            <w:shd w:val="clear" w:color="auto" w:fill="3C5896"/>
          </w:tcPr>
          <w:p>
            <w:pPr>
              <w:spacing w:after="0"/>
              <w:rPr>
                <w:sz w:val="15"/>
                <w:szCs w:val="15"/>
                <w:color w:val="auto"/>
              </w:rPr>
            </w:pPr>
          </w:p>
        </w:tc>
        <w:tc>
          <w:tcPr>
            <w:tcW w:w="158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paid in cash</w:t>
            </w:r>
          </w:p>
        </w:tc>
        <w:tc>
          <w:tcPr>
            <w:tcW w:w="40" w:type="dxa"/>
            <w:vAlign w:val="bottom"/>
            <w:shd w:val="clear" w:color="auto" w:fill="3C5896"/>
          </w:tcPr>
          <w:p>
            <w:pPr>
              <w:spacing w:after="0"/>
              <w:rPr>
                <w:sz w:val="15"/>
                <w:szCs w:val="15"/>
                <w:color w:val="auto"/>
              </w:rPr>
            </w:pPr>
          </w:p>
        </w:tc>
        <w:tc>
          <w:tcPr>
            <w:tcW w:w="158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awards</w:t>
            </w:r>
          </w:p>
        </w:tc>
        <w:tc>
          <w:tcPr>
            <w:tcW w:w="40" w:type="dxa"/>
            <w:vAlign w:val="bottom"/>
            <w:shd w:val="clear" w:color="auto" w:fill="3C5896"/>
          </w:tcPr>
          <w:p>
            <w:pPr>
              <w:spacing w:after="0"/>
              <w:rPr>
                <w:sz w:val="15"/>
                <w:szCs w:val="15"/>
                <w:color w:val="auto"/>
              </w:rPr>
            </w:pPr>
          </w:p>
        </w:tc>
        <w:tc>
          <w:tcPr>
            <w:tcW w:w="160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compensation</w:t>
            </w:r>
          </w:p>
        </w:tc>
        <w:tc>
          <w:tcPr>
            <w:tcW w:w="1620" w:type="dxa"/>
            <w:vAlign w:val="bottom"/>
            <w:tcBorders>
              <w:right w:val="single" w:sz="8" w:color="3C5896"/>
            </w:tcBorders>
            <w:vMerge w:val="continue"/>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shd w:val="clear" w:color="auto" w:fill="3C5896"/>
          </w:tcPr>
          <w:p>
            <w:pPr>
              <w:spacing w:after="0"/>
              <w:rPr>
                <w:sz w:val="18"/>
                <w:szCs w:val="18"/>
                <w:color w:val="auto"/>
              </w:rPr>
            </w:pPr>
          </w:p>
        </w:tc>
        <w:tc>
          <w:tcPr>
            <w:tcW w:w="2640" w:type="dxa"/>
            <w:vAlign w:val="bottom"/>
            <w:tcBorders>
              <w:right w:val="single" w:sz="8" w:color="9EACCA"/>
            </w:tcBorders>
            <w:vMerge w:val="continue"/>
            <w:shd w:val="clear" w:color="auto" w:fill="3C5896"/>
          </w:tcPr>
          <w:p>
            <w:pPr>
              <w:spacing w:after="0"/>
              <w:rPr>
                <w:sz w:val="18"/>
                <w:szCs w:val="18"/>
                <w:color w:val="auto"/>
              </w:rPr>
            </w:pPr>
          </w:p>
        </w:tc>
        <w:tc>
          <w:tcPr>
            <w:tcW w:w="1620" w:type="dxa"/>
            <w:vAlign w:val="bottom"/>
            <w:tcBorders>
              <w:right w:val="single" w:sz="8" w:color="9EACCA"/>
            </w:tcBorders>
            <w:gridSpan w:val="2"/>
            <w:shd w:val="clear" w:color="auto" w:fill="3C5896"/>
          </w:tcPr>
          <w:p>
            <w:pPr>
              <w:jc w:val="center"/>
              <w:spacing w:after="0" w:line="216" w:lineRule="exact"/>
              <w:rPr>
                <w:sz w:val="20"/>
                <w:szCs w:val="20"/>
                <w:color w:val="auto"/>
              </w:rPr>
            </w:pPr>
            <w:r>
              <w:rPr>
                <w:rFonts w:ascii="Arial" w:cs="Arial" w:eastAsia="Arial" w:hAnsi="Arial"/>
                <w:sz w:val="17"/>
                <w:szCs w:val="17"/>
                <w:b w:val="1"/>
                <w:bCs w:val="1"/>
                <w:color w:val="FFFFFF"/>
                <w:w w:val="92"/>
              </w:rPr>
              <w:t>($)</w:t>
            </w:r>
            <w:r>
              <w:rPr>
                <w:rFonts w:ascii="Arial" w:cs="Arial" w:eastAsia="Arial" w:hAnsi="Arial"/>
                <w:sz w:val="25"/>
                <w:szCs w:val="25"/>
                <w:b w:val="1"/>
                <w:bCs w:val="1"/>
                <w:color w:val="FFFFFF"/>
                <w:w w:val="92"/>
                <w:vertAlign w:val="superscript"/>
              </w:rPr>
              <w:t>(1)</w:t>
            </w:r>
          </w:p>
        </w:tc>
        <w:tc>
          <w:tcPr>
            <w:tcW w:w="1620" w:type="dxa"/>
            <w:vAlign w:val="bottom"/>
            <w:tcBorders>
              <w:right w:val="single" w:sz="8" w:color="9EACCA"/>
            </w:tcBorders>
            <w:gridSpan w:val="2"/>
            <w:shd w:val="clear" w:color="auto" w:fill="3C5896"/>
          </w:tcPr>
          <w:p>
            <w:pPr>
              <w:jc w:val="center"/>
              <w:spacing w:after="0" w:line="216" w:lineRule="exact"/>
              <w:rPr>
                <w:sz w:val="20"/>
                <w:szCs w:val="20"/>
                <w:color w:val="auto"/>
              </w:rPr>
            </w:pPr>
            <w:r>
              <w:rPr>
                <w:rFonts w:ascii="Arial" w:cs="Arial" w:eastAsia="Arial" w:hAnsi="Arial"/>
                <w:sz w:val="17"/>
                <w:szCs w:val="17"/>
                <w:b w:val="1"/>
                <w:bCs w:val="1"/>
                <w:color w:val="FFFFFF"/>
                <w:w w:val="92"/>
              </w:rPr>
              <w:t>($)</w:t>
            </w:r>
            <w:r>
              <w:rPr>
                <w:rFonts w:ascii="Arial" w:cs="Arial" w:eastAsia="Arial" w:hAnsi="Arial"/>
                <w:sz w:val="25"/>
                <w:szCs w:val="25"/>
                <w:b w:val="1"/>
                <w:bCs w:val="1"/>
                <w:color w:val="FFFFFF"/>
                <w:w w:val="92"/>
                <w:vertAlign w:val="superscript"/>
              </w:rPr>
              <w:t>(2)</w:t>
            </w:r>
          </w:p>
        </w:tc>
        <w:tc>
          <w:tcPr>
            <w:tcW w:w="16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w:t>
            </w:r>
          </w:p>
        </w:tc>
        <w:tc>
          <w:tcPr>
            <w:tcW w:w="1620" w:type="dxa"/>
            <w:vAlign w:val="bottom"/>
            <w:tcBorders>
              <w:right w:val="single" w:sz="8" w:color="3C5896"/>
            </w:tcBorders>
            <w:shd w:val="clear" w:color="auto" w:fill="3C5896"/>
          </w:tcPr>
          <w:p>
            <w:pPr>
              <w:jc w:val="right"/>
              <w:ind w:right="63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tcPr>
          <w:p>
            <w:pPr>
              <w:spacing w:after="0"/>
              <w:rPr>
                <w:sz w:val="18"/>
                <w:szCs w:val="18"/>
                <w:color w:val="auto"/>
              </w:rPr>
            </w:pPr>
          </w:p>
        </w:tc>
        <w:tc>
          <w:tcPr>
            <w:tcW w:w="2640" w:type="dxa"/>
            <w:vAlign w:val="bottom"/>
            <w:tcBorders>
              <w:right w:val="single" w:sz="8" w:color="9EACCA"/>
            </w:tcBorders>
          </w:tcPr>
          <w:p>
            <w:pPr>
              <w:spacing w:after="0" w:line="216" w:lineRule="exact"/>
              <w:rPr>
                <w:sz w:val="20"/>
                <w:szCs w:val="20"/>
                <w:color w:val="auto"/>
              </w:rPr>
            </w:pPr>
            <w:r>
              <w:rPr>
                <w:rFonts w:ascii="Arial" w:cs="Arial" w:eastAsia="Arial" w:hAnsi="Arial"/>
                <w:sz w:val="17"/>
                <w:szCs w:val="17"/>
                <w:color w:val="auto"/>
              </w:rPr>
              <w:t>Nathaniel H. Taylor</w:t>
            </w:r>
            <w:r>
              <w:rPr>
                <w:rFonts w:ascii="Arial" w:cs="Arial" w:eastAsia="Arial" w:hAnsi="Arial"/>
                <w:sz w:val="25"/>
                <w:szCs w:val="25"/>
                <w:color w:val="auto"/>
                <w:vertAlign w:val="superscript"/>
              </w:rPr>
              <w:t>(3)</w:t>
            </w:r>
          </w:p>
        </w:tc>
        <w:tc>
          <w:tcPr>
            <w:tcW w:w="1620" w:type="dxa"/>
            <w:vAlign w:val="bottom"/>
            <w:tcBorders>
              <w:right w:val="single" w:sz="8" w:color="9EACCA"/>
            </w:tcBorders>
            <w:gridSpan w:val="2"/>
          </w:tcPr>
          <w:p>
            <w:pPr>
              <w:jc w:val="center"/>
              <w:spacing w:after="0"/>
              <w:rPr>
                <w:sz w:val="20"/>
                <w:szCs w:val="20"/>
                <w:color w:val="auto"/>
              </w:rPr>
            </w:pPr>
            <w:r>
              <w:rPr>
                <w:rFonts w:ascii="Arial" w:cs="Arial" w:eastAsia="Arial" w:hAnsi="Arial"/>
                <w:sz w:val="18"/>
                <w:szCs w:val="18"/>
                <w:color w:val="auto"/>
              </w:rPr>
              <w:t>37,500</w:t>
            </w:r>
          </w:p>
        </w:tc>
        <w:tc>
          <w:tcPr>
            <w:tcW w:w="40" w:type="dxa"/>
            <w:vAlign w:val="bottom"/>
          </w:tcPr>
          <w:p>
            <w:pPr>
              <w:spacing w:after="0"/>
              <w:rPr>
                <w:sz w:val="18"/>
                <w:szCs w:val="18"/>
                <w:color w:val="auto"/>
              </w:rPr>
            </w:pPr>
          </w:p>
        </w:tc>
        <w:tc>
          <w:tcPr>
            <w:tcW w:w="1580" w:type="dxa"/>
            <w:vAlign w:val="bottom"/>
            <w:tcBorders>
              <w:right w:val="single" w:sz="8" w:color="9EACCA"/>
            </w:tcBorders>
          </w:tcPr>
          <w:p>
            <w:pPr>
              <w:jc w:val="right"/>
              <w:ind w:right="4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3C5896"/>
            </w:tcBorders>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shd w:val="clear" w:color="auto" w:fill="CCCCCC"/>
          </w:tcPr>
          <w:p>
            <w:pPr>
              <w:spacing w:after="0"/>
              <w:rPr>
                <w:sz w:val="17"/>
                <w:szCs w:val="17"/>
                <w:color w:val="auto"/>
              </w:rPr>
            </w:pPr>
          </w:p>
        </w:tc>
        <w:tc>
          <w:tcPr>
            <w:tcW w:w="2640" w:type="dxa"/>
            <w:vAlign w:val="bottom"/>
            <w:tcBorders>
              <w:right w:val="single" w:sz="8" w:color="9EACCA"/>
            </w:tcBorders>
            <w:shd w:val="clear" w:color="auto" w:fill="CCCCCC"/>
          </w:tcPr>
          <w:p>
            <w:pPr>
              <w:spacing w:after="0" w:line="202" w:lineRule="exact"/>
              <w:rPr>
                <w:sz w:val="20"/>
                <w:szCs w:val="20"/>
                <w:color w:val="auto"/>
              </w:rPr>
            </w:pPr>
            <w:r>
              <w:rPr>
                <w:rFonts w:ascii="Arial" w:cs="Arial" w:eastAsia="Arial" w:hAnsi="Arial"/>
                <w:sz w:val="18"/>
                <w:szCs w:val="18"/>
                <w:color w:val="auto"/>
              </w:rPr>
              <w:t>Heather Cianfrocco</w:t>
            </w:r>
          </w:p>
        </w:tc>
        <w:tc>
          <w:tcPr>
            <w:tcW w:w="1620" w:type="dxa"/>
            <w:vAlign w:val="bottom"/>
            <w:tcBorders>
              <w:right w:val="single" w:sz="8" w:color="9EACCA"/>
            </w:tcBorders>
            <w:gridSpan w:val="2"/>
            <w:shd w:val="clear" w:color="auto" w:fill="CCCCCC"/>
          </w:tcPr>
          <w:p>
            <w:pPr>
              <w:jc w:val="center"/>
              <w:spacing w:after="0" w:line="202" w:lineRule="exact"/>
              <w:rPr>
                <w:sz w:val="20"/>
                <w:szCs w:val="20"/>
                <w:color w:val="auto"/>
              </w:rPr>
            </w:pPr>
            <w:r>
              <w:rPr>
                <w:rFonts w:ascii="Arial" w:cs="Arial" w:eastAsia="Arial" w:hAnsi="Arial"/>
                <w:sz w:val="18"/>
                <w:szCs w:val="18"/>
                <w:color w:val="auto"/>
              </w:rPr>
              <w:t>37,500</w:t>
            </w:r>
          </w:p>
        </w:tc>
        <w:tc>
          <w:tcPr>
            <w:tcW w:w="1620" w:type="dxa"/>
            <w:vAlign w:val="bottom"/>
            <w:tcBorders>
              <w:right w:val="single" w:sz="8" w:color="9EACCA"/>
            </w:tcBorders>
            <w:gridSpan w:val="2"/>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40" w:type="dxa"/>
            <w:vAlign w:val="bottom"/>
            <w:shd w:val="clear" w:color="auto" w:fill="CCCCCC"/>
          </w:tcPr>
          <w:p>
            <w:pPr>
              <w:spacing w:after="0"/>
              <w:rPr>
                <w:sz w:val="17"/>
                <w:szCs w:val="17"/>
                <w:color w:val="auto"/>
              </w:rPr>
            </w:pPr>
          </w:p>
        </w:tc>
        <w:tc>
          <w:tcPr>
            <w:tcW w:w="1600" w:type="dxa"/>
            <w:vAlign w:val="bottom"/>
            <w:tcBorders>
              <w:right w:val="single" w:sz="8" w:color="9EACCA"/>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3C5896"/>
            </w:tcBorders>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137,500</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tcPr>
          <w:p>
            <w:pPr>
              <w:spacing w:after="0"/>
              <w:rPr>
                <w:sz w:val="18"/>
                <w:szCs w:val="18"/>
                <w:color w:val="auto"/>
              </w:rPr>
            </w:pPr>
          </w:p>
        </w:tc>
        <w:tc>
          <w:tcPr>
            <w:tcW w:w="2640" w:type="dxa"/>
            <w:vAlign w:val="bottom"/>
            <w:tcBorders>
              <w:right w:val="single" w:sz="8" w:color="9EACCA"/>
            </w:tcBorders>
          </w:tcPr>
          <w:p>
            <w:pPr>
              <w:spacing w:after="0" w:line="216" w:lineRule="exact"/>
              <w:rPr>
                <w:sz w:val="20"/>
                <w:szCs w:val="20"/>
                <w:color w:val="auto"/>
              </w:rPr>
            </w:pPr>
            <w:r>
              <w:rPr>
                <w:rFonts w:ascii="Arial" w:cs="Arial" w:eastAsia="Arial" w:hAnsi="Arial"/>
                <w:sz w:val="17"/>
                <w:szCs w:val="17"/>
                <w:color w:val="auto"/>
              </w:rPr>
              <w:t>Virginia A. Hepner</w:t>
            </w:r>
            <w:r>
              <w:rPr>
                <w:rFonts w:ascii="Arial" w:cs="Arial" w:eastAsia="Arial" w:hAnsi="Arial"/>
                <w:sz w:val="25"/>
                <w:szCs w:val="25"/>
                <w:color w:val="auto"/>
                <w:vertAlign w:val="superscript"/>
              </w:rPr>
              <w:t>(4)</w:t>
            </w:r>
          </w:p>
        </w:tc>
        <w:tc>
          <w:tcPr>
            <w:tcW w:w="1620" w:type="dxa"/>
            <w:vAlign w:val="bottom"/>
            <w:tcBorders>
              <w:right w:val="single" w:sz="8" w:color="9EACCA"/>
            </w:tcBorders>
            <w:gridSpan w:val="2"/>
          </w:tcPr>
          <w:p>
            <w:pPr>
              <w:jc w:val="center"/>
              <w:spacing w:after="0"/>
              <w:rPr>
                <w:sz w:val="20"/>
                <w:szCs w:val="20"/>
                <w:color w:val="auto"/>
              </w:rPr>
            </w:pPr>
            <w:r>
              <w:rPr>
                <w:rFonts w:ascii="Arial" w:cs="Arial" w:eastAsia="Arial" w:hAnsi="Arial"/>
                <w:sz w:val="18"/>
                <w:szCs w:val="18"/>
                <w:color w:val="auto"/>
              </w:rPr>
              <w:t>95,000</w:t>
            </w:r>
          </w:p>
        </w:tc>
        <w:tc>
          <w:tcPr>
            <w:tcW w:w="1620" w:type="dxa"/>
            <w:vAlign w:val="bottom"/>
            <w:tcBorders>
              <w:right w:val="single" w:sz="8" w:color="9EACCA"/>
            </w:tcBorders>
            <w:gridSpan w:val="2"/>
          </w:tcPr>
          <w:p>
            <w:pPr>
              <w:jc w:val="right"/>
              <w:ind w:right="41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16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3C5896"/>
            </w:tcBorders>
          </w:tcPr>
          <w:p>
            <w:pPr>
              <w:jc w:val="right"/>
              <w:ind w:right="41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shd w:val="clear" w:color="auto" w:fill="CCCCCC"/>
          </w:tcPr>
          <w:p>
            <w:pPr>
              <w:spacing w:after="0"/>
              <w:rPr>
                <w:sz w:val="18"/>
                <w:szCs w:val="18"/>
                <w:color w:val="auto"/>
              </w:rPr>
            </w:pPr>
          </w:p>
        </w:tc>
        <w:tc>
          <w:tcPr>
            <w:tcW w:w="2640" w:type="dxa"/>
            <w:vAlign w:val="bottom"/>
            <w:tcBorders>
              <w:right w:val="single" w:sz="8" w:color="9EACCA"/>
            </w:tcBorders>
            <w:shd w:val="clear" w:color="auto" w:fill="CCCCCC"/>
          </w:tcPr>
          <w:p>
            <w:pPr>
              <w:spacing w:after="0" w:line="216" w:lineRule="exact"/>
              <w:rPr>
                <w:sz w:val="20"/>
                <w:szCs w:val="20"/>
                <w:color w:val="auto"/>
              </w:rPr>
            </w:pPr>
            <w:r>
              <w:rPr>
                <w:rFonts w:ascii="Arial" w:cs="Arial" w:eastAsia="Arial" w:hAnsi="Arial"/>
                <w:sz w:val="17"/>
                <w:szCs w:val="17"/>
                <w:color w:val="auto"/>
              </w:rPr>
              <w:t>D. Randolph Peeler</w:t>
            </w:r>
            <w:r>
              <w:rPr>
                <w:rFonts w:ascii="Arial" w:cs="Arial" w:eastAsia="Arial" w:hAnsi="Arial"/>
                <w:sz w:val="25"/>
                <w:szCs w:val="25"/>
                <w:color w:val="auto"/>
                <w:vertAlign w:val="superscript"/>
              </w:rPr>
              <w:t>(5)</w:t>
            </w:r>
          </w:p>
        </w:tc>
        <w:tc>
          <w:tcPr>
            <w:tcW w:w="16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8"/>
                <w:szCs w:val="18"/>
                <w:color w:val="auto"/>
              </w:rPr>
              <w:t>37,500</w:t>
            </w:r>
          </w:p>
        </w:tc>
        <w:tc>
          <w:tcPr>
            <w:tcW w:w="40" w:type="dxa"/>
            <w:vAlign w:val="bottom"/>
            <w:shd w:val="clear" w:color="auto" w:fill="CCCCCC"/>
          </w:tcPr>
          <w:p>
            <w:pPr>
              <w:spacing w:after="0"/>
              <w:rPr>
                <w:sz w:val="18"/>
                <w:szCs w:val="18"/>
                <w:color w:val="auto"/>
              </w:rPr>
            </w:pPr>
          </w:p>
        </w:tc>
        <w:tc>
          <w:tcPr>
            <w:tcW w:w="1580" w:type="dxa"/>
            <w:vAlign w:val="bottom"/>
            <w:tcBorders>
              <w:right w:val="single" w:sz="8" w:color="9EACCA"/>
            </w:tcBorders>
            <w:shd w:val="clear" w:color="auto" w:fill="CCCCCC"/>
          </w:tcPr>
          <w:p>
            <w:pPr>
              <w:jc w:val="right"/>
              <w:ind w:right="4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CCCC"/>
          </w:tcPr>
          <w:p>
            <w:pPr>
              <w:spacing w:after="0"/>
              <w:rPr>
                <w:sz w:val="18"/>
                <w:szCs w:val="18"/>
                <w:color w:val="auto"/>
              </w:rPr>
            </w:pPr>
          </w:p>
        </w:tc>
        <w:tc>
          <w:tcPr>
            <w:tcW w:w="16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3C5896"/>
            </w:tcBorders>
            <w:shd w:val="clear" w:color="auto" w:fill="CCCCCC"/>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2640" w:type="dxa"/>
            <w:vAlign w:val="bottom"/>
            <w:tcBorders>
              <w:right w:val="single" w:sz="8" w:color="9EACCA"/>
            </w:tcBorders>
          </w:tcPr>
          <w:p>
            <w:pPr>
              <w:spacing w:after="0" w:line="202" w:lineRule="exact"/>
              <w:rPr>
                <w:sz w:val="20"/>
                <w:szCs w:val="20"/>
                <w:color w:val="auto"/>
              </w:rPr>
            </w:pPr>
            <w:r>
              <w:rPr>
                <w:rFonts w:ascii="Arial" w:cs="Arial" w:eastAsia="Arial" w:hAnsi="Arial"/>
                <w:sz w:val="18"/>
                <w:szCs w:val="18"/>
                <w:color w:val="auto"/>
              </w:rPr>
              <w:t>Thomas V. Taylor, Jr.</w:t>
            </w:r>
          </w:p>
        </w:tc>
        <w:tc>
          <w:tcPr>
            <w:tcW w:w="1620" w:type="dxa"/>
            <w:vAlign w:val="bottom"/>
            <w:tcBorders>
              <w:right w:val="single" w:sz="8" w:color="9EACCA"/>
            </w:tcBorders>
            <w:gridSpan w:val="2"/>
          </w:tcPr>
          <w:p>
            <w:pPr>
              <w:jc w:val="center"/>
              <w:spacing w:after="0" w:line="202" w:lineRule="exact"/>
              <w:rPr>
                <w:sz w:val="20"/>
                <w:szCs w:val="20"/>
                <w:color w:val="auto"/>
              </w:rPr>
            </w:pPr>
            <w:r>
              <w:rPr>
                <w:rFonts w:ascii="Arial" w:cs="Arial" w:eastAsia="Arial" w:hAnsi="Arial"/>
                <w:sz w:val="18"/>
                <w:szCs w:val="18"/>
                <w:color w:val="auto"/>
              </w:rPr>
              <w:t>90,000</w:t>
            </w:r>
          </w:p>
        </w:tc>
        <w:tc>
          <w:tcPr>
            <w:tcW w:w="1620" w:type="dxa"/>
            <w:vAlign w:val="bottom"/>
            <w:tcBorders>
              <w:right w:val="single" w:sz="8" w:color="9EACCA"/>
            </w:tcBorders>
            <w:gridSpan w:val="2"/>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40" w:type="dxa"/>
            <w:vAlign w:val="bottom"/>
          </w:tcPr>
          <w:p>
            <w:pPr>
              <w:spacing w:after="0"/>
              <w:rPr>
                <w:sz w:val="17"/>
                <w:szCs w:val="17"/>
                <w:color w:val="auto"/>
              </w:rPr>
            </w:pPr>
          </w:p>
        </w:tc>
        <w:tc>
          <w:tcPr>
            <w:tcW w:w="1600" w:type="dxa"/>
            <w:vAlign w:val="bottom"/>
            <w:tcBorders>
              <w:right w:val="single" w:sz="8" w:color="9EACCA"/>
            </w:tcBorders>
          </w:tcPr>
          <w:p>
            <w:pPr>
              <w:jc w:val="center"/>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3C5896"/>
            </w:tcBorders>
          </w:tcPr>
          <w:p>
            <w:pPr>
              <w:jc w:val="right"/>
              <w:ind w:right="410"/>
              <w:spacing w:after="0" w:line="202" w:lineRule="exact"/>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30"/>
        </w:trPr>
        <w:tc>
          <w:tcPr>
            <w:tcW w:w="60" w:type="dxa"/>
            <w:vAlign w:val="bottom"/>
            <w:tcBorders>
              <w:left w:val="single" w:sz="8" w:color="3C5896"/>
              <w:bottom w:val="single" w:sz="8" w:color="3C5896"/>
            </w:tcBorders>
            <w:shd w:val="clear" w:color="auto" w:fill="CCCCCC"/>
          </w:tcPr>
          <w:p>
            <w:pPr>
              <w:spacing w:after="0"/>
              <w:rPr>
                <w:sz w:val="19"/>
                <w:szCs w:val="19"/>
                <w:color w:val="auto"/>
              </w:rPr>
            </w:pPr>
          </w:p>
        </w:tc>
        <w:tc>
          <w:tcPr>
            <w:tcW w:w="2640" w:type="dxa"/>
            <w:vAlign w:val="bottom"/>
            <w:tcBorders>
              <w:bottom w:val="single" w:sz="8" w:color="3C5896"/>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David M. Tehle</w:t>
            </w:r>
          </w:p>
        </w:tc>
        <w:tc>
          <w:tcPr>
            <w:tcW w:w="1620" w:type="dxa"/>
            <w:vAlign w:val="bottom"/>
            <w:tcBorders>
              <w:bottom w:val="single" w:sz="8" w:color="3C5896"/>
              <w:right w:val="single" w:sz="8" w:color="9EACCA"/>
            </w:tcBorders>
            <w:gridSpan w:val="2"/>
            <w:shd w:val="clear" w:color="auto" w:fill="CCCCCC"/>
          </w:tcPr>
          <w:p>
            <w:pPr>
              <w:jc w:val="center"/>
              <w:spacing w:after="0"/>
              <w:rPr>
                <w:sz w:val="20"/>
                <w:szCs w:val="20"/>
                <w:color w:val="auto"/>
              </w:rPr>
            </w:pPr>
            <w:r>
              <w:rPr>
                <w:rFonts w:ascii="Arial" w:cs="Arial" w:eastAsia="Arial" w:hAnsi="Arial"/>
                <w:sz w:val="18"/>
                <w:szCs w:val="18"/>
                <w:color w:val="auto"/>
              </w:rPr>
              <w:t>95,000</w:t>
            </w:r>
          </w:p>
        </w:tc>
        <w:tc>
          <w:tcPr>
            <w:tcW w:w="1620" w:type="dxa"/>
            <w:vAlign w:val="bottom"/>
            <w:tcBorders>
              <w:bottom w:val="single" w:sz="8" w:color="3C5896"/>
              <w:right w:val="single" w:sz="8" w:color="9EACCA"/>
            </w:tcBorders>
            <w:gridSpan w:val="2"/>
            <w:shd w:val="clear" w:color="auto" w:fill="CCCCCC"/>
          </w:tcPr>
          <w:p>
            <w:pPr>
              <w:jc w:val="right"/>
              <w:ind w:right="410"/>
              <w:spacing w:after="0"/>
              <w:rPr>
                <w:sz w:val="20"/>
                <w:szCs w:val="20"/>
                <w:color w:val="auto"/>
              </w:rPr>
            </w:pPr>
            <w:r>
              <w:rPr>
                <w:rFonts w:ascii="Arial" w:cs="Arial" w:eastAsia="Arial" w:hAnsi="Arial"/>
                <w:sz w:val="18"/>
                <w:szCs w:val="18"/>
                <w:color w:val="auto"/>
              </w:rPr>
              <w:t>100,000</w:t>
            </w:r>
          </w:p>
        </w:tc>
        <w:tc>
          <w:tcPr>
            <w:tcW w:w="40" w:type="dxa"/>
            <w:vAlign w:val="bottom"/>
            <w:tcBorders>
              <w:bottom w:val="single" w:sz="8" w:color="3C5896"/>
            </w:tcBorders>
            <w:shd w:val="clear" w:color="auto" w:fill="CCCCCC"/>
          </w:tcPr>
          <w:p>
            <w:pPr>
              <w:spacing w:after="0"/>
              <w:rPr>
                <w:sz w:val="19"/>
                <w:szCs w:val="19"/>
                <w:color w:val="auto"/>
              </w:rPr>
            </w:pPr>
          </w:p>
        </w:tc>
        <w:tc>
          <w:tcPr>
            <w:tcW w:w="1600" w:type="dxa"/>
            <w:vAlign w:val="bottom"/>
            <w:tcBorders>
              <w:bottom w:val="single" w:sz="8" w:color="3C5896"/>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3C5896"/>
              <w:right w:val="single" w:sz="8" w:color="3C5896"/>
            </w:tcBorders>
            <w:shd w:val="clear" w:color="auto" w:fill="CCCCCC"/>
          </w:tcPr>
          <w:p>
            <w:pPr>
              <w:jc w:val="right"/>
              <w:ind w:right="41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-822325</wp:posOffset>
            </wp:positionV>
            <wp:extent cx="58204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44" w:lineRule="exact"/>
        <w:rPr>
          <w:sz w:val="20"/>
          <w:szCs w:val="20"/>
          <w:color w:val="auto"/>
        </w:rPr>
      </w:pPr>
    </w:p>
    <w:p>
      <w:pPr>
        <w:ind w:left="1120" w:right="219" w:hanging="356"/>
        <w:spacing w:after="0" w:line="248" w:lineRule="auto"/>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all annual retainer fees paid in cash to the directors. Messrs. N. Taylor and Peeler became eligible to receive annual cash retainers halfway through the 2019 board service year, and, in lieu of receiving such cash retainers, Messrs. N. Taylor and Peeler donated their cash retainers to 20/20 Quest, a National Vision sponsored charitable foundation. Ms. Cianfrocco joined our Board on July 24, 2019 and her annual cash retainer was prorated for her partial year of service. Ms. Cianfrocco donated $9,375 of her cash retainer to 20/20 Quest.</w:t>
      </w:r>
    </w:p>
    <w:p>
      <w:pPr>
        <w:spacing w:after="0" w:line="53" w:lineRule="exact"/>
        <w:rPr>
          <w:rFonts w:ascii="Arial" w:cs="Arial" w:eastAsia="Arial" w:hAnsi="Arial"/>
          <w:sz w:val="15"/>
          <w:szCs w:val="15"/>
          <w:color w:val="auto"/>
        </w:rPr>
      </w:pPr>
    </w:p>
    <w:p>
      <w:pPr>
        <w:ind w:left="1120" w:right="179" w:hanging="356"/>
        <w:spacing w:after="0" w:line="246" w:lineRule="auto"/>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amount reported reflects the grant date fair value calculated in accordance with Financial Accounting Standards Board Accounting Standards Codification Topic 718, Compensation—Stock Compensation (“ASC Topic 718”) associated with the grant to each director as of such grant date. See Note 5 of the Notes to Consolidated Financial Statements contained in the Company’s Annual Report on Form 10-K for the year ended December 28, 2019 (the “2019 Form 10-K”) for an explanation of the assumptions made in the valuation of these awards. The grant date fair value of the annual award that was granted on June 12, 2019 for all directors (other than Ms. Cianfrocco) was $100,000 for the 3,532 shares of restricted stock granted to such directors. The grant date fair value of the 3,116 shares of restricted stock granted to Ms. Cianfrocco in July 2019 was $100,000. As of December 28, 2019, Ms. Cianfrocco held 3,116 shares of unvested restricted stock, Ms. Hepner held 5,108 shares of unvested restricted stock, Mr. T. Taylor held 4,997 shares of unvested restricted stock, Mr. Tehle held 7,407 shares of unvested restricted stock.</w:t>
      </w:r>
    </w:p>
    <w:p>
      <w:pPr>
        <w:spacing w:after="0" w:line="55" w:lineRule="exact"/>
        <w:rPr>
          <w:rFonts w:ascii="Arial" w:cs="Arial" w:eastAsia="Arial" w:hAnsi="Arial"/>
          <w:sz w:val="15"/>
          <w:szCs w:val="15"/>
          <w:color w:val="auto"/>
        </w:rPr>
      </w:pPr>
    </w:p>
    <w:p>
      <w:pPr>
        <w:ind w:left="1120" w:right="259" w:hanging="356"/>
        <w:spacing w:after="0" w:line="248" w:lineRule="auto"/>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At the request of Mr. N. Taylor, the compensation committee approved in September 2019 a program in which (i) in lieu of paying his cash retainer for Board service and any committee chairperson service directly to Mr. N. Taylor, the Company would instead make a quarterly donation of such retainer in Mr. N. Taylor’s name to the Company’s foundation or another charity of his choosing and (ii) Mr. N. Taylor would not receive the restricted stock award to which non-employee directors are entitled under the director compensation program.</w:t>
      </w:r>
    </w:p>
    <w:p>
      <w:pPr>
        <w:spacing w:after="0" w:line="67" w:lineRule="exact"/>
        <w:rPr>
          <w:rFonts w:ascii="Arial" w:cs="Arial" w:eastAsia="Arial" w:hAnsi="Arial"/>
          <w:sz w:val="15"/>
          <w:szCs w:val="15"/>
          <w:color w:val="auto"/>
        </w:rPr>
      </w:pPr>
    </w:p>
    <w:p>
      <w:pPr>
        <w:ind w:left="1120" w:right="659" w:hanging="356"/>
        <w:spacing w:after="0" w:line="252" w:lineRule="auto"/>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2019, upon recommendation of the compensation committee, Ms. Hepner received a one-time additional retainer fee of $10,000 as Chair of the nominating and corporate governance committee in light of the anticipated workload in the first year following the creation of the committee.</w:t>
      </w:r>
    </w:p>
    <w:p>
      <w:pPr>
        <w:spacing w:after="0" w:line="50" w:lineRule="exact"/>
        <w:rPr>
          <w:rFonts w:ascii="Arial" w:cs="Arial" w:eastAsia="Arial" w:hAnsi="Arial"/>
          <w:sz w:val="15"/>
          <w:szCs w:val="15"/>
          <w:color w:val="auto"/>
        </w:rPr>
      </w:pPr>
    </w:p>
    <w:p>
      <w:pPr>
        <w:ind w:left="1120" w:right="299" w:hanging="356"/>
        <w:spacing w:after="0" w:line="244" w:lineRule="auto"/>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At the request of Mr. Peeler, the compensation committee approved in June 2019 a program in which (i) in lieu of paying his cash retainer for Board service and any committee chairperson service directly to Mr. Peeler, the Company would instead make a quarterly donation of such retainer in Mr. Peeler’s name to the Company’s foundation or another charity of his choosing and</w:t>
      </w:r>
    </w:p>
    <w:p>
      <w:pPr>
        <w:ind w:left="1120" w:right="799"/>
        <w:spacing w:after="0" w:line="260" w:lineRule="auto"/>
        <w:rPr>
          <w:rFonts w:ascii="Arial" w:cs="Arial" w:eastAsia="Arial" w:hAnsi="Arial"/>
          <w:sz w:val="15"/>
          <w:szCs w:val="15"/>
          <w:color w:val="auto"/>
        </w:rPr>
      </w:pPr>
      <w:r>
        <w:rPr>
          <w:rFonts w:ascii="Arial" w:cs="Arial" w:eastAsia="Arial" w:hAnsi="Arial"/>
          <w:sz w:val="15"/>
          <w:szCs w:val="15"/>
          <w:color w:val="auto"/>
        </w:rPr>
        <w:t>(ii) Mr. Peeler would not receive the restricted stock award to which non-employee directors are entitled under the director compensation program.</w:t>
      </w:r>
    </w:p>
    <w:p>
      <w:pPr>
        <w:spacing w:after="0" w:line="286" w:lineRule="exact"/>
        <w:rPr>
          <w:sz w:val="20"/>
          <w:szCs w:val="20"/>
          <w:color w:val="auto"/>
        </w:rPr>
      </w:pPr>
    </w:p>
    <w:p>
      <w:pPr>
        <w:ind w:left="760" w:right="179"/>
        <w:spacing w:after="0" w:line="253" w:lineRule="auto"/>
        <w:rPr>
          <w:sz w:val="20"/>
          <w:szCs w:val="20"/>
          <w:color w:val="auto"/>
        </w:rPr>
      </w:pPr>
      <w:r>
        <w:rPr>
          <w:rFonts w:ascii="Arial" w:cs="Arial" w:eastAsia="Arial" w:hAnsi="Arial"/>
          <w:sz w:val="18"/>
          <w:szCs w:val="18"/>
          <w:i w:val="1"/>
          <w:iCs w:val="1"/>
          <w:color w:val="auto"/>
        </w:rPr>
        <w:t xml:space="preserve">Director Stock Ownership Guidelines. </w:t>
      </w:r>
      <w:r>
        <w:rPr>
          <w:rFonts w:ascii="Arial" w:cs="Arial" w:eastAsia="Arial" w:hAnsi="Arial"/>
          <w:sz w:val="18"/>
          <w:szCs w:val="18"/>
          <w:color w:val="auto"/>
        </w:rPr>
        <w:t>In February 2019, the Board of Directors adopted stock ownership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“Guidelines”) applicable to our executive officers and directors who are not members of management and who are not affiliated with KKR and Berkshire (the “Covered Directors”). Under the Guidelines, Covered Directors are required to hold a specific level of equity ownership, as a multiple of annual cash retainer. The Guidelines currently require Covered Directors to hold 5x the annual cash retainer. There is no required time frame within which a Covered Director must attain the applicable stock ownership level under the Guidelines. However, until the applicable ownership level is achieved, Covered Directors must retain 50% of vested shares net of stock option exercise and tax withholding. Shares that count toward these ownership guidelines include shares owned outright, shares held in the Company’s 401(k) or other retirement plan, shares of time-based restricted stock (whether vested or unvested) and vested stock options issued prior to the Company’s IPO. The retention requirement applies to all prior and future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AUDIT COMMITTEE MATTERS</w:t>
      </w:r>
    </w:p>
    <w:p>
      <w:pPr>
        <w:spacing w:after="0" w:line="238" w:lineRule="exact"/>
        <w:rPr>
          <w:sz w:val="20"/>
          <w:szCs w:val="20"/>
          <w:color w:val="auto"/>
        </w:rPr>
      </w:pPr>
    </w:p>
    <w:p>
      <w:pPr>
        <w:ind w:left="760" w:right="1179"/>
        <w:spacing w:after="0" w:line="242" w:lineRule="auto"/>
        <w:rPr>
          <w:sz w:val="20"/>
          <w:szCs w:val="20"/>
          <w:color w:val="auto"/>
        </w:rPr>
      </w:pPr>
      <w:r>
        <w:rPr>
          <w:rFonts w:ascii="Arial" w:cs="Arial" w:eastAsia="Arial" w:hAnsi="Arial"/>
          <w:sz w:val="32"/>
          <w:szCs w:val="32"/>
          <w:color w:val="auto"/>
        </w:rPr>
        <w:t>PROPOSAL NO. 2—RATIFICATION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74930</wp:posOffset>
            </wp:positionV>
            <wp:extent cx="5837555" cy="1423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37555" cy="1423035"/>
                    </a:xfrm>
                    <a:prstGeom prst="rect">
                      <a:avLst/>
                    </a:prstGeom>
                    <a:noFill/>
                  </pic:spPr>
                </pic:pic>
              </a:graphicData>
            </a:graphic>
          </wp:anchor>
        </w:drawing>
      </w:r>
    </w:p>
    <w:p>
      <w:pPr>
        <w:spacing w:after="0" w:line="156" w:lineRule="exact"/>
        <w:rPr>
          <w:sz w:val="20"/>
          <w:szCs w:val="20"/>
          <w:color w:val="auto"/>
        </w:rPr>
      </w:pPr>
    </w:p>
    <w:p>
      <w:pPr>
        <w:ind w:left="820" w:right="419"/>
        <w:spacing w:after="0" w:line="289"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ratify the appointment of Deloitte &amp; Touche LLP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Company’s independent registered public accounting firm for fiscal 2020.</w:t>
      </w:r>
    </w:p>
    <w:p>
      <w:pPr>
        <w:spacing w:after="0" w:line="1" w:lineRule="exact"/>
        <w:rPr>
          <w:sz w:val="20"/>
          <w:szCs w:val="20"/>
          <w:color w:val="auto"/>
        </w:rPr>
      </w:pPr>
    </w:p>
    <w:p>
      <w:pPr>
        <w:ind w:left="820" w:right="319"/>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ratification of Deloitte &amp;</w:t>
      </w:r>
      <w:r>
        <w:rPr>
          <w:rFonts w:ascii="Arial" w:cs="Arial" w:eastAsia="Arial" w:hAnsi="Arial"/>
          <w:sz w:val="18"/>
          <w:szCs w:val="18"/>
          <w:b w:val="1"/>
          <w:bCs w:val="1"/>
          <w:color w:val="auto"/>
        </w:rPr>
        <w:t xml:space="preserve"> </w:t>
      </w:r>
      <w:r>
        <w:rPr>
          <w:rFonts w:ascii="Arial" w:cs="Arial" w:eastAsia="Arial" w:hAnsi="Arial"/>
          <w:sz w:val="18"/>
          <w:szCs w:val="18"/>
          <w:color w:val="auto"/>
        </w:rPr>
        <w:t>Touche LLP as our independent auditors for fiscal 2020.</w:t>
      </w:r>
    </w:p>
    <w:p>
      <w:pPr>
        <w:spacing w:after="0" w:line="1" w:lineRule="exact"/>
        <w:rPr>
          <w:sz w:val="20"/>
          <w:szCs w:val="20"/>
          <w:color w:val="auto"/>
        </w:rPr>
      </w:pPr>
    </w:p>
    <w:p>
      <w:pPr>
        <w:ind w:left="820" w:right="339"/>
        <w:spacing w:after="0" w:line="26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audit committee has sole authority to appoint the Company’s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public accounting firm, the Board submits its selection to our stockholders for ratification as a matter of good corporate governance. The proposal must be approved by a majority of the voting power of the shares of stock present in person or represented by proxy and entitled to vote at the Annual Meeting. If our stockholders should not ratify the appointment of Deloitte &amp; Touche LLP, the audit committee will reconsider the appointment.</w:t>
      </w:r>
    </w:p>
    <w:p>
      <w:pPr>
        <w:spacing w:after="0" w:line="211" w:lineRule="exact"/>
        <w:rPr>
          <w:sz w:val="20"/>
          <w:szCs w:val="20"/>
          <w:color w:val="auto"/>
        </w:rPr>
      </w:pPr>
    </w:p>
    <w:p>
      <w:pPr>
        <w:ind w:left="760" w:right="279"/>
        <w:spacing w:after="0" w:line="246" w:lineRule="auto"/>
        <w:rPr>
          <w:sz w:val="20"/>
          <w:szCs w:val="20"/>
          <w:color w:val="auto"/>
        </w:rPr>
      </w:pPr>
      <w:r>
        <w:rPr>
          <w:rFonts w:ascii="Arial" w:cs="Arial" w:eastAsia="Arial" w:hAnsi="Arial"/>
          <w:sz w:val="18"/>
          <w:szCs w:val="18"/>
          <w:color w:val="auto"/>
        </w:rPr>
        <w:t>The audit committee has selected Deloitte &amp; Touche LLP to serve as our independent registered public accounting firm for fiscal 2020.</w:t>
      </w:r>
    </w:p>
    <w:p>
      <w:pPr>
        <w:spacing w:after="0" w:line="89" w:lineRule="exact"/>
        <w:rPr>
          <w:sz w:val="20"/>
          <w:szCs w:val="20"/>
          <w:color w:val="auto"/>
        </w:rPr>
      </w:pPr>
    </w:p>
    <w:p>
      <w:pPr>
        <w:ind w:left="760" w:right="179"/>
        <w:spacing w:after="0" w:line="236"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 One or more representatives of Deloitte &amp; Touche LLP are expected to be present at the Annual Meeting. The representative(s) will have an opportunity to make a statement if they desire and will be available to respond to questions from stockholders.</w:t>
      </w:r>
    </w:p>
    <w:p>
      <w:pPr>
        <w:spacing w:after="0" w:line="99" w:lineRule="exact"/>
        <w:rPr>
          <w:sz w:val="20"/>
          <w:szCs w:val="20"/>
          <w:color w:val="auto"/>
        </w:rPr>
      </w:pPr>
    </w:p>
    <w:p>
      <w:pPr>
        <w:ind w:left="760" w:right="279"/>
        <w:spacing w:after="0" w:line="246" w:lineRule="auto"/>
        <w:rPr>
          <w:sz w:val="20"/>
          <w:szCs w:val="20"/>
          <w:color w:val="auto"/>
        </w:rPr>
      </w:pPr>
      <w:r>
        <w:rPr>
          <w:rFonts w:ascii="Arial" w:cs="Arial" w:eastAsia="Arial" w:hAnsi="Arial"/>
          <w:sz w:val="18"/>
          <w:szCs w:val="18"/>
          <w:color w:val="auto"/>
        </w:rPr>
        <w:t>The shares represented by your proxy will be voted “FOR” the ratification of the selection of Deloitte &amp; Touche LLP unless you specify otherwise.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right="619"/>
        <w:spacing w:after="0"/>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Deloitte &amp; Touche LLP for the audit of our financial statements for 2019 and 2018 and for fees billed for other services rendered by Deloitte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8890</wp:posOffset>
            </wp:positionV>
            <wp:extent cx="5837555" cy="917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37555" cy="91757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2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p>
      <w:pPr>
        <w:ind w:left="820"/>
        <w:spacing w:after="0"/>
        <w:rPr>
          <w:sz w:val="20"/>
          <w:szCs w:val="20"/>
          <w:color w:val="auto"/>
        </w:rPr>
      </w:pPr>
      <w:r>
        <w:rPr>
          <w:rFonts w:ascii="Arial" w:cs="Arial" w:eastAsia="Arial" w:hAnsi="Arial"/>
          <w:sz w:val="17"/>
          <w:szCs w:val="17"/>
          <w:color w:val="auto"/>
        </w:rPr>
        <w:t>Audit-related fees</w:t>
      </w:r>
    </w:p>
    <w:p>
      <w:pPr>
        <w:ind w:left="820"/>
        <w:spacing w:after="0" w:line="222" w:lineRule="auto"/>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(2)</w:t>
      </w:r>
    </w:p>
    <w:p>
      <w:pPr>
        <w:ind w:left="820"/>
        <w:spacing w:after="0"/>
        <w:rPr>
          <w:sz w:val="20"/>
          <w:szCs w:val="20"/>
          <w:color w:val="auto"/>
        </w:rPr>
      </w:pPr>
      <w:r>
        <w:rPr>
          <w:rFonts w:ascii="Arial" w:cs="Arial" w:eastAsia="Arial" w:hAnsi="Arial"/>
          <w:sz w:val="18"/>
          <w:szCs w:val="18"/>
          <w:color w:val="auto"/>
        </w:rPr>
        <w:t>All other fees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top w:val="single" w:sz="8" w:color="3C5896"/>
            </w:tcBorders>
            <w:shd w:val="clear" w:color="auto" w:fill="3C5896"/>
          </w:tcPr>
          <w:p>
            <w:pPr>
              <w:spacing w:after="0"/>
              <w:rPr>
                <w:sz w:val="21"/>
                <w:szCs w:val="21"/>
                <w:color w:val="auto"/>
              </w:rPr>
            </w:pPr>
          </w:p>
        </w:tc>
        <w:tc>
          <w:tcPr>
            <w:tcW w:w="1820" w:type="dxa"/>
            <w:vAlign w:val="bottom"/>
            <w:tcBorders>
              <w:top w:val="single" w:sz="8" w:color="3C5896"/>
              <w:right w:val="single" w:sz="8" w:color="9EACCA"/>
            </w:tcBorders>
            <w:shd w:val="clear" w:color="auto" w:fill="3C5896"/>
          </w:tcPr>
          <w:p>
            <w:pPr>
              <w:jc w:val="right"/>
              <w:ind w:right="150"/>
              <w:spacing w:after="0"/>
              <w:rPr>
                <w:sz w:val="20"/>
                <w:szCs w:val="20"/>
                <w:color w:val="auto"/>
              </w:rPr>
            </w:pPr>
            <w:r>
              <w:rPr>
                <w:rFonts w:ascii="Arial" w:cs="Arial" w:eastAsia="Arial" w:hAnsi="Arial"/>
                <w:sz w:val="18"/>
                <w:szCs w:val="18"/>
                <w:b w:val="1"/>
                <w:bCs w:val="1"/>
                <w:color w:val="FFFFFF"/>
              </w:rPr>
              <w:t>Fiscal Year 2019</w:t>
            </w:r>
          </w:p>
        </w:tc>
        <w:tc>
          <w:tcPr>
            <w:tcW w:w="40" w:type="dxa"/>
            <w:vAlign w:val="bottom"/>
            <w:tcBorders>
              <w:top w:val="single" w:sz="8" w:color="3C5896"/>
            </w:tcBorders>
            <w:shd w:val="clear" w:color="auto" w:fill="3C5896"/>
          </w:tcPr>
          <w:p>
            <w:pPr>
              <w:spacing w:after="0"/>
              <w:rPr>
                <w:sz w:val="21"/>
                <w:szCs w:val="21"/>
                <w:color w:val="auto"/>
              </w:rPr>
            </w:pPr>
          </w:p>
        </w:tc>
        <w:tc>
          <w:tcPr>
            <w:tcW w:w="1800" w:type="dxa"/>
            <w:vAlign w:val="bottom"/>
            <w:tcBorders>
              <w:top w:val="single" w:sz="8" w:color="3C5896"/>
            </w:tcBorders>
            <w:shd w:val="clear" w:color="auto" w:fill="3C5896"/>
          </w:tcPr>
          <w:p>
            <w:pPr>
              <w:jc w:val="right"/>
              <w:ind w:right="150"/>
              <w:spacing w:after="0"/>
              <w:rPr>
                <w:sz w:val="20"/>
                <w:szCs w:val="20"/>
                <w:color w:val="auto"/>
              </w:rPr>
            </w:pPr>
            <w:r>
              <w:rPr>
                <w:rFonts w:ascii="Arial" w:cs="Arial" w:eastAsia="Arial" w:hAnsi="Arial"/>
                <w:sz w:val="18"/>
                <w:szCs w:val="18"/>
                <w:b w:val="1"/>
                <w:bCs w:val="1"/>
                <w:color w:val="FFFFFF"/>
              </w:rPr>
              <w:t>Fiscal Year 2018</w:t>
            </w:r>
          </w:p>
        </w:tc>
        <w:tc>
          <w:tcPr>
            <w:tcW w:w="20" w:type="dxa"/>
            <w:vAlign w:val="bottom"/>
            <w:tcBorders>
              <w:top w:val="single" w:sz="8" w:color="3C5896"/>
            </w:tcBorders>
            <w:shd w:val="clear" w:color="auto" w:fill="3C5896"/>
          </w:tcPr>
          <w:p>
            <w:pPr>
              <w:spacing w:after="0"/>
              <w:rPr>
                <w:sz w:val="21"/>
                <w:szCs w:val="21"/>
                <w:color w:val="auto"/>
              </w:rPr>
            </w:pPr>
          </w:p>
        </w:tc>
      </w:tr>
      <w:tr>
        <w:trPr>
          <w:trHeight w:val="243"/>
        </w:trPr>
        <w:tc>
          <w:tcPr>
            <w:tcW w:w="1860" w:type="dxa"/>
            <w:vAlign w:val="bottom"/>
            <w:tcBorders>
              <w:right w:val="single" w:sz="8" w:color="9EACCA"/>
            </w:tcBorders>
            <w:gridSpan w:val="2"/>
          </w:tcPr>
          <w:p>
            <w:pPr>
              <w:jc w:val="right"/>
              <w:ind w:right="450"/>
              <w:spacing w:after="0"/>
              <w:rPr>
                <w:sz w:val="20"/>
                <w:szCs w:val="20"/>
                <w:color w:val="auto"/>
              </w:rPr>
            </w:pPr>
            <w:r>
              <w:rPr>
                <w:rFonts w:ascii="Arial" w:cs="Arial" w:eastAsia="Arial" w:hAnsi="Arial"/>
                <w:sz w:val="18"/>
                <w:szCs w:val="18"/>
                <w:color w:val="auto"/>
              </w:rPr>
              <w:t>2,064,280</w:t>
            </w:r>
          </w:p>
        </w:tc>
        <w:tc>
          <w:tcPr>
            <w:tcW w:w="1840" w:type="dxa"/>
            <w:vAlign w:val="bottom"/>
            <w:gridSpan w:val="2"/>
          </w:tcPr>
          <w:p>
            <w:pPr>
              <w:jc w:val="right"/>
              <w:ind w:right="430"/>
              <w:spacing w:after="0"/>
              <w:rPr>
                <w:sz w:val="20"/>
                <w:szCs w:val="20"/>
                <w:color w:val="auto"/>
              </w:rPr>
            </w:pPr>
            <w:r>
              <w:rPr>
                <w:rFonts w:ascii="Arial" w:cs="Arial" w:eastAsia="Arial" w:hAnsi="Arial"/>
                <w:sz w:val="18"/>
                <w:szCs w:val="18"/>
                <w:color w:val="auto"/>
              </w:rPr>
              <w:t>2,539,484</w:t>
            </w:r>
          </w:p>
        </w:tc>
        <w:tc>
          <w:tcPr>
            <w:tcW w:w="20" w:type="dxa"/>
            <w:vAlign w:val="bottom"/>
          </w:tcPr>
          <w:p>
            <w:pPr>
              <w:spacing w:after="0"/>
              <w:rPr>
                <w:sz w:val="21"/>
                <w:szCs w:val="21"/>
                <w:color w:val="auto"/>
              </w:rPr>
            </w:pPr>
          </w:p>
        </w:tc>
      </w:tr>
      <w:tr>
        <w:trPr>
          <w:trHeight w:val="230"/>
        </w:trPr>
        <w:tc>
          <w:tcPr>
            <w:tcW w:w="1860" w:type="dxa"/>
            <w:vAlign w:val="bottom"/>
            <w:tcBorders>
              <w:right w:val="single" w:sz="8" w:color="9EACCA"/>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0</w:t>
            </w:r>
          </w:p>
        </w:tc>
        <w:tc>
          <w:tcPr>
            <w:tcW w:w="1840" w:type="dxa"/>
            <w:vAlign w:val="bottom"/>
            <w:gridSpan w:val="2"/>
            <w:shd w:val="clear" w:color="auto" w:fill="CCCCCC"/>
          </w:tcPr>
          <w:p>
            <w:pPr>
              <w:jc w:val="right"/>
              <w:ind w:right="43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1820" w:type="dxa"/>
            <w:vAlign w:val="bottom"/>
            <w:tcBorders>
              <w:right w:val="single" w:sz="8" w:color="9EACCA"/>
            </w:tcBorders>
          </w:tcPr>
          <w:p>
            <w:pPr>
              <w:jc w:val="right"/>
              <w:ind w:right="45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430"/>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1"/>
                <w:szCs w:val="21"/>
                <w:color w:val="auto"/>
              </w:rPr>
            </w:pPr>
          </w:p>
        </w:tc>
      </w:tr>
      <w:tr>
        <w:trPr>
          <w:trHeight w:val="230"/>
        </w:trPr>
        <w:tc>
          <w:tcPr>
            <w:tcW w:w="40" w:type="dxa"/>
            <w:vAlign w:val="bottom"/>
            <w:shd w:val="clear" w:color="auto" w:fill="CCCCCC"/>
          </w:tcPr>
          <w:p>
            <w:pPr>
              <w:spacing w:after="0"/>
              <w:rPr>
                <w:sz w:val="19"/>
                <w:szCs w:val="19"/>
                <w:color w:val="auto"/>
              </w:rPr>
            </w:pPr>
          </w:p>
        </w:tc>
        <w:tc>
          <w:tcPr>
            <w:tcW w:w="1820" w:type="dxa"/>
            <w:vAlign w:val="bottom"/>
            <w:tcBorders>
              <w:right w:val="single" w:sz="8" w:color="9EACCA"/>
            </w:tcBorders>
            <w:shd w:val="clear" w:color="auto" w:fill="CCCCCC"/>
          </w:tcPr>
          <w:p>
            <w:pPr>
              <w:jc w:val="right"/>
              <w:ind w:right="4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CCCC"/>
          </w:tcPr>
          <w:p>
            <w:pPr>
              <w:spacing w:after="0"/>
              <w:rPr>
                <w:sz w:val="19"/>
                <w:szCs w:val="19"/>
                <w:color w:val="auto"/>
              </w:rPr>
            </w:pPr>
          </w:p>
        </w:tc>
        <w:tc>
          <w:tcPr>
            <w:tcW w:w="1800" w:type="dxa"/>
            <w:vAlign w:val="bottom"/>
            <w:shd w:val="clear" w:color="auto" w:fill="CCCCCC"/>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1860" w:type="dxa"/>
            <w:vAlign w:val="bottom"/>
            <w:tcBorders>
              <w:right w:val="single" w:sz="8" w:color="9EACCA"/>
            </w:tcBorders>
            <w:gridSpan w:val="2"/>
          </w:tcPr>
          <w:p>
            <w:pPr>
              <w:jc w:val="right"/>
              <w:ind w:right="450"/>
              <w:spacing w:after="0"/>
              <w:rPr>
                <w:sz w:val="20"/>
                <w:szCs w:val="20"/>
                <w:color w:val="auto"/>
              </w:rPr>
            </w:pPr>
            <w:r>
              <w:rPr>
                <w:rFonts w:ascii="Arial" w:cs="Arial" w:eastAsia="Arial" w:hAnsi="Arial"/>
                <w:sz w:val="18"/>
                <w:szCs w:val="18"/>
                <w:color w:val="auto"/>
              </w:rPr>
              <w:t>2,064,280</w:t>
            </w:r>
          </w:p>
        </w:tc>
        <w:tc>
          <w:tcPr>
            <w:tcW w:w="1840" w:type="dxa"/>
            <w:vAlign w:val="bottom"/>
            <w:gridSpan w:val="2"/>
          </w:tcPr>
          <w:p>
            <w:pPr>
              <w:jc w:val="right"/>
              <w:ind w:right="430"/>
              <w:spacing w:after="0"/>
              <w:rPr>
                <w:sz w:val="20"/>
                <w:szCs w:val="20"/>
                <w:color w:val="auto"/>
              </w:rPr>
            </w:pPr>
            <w:r>
              <w:rPr>
                <w:rFonts w:ascii="Arial" w:cs="Arial" w:eastAsia="Arial" w:hAnsi="Arial"/>
                <w:sz w:val="18"/>
                <w:szCs w:val="18"/>
                <w:color w:val="auto"/>
              </w:rPr>
              <w:t>2,564,484</w:t>
            </w:r>
          </w:p>
        </w:tc>
        <w:tc>
          <w:tcPr>
            <w:tcW w:w="20" w:type="dxa"/>
            <w:vAlign w:val="bottom"/>
          </w:tcPr>
          <w:p>
            <w:pPr>
              <w:spacing w:after="0"/>
              <w:rPr>
                <w:sz w:val="19"/>
                <w:szCs w:val="19"/>
                <w:color w:val="auto"/>
              </w:rPr>
            </w:pPr>
          </w:p>
        </w:tc>
      </w:tr>
    </w:tbl>
    <w:p>
      <w:pPr>
        <w:spacing w:after="0" w:line="78" w:lineRule="exact"/>
        <w:rPr>
          <w:sz w:val="20"/>
          <w:szCs w:val="20"/>
          <w:color w:val="auto"/>
        </w:rPr>
      </w:pPr>
    </w:p>
    <w:p>
      <w:pPr>
        <w:sectPr>
          <w:pgSz w:w="11900" w:h="16838" w:orient="portrait"/>
          <w:cols w:equalWidth="0" w:num="2">
            <w:col w:w="5520" w:space="720"/>
            <w:col w:w="3899"/>
          </w:cols>
          <w:pgMar w:left="320" w:top="131" w:right="1440" w:bottom="1440" w:gutter="0" w:footer="0" w:header="0"/>
          <w:type w:val="continuous"/>
        </w:sectPr>
      </w:pPr>
    </w:p>
    <w:p>
      <w:pPr>
        <w:ind w:left="1120" w:right="259" w:hanging="356"/>
        <w:spacing w:after="0" w:line="260" w:lineRule="auto"/>
        <w:tabs>
          <w:tab w:leader="none" w:pos="1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the audit of the Company’s annual financial statements and the quarterly reviews of its financial statements, and assistance with documents filed with the SEC</w:t>
      </w:r>
    </w:p>
    <w:p>
      <w:pPr>
        <w:spacing w:after="0" w:line="44" w:lineRule="exact"/>
        <w:rPr>
          <w:rFonts w:ascii="Arial" w:cs="Arial" w:eastAsia="Arial" w:hAnsi="Arial"/>
          <w:sz w:val="15"/>
          <w:szCs w:val="15"/>
          <w:color w:val="auto"/>
        </w:rPr>
      </w:pPr>
    </w:p>
    <w:p>
      <w:pPr>
        <w:ind w:left="1120" w:hanging="356"/>
        <w:spacing w:after="0"/>
        <w:tabs>
          <w:tab w:leader="none" w:pos="1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tax compliance, and tax consultation and planning.</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ind w:left="760" w:right="219"/>
        <w:spacing w:after="0" w:line="252" w:lineRule="auto"/>
        <w:rPr>
          <w:sz w:val="20"/>
          <w:szCs w:val="20"/>
          <w:color w:val="auto"/>
        </w:rPr>
      </w:pPr>
      <w:r>
        <w:rPr>
          <w:rFonts w:ascii="Arial" w:cs="Arial" w:eastAsia="Arial" w:hAnsi="Arial"/>
          <w:sz w:val="17"/>
          <w:szCs w:val="17"/>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 -audit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18  </w:t>
      </w:r>
      <w:r>
        <w:rPr>
          <w:sz w:val="1"/>
          <w:szCs w:val="1"/>
          <w:color w:val="auto"/>
        </w:rPr>
        <w:drawing>
          <wp:inline distT="0" distB="0" distL="0" distR="0">
            <wp:extent cx="299720" cy="24003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FFFFFF"/>
        </w:rPr>
        <w:t>AUDIT COMMITTEE MATTERS</w:t>
      </w:r>
    </w:p>
    <w:p>
      <w:pPr>
        <w:spacing w:after="0" w:line="247" w:lineRule="exact"/>
        <w:rPr>
          <w:sz w:val="20"/>
          <w:szCs w:val="20"/>
          <w:color w:val="auto"/>
        </w:rPr>
      </w:pPr>
    </w:p>
    <w:p>
      <w:pPr>
        <w:ind w:left="760" w:right="219"/>
        <w:spacing w:after="0" w:line="256" w:lineRule="auto"/>
        <w:rPr>
          <w:sz w:val="20"/>
          <w:szCs w:val="20"/>
          <w:color w:val="auto"/>
        </w:rPr>
      </w:pPr>
      <w:r>
        <w:rPr>
          <w:rFonts w:ascii="Arial" w:cs="Arial" w:eastAsia="Arial" w:hAnsi="Arial"/>
          <w:sz w:val="18"/>
          <w:szCs w:val="18"/>
          <w:color w:val="auto"/>
        </w:rPr>
        <w:t>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right="179"/>
        <w:spacing w:after="0" w:line="251" w:lineRule="auto"/>
        <w:rPr>
          <w:sz w:val="20"/>
          <w:szCs w:val="20"/>
          <w:color w:val="auto"/>
        </w:rPr>
      </w:pPr>
      <w:r>
        <w:rPr>
          <w:rFonts w:ascii="Arial" w:cs="Arial" w:eastAsia="Arial" w:hAnsi="Arial"/>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04" w:lineRule="exact"/>
        <w:rPr>
          <w:sz w:val="20"/>
          <w:szCs w:val="20"/>
          <w:color w:val="auto"/>
        </w:rPr>
      </w:pPr>
    </w:p>
    <w:p>
      <w:pPr>
        <w:ind w:left="760" w:right="199"/>
        <w:spacing w:after="0" w:line="251"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104" w:lineRule="exact"/>
        <w:rPr>
          <w:sz w:val="20"/>
          <w:szCs w:val="20"/>
          <w:color w:val="auto"/>
        </w:rPr>
      </w:pPr>
    </w:p>
    <w:p>
      <w:pPr>
        <w:jc w:val="both"/>
        <w:ind w:left="760" w:right="319"/>
        <w:spacing w:after="0" w:line="256"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December 28, 2019 filed with the SEC.</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Audit Committee</w:t>
      </w:r>
    </w:p>
    <w:p>
      <w:pPr>
        <w:spacing w:after="0" w:line="1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David M. Tehle, Chair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Virginia A. Hepner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Thomas V. Taylor,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38" w:lineRule="exact"/>
        <w:rPr>
          <w:sz w:val="20"/>
          <w:szCs w:val="20"/>
          <w:color w:val="auto"/>
        </w:rPr>
      </w:pPr>
    </w:p>
    <w:p>
      <w:pPr>
        <w:ind w:left="760" w:right="679"/>
        <w:spacing w:after="0" w:line="242" w:lineRule="auto"/>
        <w:rPr>
          <w:sz w:val="20"/>
          <w:szCs w:val="20"/>
          <w:color w:val="auto"/>
        </w:rPr>
      </w:pPr>
      <w:r>
        <w:rPr>
          <w:rFonts w:ascii="Arial" w:cs="Arial" w:eastAsia="Arial" w:hAnsi="Arial"/>
          <w:sz w:val="32"/>
          <w:szCs w:val="32"/>
          <w:color w:val="auto"/>
        </w:rPr>
        <w:t>PROPOSAL NO. 3—NON-BINDING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74930</wp:posOffset>
            </wp:positionV>
            <wp:extent cx="5837555" cy="1560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37555" cy="1560195"/>
                    </a:xfrm>
                    <a:prstGeom prst="rect">
                      <a:avLst/>
                    </a:prstGeom>
                    <a:noFill/>
                  </pic:spPr>
                </pic:pic>
              </a:graphicData>
            </a:graphic>
          </wp:anchor>
        </w:drawing>
      </w:r>
    </w:p>
    <w:p>
      <w:pPr>
        <w:spacing w:after="0" w:line="156" w:lineRule="exact"/>
        <w:rPr>
          <w:sz w:val="20"/>
          <w:szCs w:val="20"/>
          <w:color w:val="auto"/>
        </w:rPr>
      </w:pPr>
    </w:p>
    <w:p>
      <w:pPr>
        <w:ind w:left="820" w:right="299"/>
        <w:spacing w:after="0" w:line="27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As required pursuant to Section 14A of the Exchange Act, stockholders are being asked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on an advisory basis, the compensation of our named executive officers as described in the Compensation Discussion and Analysis below.</w:t>
      </w:r>
    </w:p>
    <w:p>
      <w:pPr>
        <w:spacing w:after="0" w:line="1" w:lineRule="exact"/>
        <w:rPr>
          <w:sz w:val="20"/>
          <w:szCs w:val="20"/>
          <w:color w:val="auto"/>
        </w:rPr>
      </w:pPr>
    </w:p>
    <w:p>
      <w:pPr>
        <w:ind w:left="820" w:right="919"/>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advisory vote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our named executive officer compensation.</w:t>
      </w:r>
    </w:p>
    <w:p>
      <w:pPr>
        <w:spacing w:after="0" w:line="1" w:lineRule="exact"/>
        <w:rPr>
          <w:sz w:val="20"/>
          <w:szCs w:val="20"/>
          <w:color w:val="auto"/>
        </w:rPr>
      </w:pPr>
    </w:p>
    <w:p>
      <w:pPr>
        <w:ind w:left="820" w:right="319"/>
        <w:spacing w:after="0" w:line="26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must be approved by a majority of the voting power of the shares of stock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in person or represented by proxy and entitled to vote at the Annual Meeting. The compensation committee takes very seriously its role in the governance of the Company’s compensation programs and values thoughtful input from stockholders. The compensation committee will take into account the outcome of the advisory vote when considering future executive compensation decisions.</w:t>
      </w:r>
    </w:p>
    <w:p>
      <w:pPr>
        <w:spacing w:after="0" w:line="211" w:lineRule="exact"/>
        <w:rPr>
          <w:sz w:val="20"/>
          <w:szCs w:val="20"/>
          <w:color w:val="auto"/>
        </w:rPr>
      </w:pPr>
    </w:p>
    <w:p>
      <w:pPr>
        <w:ind w:left="760" w:right="199"/>
        <w:spacing w:after="0" w:line="251" w:lineRule="auto"/>
        <w:rPr>
          <w:sz w:val="20"/>
          <w:szCs w:val="20"/>
          <w:color w:val="auto"/>
        </w:rPr>
      </w:pPr>
      <w:r>
        <w:rPr>
          <w:rFonts w:ascii="Arial" w:cs="Arial" w:eastAsia="Arial" w:hAnsi="Arial"/>
          <w:sz w:val="18"/>
          <w:szCs w:val="18"/>
          <w:color w:val="auto"/>
        </w:rPr>
        <w:t>At the Company’s 2018 Annual Meeting of Stockholders, our stockholders indicated their preference that we should seek future advisory votes every year on named executive officer compensation. Based on the recommendation of the Board in the Company’s 2018 proxy statement and the voting results with respect to the advisory vote on the frequency of future advisory votes on named executive officer compensation, the Company determined to hold an advisory vote on named executive officer compensation every year. Accordingly, our stockholders are being asked to approve, in a non-binding advisory vote, the compensation of our named executive officers as disclosed pursuant to Item 402 of Regulation S-K, including the Compensation Discussion and Analysis, compensation tables and narrative discussion. While the results of the vote are non-binding and advisory in nature, the Board intends to carefully consider the results of this vote.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text of the resolution in respect of Proposal No. 3 is as follows:</w:t>
      </w:r>
    </w:p>
    <w:p>
      <w:pPr>
        <w:spacing w:after="0" w:line="95" w:lineRule="exact"/>
        <w:rPr>
          <w:sz w:val="20"/>
          <w:szCs w:val="20"/>
          <w:color w:val="auto"/>
        </w:rPr>
      </w:pPr>
    </w:p>
    <w:p>
      <w:pPr>
        <w:jc w:val="both"/>
        <w:ind w:left="760" w:right="43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85" w:lineRule="exact"/>
        <w:rPr>
          <w:sz w:val="20"/>
          <w:szCs w:val="20"/>
          <w:color w:val="auto"/>
        </w:rPr>
      </w:pPr>
    </w:p>
    <w:p>
      <w:pPr>
        <w:ind w:left="760" w:right="199"/>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In considering their vote, stockholders may wish to review the information on our compensation policies and decisions regarding the named executive officers presented in Compensation Discussion and Analysis on pages </w:t>
      </w:r>
      <w:hyperlink w:anchor="page24">
        <w:r>
          <w:rPr>
            <w:rFonts w:ascii="Arial" w:cs="Arial" w:eastAsia="Arial" w:hAnsi="Arial"/>
            <w:sz w:val="18"/>
            <w:szCs w:val="18"/>
            <w:u w:val="single" w:color="auto"/>
            <w:color w:val="0000EE"/>
          </w:rPr>
          <w:t>21</w:t>
        </w:r>
      </w:hyperlink>
      <w:r>
        <w:rPr>
          <w:rFonts w:ascii="Arial" w:cs="Arial" w:eastAsia="Arial" w:hAnsi="Arial"/>
          <w:sz w:val="18"/>
          <w:szCs w:val="18"/>
          <w:color w:val="auto"/>
        </w:rPr>
        <w:t xml:space="preserve"> to </w:t>
      </w:r>
      <w:hyperlink w:anchor="page35">
        <w:r>
          <w:rPr>
            <w:rFonts w:ascii="Arial" w:cs="Arial" w:eastAsia="Arial" w:hAnsi="Arial"/>
            <w:sz w:val="18"/>
            <w:szCs w:val="18"/>
            <w:u w:val="single" w:color="auto"/>
            <w:color w:val="0000EE"/>
          </w:rPr>
          <w:t>32</w:t>
        </w:r>
      </w:hyperlink>
      <w:r>
        <w:rPr>
          <w:rFonts w:ascii="Arial" w:cs="Arial" w:eastAsia="Arial" w:hAnsi="Arial"/>
          <w:sz w:val="18"/>
          <w:szCs w:val="18"/>
          <w:color w:val="auto"/>
        </w:rPr>
        <w:t xml:space="preserve">, the compensation tables and narrative discussion on pages </w:t>
      </w:r>
      <w:hyperlink w:anchor="page36">
        <w:r>
          <w:rPr>
            <w:rFonts w:ascii="Arial" w:cs="Arial" w:eastAsia="Arial" w:hAnsi="Arial"/>
            <w:sz w:val="18"/>
            <w:szCs w:val="18"/>
            <w:u w:val="single" w:color="auto"/>
            <w:color w:val="0000EE"/>
          </w:rPr>
          <w:t>33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w:t>
      </w:r>
      <w:hyperlink w:anchor="page40">
        <w:r>
          <w:rPr>
            <w:rFonts w:ascii="Arial" w:cs="Arial" w:eastAsia="Arial" w:hAnsi="Arial"/>
            <w:sz w:val="18"/>
            <w:szCs w:val="18"/>
            <w:u w:val="single" w:color="auto"/>
            <w:color w:val="0000EE"/>
          </w:rPr>
          <w:t>37</w:t>
        </w:r>
      </w:hyperlink>
      <w:r>
        <w:rPr>
          <w:rFonts w:ascii="Arial" w:cs="Arial" w:eastAsia="Arial" w:hAnsi="Arial"/>
          <w:sz w:val="18"/>
          <w:szCs w:val="18"/>
          <w:color w:val="auto"/>
        </w:rPr>
        <w:t xml:space="preserve">, and the discussion regarding the compensation committee on page </w:t>
      </w:r>
      <w:hyperlink w:anchor="page35">
        <w:r>
          <w:rPr>
            <w:rFonts w:ascii="Arial" w:cs="Arial" w:eastAsia="Arial" w:hAnsi="Arial"/>
            <w:sz w:val="18"/>
            <w:szCs w:val="18"/>
            <w:u w:val="single" w:color="auto"/>
            <w:color w:val="0000EE"/>
          </w:rPr>
          <w:t>32</w:t>
        </w:r>
      </w:hyperlink>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left="760"/>
        <w:spacing w:after="0"/>
        <w:rPr>
          <w:sz w:val="20"/>
          <w:szCs w:val="20"/>
          <w:color w:val="auto"/>
        </w:rPr>
      </w:pPr>
      <w:r>
        <w:rPr>
          <w:rFonts w:ascii="Arial" w:cs="Arial" w:eastAsia="Arial" w:hAnsi="Arial"/>
          <w:sz w:val="16"/>
          <w:szCs w:val="16"/>
          <w:b w:val="1"/>
          <w:bCs w:val="1"/>
          <w:color w:val="auto"/>
        </w:rPr>
        <w:t xml:space="preserve">20  </w:t>
      </w:r>
      <w:r>
        <w:rPr>
          <w:sz w:val="1"/>
          <w:szCs w:val="1"/>
          <w:color w:val="auto"/>
        </w:rPr>
        <w:drawing>
          <wp:inline distT="0" distB="0" distL="0" distR="0">
            <wp:extent cx="299720" cy="24003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EXECUTIVE COMPENSATION</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Section Overview</w:t>
      </w:r>
    </w:p>
    <w:p>
      <w:pPr>
        <w:spacing w:after="0" w:line="139" w:lineRule="exact"/>
        <w:rPr>
          <w:sz w:val="20"/>
          <w:szCs w:val="20"/>
          <w:color w:val="auto"/>
        </w:rPr>
      </w:pPr>
    </w:p>
    <w:p>
      <w:pPr>
        <w:ind w:left="760" w:right="199"/>
        <w:spacing w:after="0" w:line="253" w:lineRule="auto"/>
        <w:rPr>
          <w:sz w:val="20"/>
          <w:szCs w:val="20"/>
          <w:color w:val="auto"/>
        </w:rPr>
      </w:pPr>
      <w:r>
        <w:rPr>
          <w:rFonts w:ascii="Arial" w:cs="Arial" w:eastAsia="Arial" w:hAnsi="Arial"/>
          <w:sz w:val="18"/>
          <w:szCs w:val="18"/>
          <w:color w:val="auto"/>
        </w:rPr>
        <w:t>Our executive compensation program is designed to attract and retain a talented executive team with the skills and qualifications to manage and lead the Company effectively. We strive to create an executive compensation program that strikes the right balance of paying for performance with an overarching goal to motivate our leaders to contribute to the achievement of our financial goals and focus on long-term value creation for our stockholders, without taking undue risk.</w:t>
      </w:r>
    </w:p>
    <w:p>
      <w:pPr>
        <w:spacing w:after="0" w:line="97" w:lineRule="exact"/>
        <w:rPr>
          <w:sz w:val="20"/>
          <w:szCs w:val="20"/>
          <w:color w:val="auto"/>
        </w:rPr>
      </w:pPr>
    </w:p>
    <w:p>
      <w:pPr>
        <w:ind w:left="760" w:right="319"/>
        <w:spacing w:after="0" w:line="254" w:lineRule="auto"/>
        <w:rPr>
          <w:sz w:val="20"/>
          <w:szCs w:val="20"/>
          <w:color w:val="auto"/>
        </w:rPr>
      </w:pPr>
      <w:r>
        <w:rPr>
          <w:rFonts w:ascii="Arial" w:cs="Arial" w:eastAsia="Arial" w:hAnsi="Arial"/>
          <w:sz w:val="18"/>
          <w:szCs w:val="18"/>
          <w:color w:val="auto"/>
        </w:rPr>
        <w:t>This section contains a discussion of the material elements of compensation awarded to, earned by or paid to our named executive officers (“NEOs”), which include our Chief Executive Officer, Chief Financial Officer, our three other most highly compensated executive officers and two former executive officers who served in such capacities during the fiscal year ended December 28, 2019. Our NEOs for fiscal 2019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86995</wp:posOffset>
            </wp:positionV>
            <wp:extent cx="5837555" cy="132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37555" cy="132016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68" w:lineRule="exact"/>
        <w:rPr>
          <w:sz w:val="20"/>
          <w:szCs w:val="20"/>
          <w:color w:val="auto"/>
        </w:rPr>
      </w:pPr>
    </w:p>
    <w:p>
      <w:pPr>
        <w:jc w:val="right"/>
        <w:ind w:right="980"/>
        <w:spacing w:after="0"/>
        <w:rPr>
          <w:sz w:val="20"/>
          <w:szCs w:val="20"/>
          <w:color w:val="auto"/>
        </w:rPr>
      </w:pPr>
      <w:r>
        <w:rPr>
          <w:rFonts w:ascii="Arial" w:cs="Arial" w:eastAsia="Arial" w:hAnsi="Arial"/>
          <w:sz w:val="18"/>
          <w:szCs w:val="18"/>
          <w:b w:val="1"/>
          <w:bCs w:val="1"/>
          <w:color w:val="FFFFFF"/>
        </w:rPr>
        <w:t>Name</w:t>
      </w:r>
    </w:p>
    <w:p>
      <w:pPr>
        <w:spacing w:after="0" w:line="7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 Reade Fahs</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Patrick R. Moore</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Jared Brandman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Bill Clark</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Melissa Rasmussen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Jeff McAllister*</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Chris Beasley*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FFFFFF"/>
        </w:rPr>
        <w:t>Position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People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Accounting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Special Advisor to the Board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Former Senior Vice President, Accounting and Controller</w:t>
      </w:r>
    </w:p>
    <w:p>
      <w:pPr>
        <w:spacing w:after="0" w:line="85" w:lineRule="exact"/>
        <w:rPr>
          <w:sz w:val="20"/>
          <w:szCs w:val="20"/>
          <w:color w:val="auto"/>
        </w:rPr>
      </w:pPr>
    </w:p>
    <w:p>
      <w:pPr>
        <w:sectPr>
          <w:pgSz w:w="11900" w:h="16838" w:orient="portrait"/>
          <w:cols w:equalWidth="0" w:num="2">
            <w:col w:w="3780" w:space="720"/>
            <w:col w:w="5639"/>
          </w:cols>
          <w:pgMar w:left="320" w:top="131" w:right="1440" w:bottom="1440" w:gutter="0" w:footer="0" w:header="0"/>
          <w:type w:val="continuous"/>
        </w:sectPr>
      </w:pPr>
    </w:p>
    <w:p>
      <w:pPr>
        <w:ind w:left="860" w:right="399" w:hanging="96"/>
        <w:spacing w:after="0" w:line="252" w:lineRule="auto"/>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On January 10, 2019, Mr. McAllister transitioned from his position as Chief Operating Officer to a new position as Special Advisor to the Board. Mr. Beasley resigned his role as Chief Accounting Officer on July 29, 2019 and terminated his employment with the Company on September 4, 2019.</w:t>
      </w:r>
    </w:p>
    <w:p>
      <w:pPr>
        <w:spacing w:after="0" w:line="94" w:lineRule="exact"/>
        <w:rPr>
          <w:sz w:val="20"/>
          <w:szCs w:val="20"/>
          <w:color w:val="auto"/>
        </w:rPr>
      </w:pPr>
    </w:p>
    <w:p>
      <w:pPr>
        <w:ind w:left="760" w:right="259"/>
        <w:spacing w:after="0" w:line="250" w:lineRule="auto"/>
        <w:rPr>
          <w:sz w:val="20"/>
          <w:szCs w:val="20"/>
          <w:color w:val="auto"/>
        </w:rPr>
      </w:pPr>
      <w:r>
        <w:rPr>
          <w:rFonts w:ascii="Arial" w:cs="Arial" w:eastAsia="Arial" w:hAnsi="Arial"/>
          <w:sz w:val="18"/>
          <w:szCs w:val="18"/>
          <w:color w:val="auto"/>
        </w:rPr>
        <w:t>Mr. Brandman joined the Company in 2017 as Vice President, Assistant General Counsel and Assistant Secretary and transitioned to the role of Senior Vice President, General Counsel and Secretary effective February 13, 2019. Mr. Clark joined the Company in June 2019 as Senior Vice President, Chief People Officer, responsible for leading, integrating and enhancing the human resources, training and organizational development functions.</w:t>
      </w:r>
    </w:p>
    <w:p>
      <w:pPr>
        <w:spacing w:after="0" w:line="2" w:lineRule="exact"/>
        <w:rPr>
          <w:sz w:val="20"/>
          <w:szCs w:val="20"/>
          <w:color w:val="auto"/>
        </w:rPr>
      </w:pPr>
    </w:p>
    <w:p>
      <w:pPr>
        <w:ind w:left="760" w:right="759"/>
        <w:spacing w:after="0" w:line="261" w:lineRule="auto"/>
        <w:rPr>
          <w:sz w:val="20"/>
          <w:szCs w:val="20"/>
          <w:color w:val="auto"/>
        </w:rPr>
      </w:pPr>
      <w:r>
        <w:rPr>
          <w:rFonts w:ascii="Arial" w:cs="Arial" w:eastAsia="Arial" w:hAnsi="Arial"/>
          <w:sz w:val="18"/>
          <w:szCs w:val="18"/>
          <w:color w:val="auto"/>
        </w:rPr>
        <w:t>Ms. Rasmussen joined the Company in July 2019 as Chief Accounting Officer, responsible for overseeing all aspects of the Company’s accounting function.</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left="760" w:right="439"/>
        <w:spacing w:after="0" w:line="256" w:lineRule="auto"/>
        <w:rPr>
          <w:sz w:val="20"/>
          <w:szCs w:val="20"/>
          <w:color w:val="auto"/>
        </w:rPr>
      </w:pPr>
      <w:r>
        <w:rPr>
          <w:rFonts w:ascii="Arial" w:cs="Arial" w:eastAsia="Arial" w:hAnsi="Arial"/>
          <w:sz w:val="18"/>
          <w:szCs w:val="18"/>
          <w:color w:val="auto"/>
        </w:rPr>
        <w:t>The following information summarizes the Company’s 2019 performance and our key executive compensation actions and decisions. Additional information about these topics can be found in the Company’s 2019 Form 10-K and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2019 Business Highlights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2019, we achieved significant financial and operational results including:</w:t>
      </w:r>
    </w:p>
    <w:p>
      <w:pPr>
        <w:spacing w:after="0" w:line="144" w:lineRule="exact"/>
        <w:rPr>
          <w:sz w:val="20"/>
          <w:szCs w:val="20"/>
          <w:color w:val="auto"/>
        </w:rPr>
      </w:pPr>
    </w:p>
    <w:p>
      <w:pPr>
        <w:ind w:left="1120" w:hanging="212"/>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Net revenue increased 12.2% to $1.72 billion</w:t>
      </w:r>
    </w:p>
    <w:p>
      <w:pPr>
        <w:spacing w:after="0" w:line="90" w:lineRule="exact"/>
        <w:rPr>
          <w:rFonts w:ascii="Arial" w:cs="Arial" w:eastAsia="Arial" w:hAnsi="Arial"/>
          <w:sz w:val="18"/>
          <w:szCs w:val="18"/>
          <w:color w:val="3C5896"/>
        </w:rPr>
      </w:pPr>
    </w:p>
    <w:p>
      <w:pPr>
        <w:ind w:left="1120" w:hanging="212"/>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72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consecutive quarter of positive comparable store sales growth as of fiscal 2019 end</w:t>
      </w:r>
    </w:p>
    <w:p>
      <w:pPr>
        <w:spacing w:after="0" w:line="78" w:lineRule="exact"/>
        <w:rPr>
          <w:rFonts w:ascii="Arial" w:cs="Arial" w:eastAsia="Arial" w:hAnsi="Arial"/>
          <w:sz w:val="18"/>
          <w:szCs w:val="18"/>
          <w:color w:val="3C5896"/>
        </w:rPr>
      </w:pPr>
    </w:p>
    <w:p>
      <w:pPr>
        <w:ind w:left="1120" w:hanging="212"/>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Overall store count grew 6.4%, and fiscal 2019 ended with 1,151 stores</w:t>
      </w:r>
    </w:p>
    <w:p>
      <w:pPr>
        <w:spacing w:after="0" w:line="90" w:lineRule="exact"/>
        <w:rPr>
          <w:rFonts w:ascii="Arial" w:cs="Arial" w:eastAsia="Arial" w:hAnsi="Arial"/>
          <w:sz w:val="18"/>
          <w:szCs w:val="18"/>
          <w:color w:val="3C5896"/>
        </w:rPr>
      </w:pPr>
    </w:p>
    <w:p>
      <w:pPr>
        <w:ind w:left="1120" w:hanging="212"/>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was 6.5%; adjusted 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was 6.2%</w:t>
      </w:r>
    </w:p>
    <w:p>
      <w:pPr>
        <w:spacing w:after="0" w:line="52" w:lineRule="exact"/>
        <w:rPr>
          <w:rFonts w:ascii="Arial" w:cs="Arial" w:eastAsia="Arial" w:hAnsi="Arial"/>
          <w:sz w:val="18"/>
          <w:szCs w:val="18"/>
          <w:color w:val="3C5896"/>
        </w:rPr>
      </w:pPr>
    </w:p>
    <w:p>
      <w:pPr>
        <w:ind w:left="1120" w:hanging="212"/>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Net income increased 38.7% to $32.8 million; adjusted net income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27.3% to $66.1 million</w:t>
      </w:r>
    </w:p>
    <w:p>
      <w:pPr>
        <w:spacing w:after="0" w:line="46" w:lineRule="exact"/>
        <w:rPr>
          <w:rFonts w:ascii="Arial" w:cs="Arial" w:eastAsia="Arial" w:hAnsi="Arial"/>
          <w:sz w:val="18"/>
          <w:szCs w:val="18"/>
          <w:color w:val="3C5896"/>
        </w:rPr>
      </w:pPr>
    </w:p>
    <w:p>
      <w:pPr>
        <w:ind w:left="1120" w:hanging="212"/>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15.1% to $200.7 million</w:t>
      </w:r>
    </w:p>
    <w:p>
      <w:pPr>
        <w:spacing w:after="0" w:line="44" w:lineRule="exact"/>
        <w:rPr>
          <w:rFonts w:ascii="Arial" w:cs="Arial" w:eastAsia="Arial" w:hAnsi="Arial"/>
          <w:sz w:val="18"/>
          <w:szCs w:val="18"/>
          <w:color w:val="3C5896"/>
        </w:rPr>
      </w:pPr>
    </w:p>
    <w:p>
      <w:pPr>
        <w:ind w:left="1120" w:hanging="212"/>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Diluted EPS increased 34.2% to $0.40; adjusted diluted EPS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23.2% to $0.81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67945</wp:posOffset>
            </wp:positionV>
            <wp:extent cx="2785745" cy="18434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8574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120" w:right="279" w:hanging="356"/>
        <w:spacing w:after="0" w:line="252" w:lineRule="auto"/>
        <w:tabs>
          <w:tab w:leader="none" w:pos="1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an explanation of our non-GAAP financial measures and a reconciliation of adjusted comparable store sales growth, adjusted net income, Adjusted EBITDA and adjusted diluted EPS to the most directly comparable GAAP measures, see Appendix A to this proxy statement.</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2019 Compensation Highlights</w:t>
      </w:r>
    </w:p>
    <w:p>
      <w:pPr>
        <w:spacing w:after="0" w:line="139" w:lineRule="exact"/>
        <w:rPr>
          <w:sz w:val="20"/>
          <w:szCs w:val="20"/>
          <w:color w:val="auto"/>
        </w:rPr>
      </w:pPr>
    </w:p>
    <w:p>
      <w:pPr>
        <w:ind w:left="760" w:right="279"/>
        <w:spacing w:after="0" w:line="253" w:lineRule="auto"/>
        <w:rPr>
          <w:sz w:val="20"/>
          <w:szCs w:val="20"/>
          <w:color w:val="auto"/>
        </w:rPr>
      </w:pPr>
      <w:r>
        <w:rPr>
          <w:rFonts w:ascii="Arial" w:cs="Arial" w:eastAsia="Arial" w:hAnsi="Arial"/>
          <w:sz w:val="18"/>
          <w:szCs w:val="18"/>
          <w:color w:val="auto"/>
        </w:rPr>
        <w:t>National Vision became a publicly traded company in 2017. In prior years, the Company’s compensation programs reflected the transition from private to public ownership. In 2019, the compensation committee moved to more closely align our compensation programs with those found in the competitive market to continue attracting and retaining high-quality executives capable of executing the Company’s strategy and delivering value for stockholders. Key actions taken by the compensation committee include the following highlights:</w:t>
      </w:r>
    </w:p>
    <w:p>
      <w:pPr>
        <w:spacing w:after="0" w:line="116" w:lineRule="exact"/>
        <w:rPr>
          <w:sz w:val="20"/>
          <w:szCs w:val="20"/>
          <w:color w:val="auto"/>
        </w:rPr>
      </w:pPr>
    </w:p>
    <w:p>
      <w:pPr>
        <w:ind w:left="1120" w:right="359" w:hanging="212"/>
        <w:spacing w:after="0" w:line="271" w:lineRule="auto"/>
        <w:tabs>
          <w:tab w:leader="none" w:pos="1120" w:val="left"/>
        </w:tabs>
        <w:numPr>
          <w:ilvl w:val="0"/>
          <w:numId w:val="19"/>
        </w:numPr>
        <w:rPr>
          <w:rFonts w:ascii="Arial" w:cs="Arial" w:eastAsia="Arial" w:hAnsi="Arial"/>
          <w:sz w:val="18"/>
          <w:szCs w:val="18"/>
          <w:color w:val="3C5896"/>
        </w:rPr>
      </w:pPr>
      <w:r>
        <w:rPr>
          <w:rFonts w:ascii="Arial" w:cs="Arial" w:eastAsia="Arial" w:hAnsi="Arial"/>
          <w:sz w:val="18"/>
          <w:szCs w:val="18"/>
          <w:b w:val="1"/>
          <w:bCs w:val="1"/>
          <w:color w:val="auto"/>
        </w:rPr>
        <w:t>Base Salary</w:t>
      </w:r>
      <w:r>
        <w:rPr>
          <w:rFonts w:ascii="Arial" w:cs="Arial" w:eastAsia="Arial" w:hAnsi="Arial"/>
          <w:sz w:val="18"/>
          <w:szCs w:val="18"/>
          <w:color w:val="auto"/>
        </w:rPr>
        <w:t>—In February, the compensation committee approved executive officer salary increases ranging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3% to 5%, to more closely align compensation opportunities with the competitive market.</w:t>
      </w:r>
    </w:p>
    <w:p>
      <w:pPr>
        <w:spacing w:after="0" w:line="59" w:lineRule="exact"/>
        <w:rPr>
          <w:rFonts w:ascii="Arial" w:cs="Arial" w:eastAsia="Arial" w:hAnsi="Arial"/>
          <w:sz w:val="18"/>
          <w:szCs w:val="18"/>
          <w:color w:val="3C5896"/>
        </w:rPr>
      </w:pPr>
    </w:p>
    <w:p>
      <w:pPr>
        <w:ind w:left="1120" w:right="379" w:hanging="212"/>
        <w:spacing w:after="0" w:line="244" w:lineRule="auto"/>
        <w:tabs>
          <w:tab w:leader="none" w:pos="1120" w:val="left"/>
        </w:tabs>
        <w:numPr>
          <w:ilvl w:val="0"/>
          <w:numId w:val="19"/>
        </w:numPr>
        <w:rPr>
          <w:rFonts w:ascii="Arial" w:cs="Arial" w:eastAsia="Arial" w:hAnsi="Arial"/>
          <w:sz w:val="18"/>
          <w:szCs w:val="18"/>
          <w:color w:val="3C5896"/>
        </w:rPr>
      </w:pPr>
      <w:r>
        <w:rPr>
          <w:rFonts w:ascii="Arial" w:cs="Arial" w:eastAsia="Arial" w:hAnsi="Arial"/>
          <w:sz w:val="18"/>
          <w:szCs w:val="18"/>
          <w:b w:val="1"/>
          <w:bCs w:val="1"/>
          <w:color w:val="auto"/>
        </w:rPr>
        <w:t>Annual Cash Incentive Plan—</w:t>
      </w:r>
      <w:r>
        <w:rPr>
          <w:rFonts w:ascii="Arial" w:cs="Arial" w:eastAsia="Arial" w:hAnsi="Arial"/>
          <w:sz w:val="18"/>
          <w:szCs w:val="18"/>
          <w:color w:val="auto"/>
        </w:rPr>
        <w:t>Starting for fiscal 2019, the compensation committee simplified the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performance/payout schedule from six tiers (Threshold and Tiers I through V) to three points for 2019 (Threshold, Target, and Maximum). Annual incentive awards pay out between 0% and 200% of target, based on performance against our Adjusted EBITDA target. Based on Adjusted EBITDA performance of $210.16 million, the fiscal 2019 Short Term Incentive Plan (“STIP”) funded at 139.4% of target.</w:t>
      </w:r>
    </w:p>
    <w:p>
      <w:pPr>
        <w:spacing w:after="0" w:line="95" w:lineRule="exact"/>
        <w:rPr>
          <w:rFonts w:ascii="Arial" w:cs="Arial" w:eastAsia="Arial" w:hAnsi="Arial"/>
          <w:sz w:val="18"/>
          <w:szCs w:val="18"/>
          <w:color w:val="3C5896"/>
        </w:rPr>
      </w:pPr>
    </w:p>
    <w:p>
      <w:pPr>
        <w:ind w:left="1120" w:right="319" w:hanging="212"/>
        <w:spacing w:after="0" w:line="247" w:lineRule="auto"/>
        <w:tabs>
          <w:tab w:leader="none" w:pos="1120" w:val="left"/>
        </w:tabs>
        <w:numPr>
          <w:ilvl w:val="0"/>
          <w:numId w:val="19"/>
        </w:numPr>
        <w:rPr>
          <w:rFonts w:ascii="Arial" w:cs="Arial" w:eastAsia="Arial" w:hAnsi="Arial"/>
          <w:sz w:val="18"/>
          <w:szCs w:val="18"/>
          <w:color w:val="3C5896"/>
        </w:rPr>
      </w:pPr>
      <w:r>
        <w:rPr>
          <w:rFonts w:ascii="Arial" w:cs="Arial" w:eastAsia="Arial" w:hAnsi="Arial"/>
          <w:sz w:val="18"/>
          <w:szCs w:val="18"/>
          <w:b w:val="1"/>
          <w:bCs w:val="1"/>
          <w:color w:val="auto"/>
        </w:rPr>
        <w:t>Long-Term Incentive Program—</w:t>
      </w:r>
      <w:r>
        <w:rPr>
          <w:rFonts w:ascii="Arial" w:cs="Arial" w:eastAsia="Arial" w:hAnsi="Arial"/>
          <w:sz w:val="18"/>
          <w:szCs w:val="18"/>
          <w:color w:val="auto"/>
        </w:rPr>
        <w:t>The Company adopted a long-term incentive program, granting each of our</w:t>
      </w:r>
      <w:r>
        <w:rPr>
          <w:rFonts w:ascii="Arial" w:cs="Arial" w:eastAsia="Arial" w:hAnsi="Arial"/>
          <w:sz w:val="18"/>
          <w:szCs w:val="18"/>
          <w:b w:val="1"/>
          <w:bCs w:val="1"/>
          <w:color w:val="auto"/>
        </w:rPr>
        <w:t xml:space="preserve"> </w:t>
      </w:r>
      <w:r>
        <w:rPr>
          <w:rFonts w:ascii="Arial" w:cs="Arial" w:eastAsia="Arial" w:hAnsi="Arial"/>
          <w:sz w:val="18"/>
          <w:szCs w:val="18"/>
          <w:color w:val="auto"/>
        </w:rPr>
        <w:t>NEOs (other than Mr. McAllister) time-vesting stock options and performance-based restricted stock units (“PSUs”). PSUs will vest between 0% and 200% of target, based on performance against our three-year Adjusted EBITDA growth target.</w:t>
      </w:r>
    </w:p>
    <w:p>
      <w:pPr>
        <w:spacing w:after="0" w:line="79" w:lineRule="exact"/>
        <w:rPr>
          <w:rFonts w:ascii="Arial" w:cs="Arial" w:eastAsia="Arial" w:hAnsi="Arial"/>
          <w:sz w:val="18"/>
          <w:szCs w:val="18"/>
          <w:color w:val="3C5896"/>
        </w:rPr>
      </w:pPr>
    </w:p>
    <w:p>
      <w:pPr>
        <w:ind w:left="1120" w:right="399" w:hanging="212"/>
        <w:spacing w:after="0" w:line="301" w:lineRule="auto"/>
        <w:tabs>
          <w:tab w:leader="none" w:pos="1120" w:val="left"/>
        </w:tabs>
        <w:numPr>
          <w:ilvl w:val="0"/>
          <w:numId w:val="19"/>
        </w:numPr>
        <w:rPr>
          <w:rFonts w:ascii="Arial" w:cs="Arial" w:eastAsia="Arial" w:hAnsi="Arial"/>
          <w:sz w:val="17"/>
          <w:szCs w:val="17"/>
          <w:color w:val="3C5896"/>
        </w:rPr>
      </w:pPr>
      <w:r>
        <w:rPr>
          <w:rFonts w:ascii="Arial" w:cs="Arial" w:eastAsia="Arial" w:hAnsi="Arial"/>
          <w:sz w:val="17"/>
          <w:szCs w:val="17"/>
          <w:b w:val="1"/>
          <w:bCs w:val="1"/>
          <w:color w:val="auto"/>
        </w:rPr>
        <w:t>Pay-for-Performance</w:t>
      </w:r>
      <w:r>
        <w:rPr>
          <w:rFonts w:ascii="Arial" w:cs="Arial" w:eastAsia="Arial" w:hAnsi="Arial"/>
          <w:sz w:val="17"/>
          <w:szCs w:val="17"/>
          <w:color w:val="auto"/>
        </w:rPr>
        <w:t>—National Vision is committed to aligning executive compensation to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The charts below illustrate that the majority of our NEOs’ compensation is performance-based.</w:t>
      </w:r>
    </w:p>
    <w:p>
      <w:pPr>
        <w:spacing w:after="0" w:line="200" w:lineRule="exact"/>
        <w:rPr>
          <w:sz w:val="20"/>
          <w:szCs w:val="20"/>
          <w:color w:val="auto"/>
        </w:rPr>
      </w:pPr>
    </w:p>
    <w:p>
      <w:pPr>
        <w:spacing w:after="0" w:line="37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22  </w:t>
      </w:r>
      <w:r>
        <w:rPr>
          <w:sz w:val="1"/>
          <w:szCs w:val="1"/>
          <w:color w:val="auto"/>
        </w:rPr>
        <w:drawing>
          <wp:inline distT="0" distB="0" distL="0" distR="0">
            <wp:extent cx="299720" cy="24003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157480</wp:posOffset>
            </wp:positionV>
            <wp:extent cx="4808855" cy="2442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0885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Philosophy and Approach</w:t>
      </w:r>
    </w:p>
    <w:p>
      <w:pPr>
        <w:spacing w:after="0" w:line="139" w:lineRule="exact"/>
        <w:rPr>
          <w:sz w:val="20"/>
          <w:szCs w:val="20"/>
          <w:color w:val="auto"/>
        </w:rPr>
      </w:pPr>
    </w:p>
    <w:p>
      <w:pPr>
        <w:ind w:left="760" w:right="359"/>
        <w:spacing w:after="0" w:line="252" w:lineRule="auto"/>
        <w:rPr>
          <w:sz w:val="20"/>
          <w:szCs w:val="20"/>
          <w:color w:val="auto"/>
        </w:rPr>
      </w:pPr>
      <w:r>
        <w:rPr>
          <w:rFonts w:ascii="Arial" w:cs="Arial" w:eastAsia="Arial" w:hAnsi="Arial"/>
          <w:sz w:val="18"/>
          <w:szCs w:val="18"/>
          <w:color w:val="auto"/>
        </w:rPr>
        <w:t>Our mission is making quality eye care and eyewear more accessible and affordable. In order to do this, we must attract, engage and retain highly talented individuals who are committed to our core values of doing what is right, creating happiness every day and being energized to serve. Our compensation programs are designed to help us achieve these goals. We expect our executive team to possess and demonstrate strong leadership and management capabilities and continue to execute against our strategic growth initiative. To reward and retain our leaders, including our NEOs, we have designed a total compensation approach that rewards both short-term and long-term success.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compensation program for executives is currently designed to support the following objectives:</w:t>
      </w:r>
    </w:p>
    <w:p>
      <w:pPr>
        <w:spacing w:after="0" w:line="109" w:lineRule="exact"/>
        <w:rPr>
          <w:sz w:val="20"/>
          <w:szCs w:val="20"/>
          <w:color w:val="auto"/>
        </w:rPr>
      </w:pPr>
    </w:p>
    <w:p>
      <w:pPr>
        <w:ind w:left="1340" w:right="679" w:hanging="216"/>
        <w:spacing w:after="0" w:line="253" w:lineRule="auto"/>
        <w:tabs>
          <w:tab w:leader="none" w:pos="1340" w:val="left"/>
        </w:tabs>
        <w:numPr>
          <w:ilvl w:val="0"/>
          <w:numId w:val="20"/>
        </w:numPr>
        <w:rPr>
          <w:rFonts w:ascii="Arial" w:cs="Arial" w:eastAsia="Arial" w:hAnsi="Arial"/>
          <w:sz w:val="18"/>
          <w:szCs w:val="18"/>
          <w:color w:val="3C5896"/>
        </w:rPr>
      </w:pPr>
      <w:r>
        <w:rPr>
          <w:rFonts w:ascii="Arial" w:cs="Arial" w:eastAsia="Arial" w:hAnsi="Arial"/>
          <w:sz w:val="18"/>
          <w:szCs w:val="18"/>
          <w:b w:val="1"/>
          <w:bCs w:val="1"/>
          <w:i w:val="1"/>
          <w:iCs w:val="1"/>
          <w:color w:val="3C5896"/>
        </w:rPr>
        <w:t>Motivate executives to meet or exceed Company performance goals</w:t>
      </w:r>
      <w:r>
        <w:rPr>
          <w:rFonts w:ascii="Arial" w:cs="Arial" w:eastAsia="Arial" w:hAnsi="Arial"/>
          <w:sz w:val="18"/>
          <w:szCs w:val="18"/>
          <w:color w:val="3C5896"/>
        </w:rPr>
        <w:t>.</w:t>
      </w:r>
      <w:r>
        <w:rPr>
          <w:rFonts w:ascii="Arial" w:cs="Arial" w:eastAsia="Arial" w:hAnsi="Arial"/>
          <w:sz w:val="18"/>
          <w:szCs w:val="18"/>
          <w:b w:val="1"/>
          <w:bCs w:val="1"/>
          <w:i w:val="1"/>
          <w:iCs w:val="1"/>
          <w:color w:val="3C5896"/>
        </w:rPr>
        <w:t xml:space="preserve"> </w:t>
      </w:r>
      <w:r>
        <w:rPr>
          <w:rFonts w:ascii="Arial" w:cs="Arial" w:eastAsia="Arial" w:hAnsi="Arial"/>
          <w:sz w:val="18"/>
          <w:szCs w:val="18"/>
          <w:color w:val="000000"/>
        </w:rPr>
        <w:t>A significant portion of each</w:t>
      </w:r>
      <w:r>
        <w:rPr>
          <w:rFonts w:ascii="Arial" w:cs="Arial" w:eastAsia="Arial" w:hAnsi="Arial"/>
          <w:sz w:val="18"/>
          <w:szCs w:val="18"/>
          <w:b w:val="1"/>
          <w:bCs w:val="1"/>
          <w:i w:val="1"/>
          <w:iCs w:val="1"/>
          <w:color w:val="3C5896"/>
        </w:rPr>
        <w:t xml:space="preserve"> </w:t>
      </w:r>
      <w:r>
        <w:rPr>
          <w:rFonts w:ascii="Arial" w:cs="Arial" w:eastAsia="Arial" w:hAnsi="Arial"/>
          <w:sz w:val="18"/>
          <w:szCs w:val="18"/>
          <w:color w:val="000000"/>
        </w:rPr>
        <w:t>NEO’s total compensation is directly tied to the achievement of the Company’s overall business and performance goals;</w:t>
      </w:r>
    </w:p>
    <w:p>
      <w:pPr>
        <w:spacing w:after="0" w:line="60" w:lineRule="exact"/>
        <w:rPr>
          <w:rFonts w:ascii="Arial" w:cs="Arial" w:eastAsia="Arial" w:hAnsi="Arial"/>
          <w:sz w:val="18"/>
          <w:szCs w:val="18"/>
          <w:color w:val="3C5896"/>
        </w:rPr>
      </w:pPr>
    </w:p>
    <w:p>
      <w:pPr>
        <w:ind w:left="1340" w:right="199" w:hanging="216"/>
        <w:spacing w:after="0" w:line="253" w:lineRule="auto"/>
        <w:tabs>
          <w:tab w:leader="none" w:pos="1340" w:val="left"/>
        </w:tabs>
        <w:numPr>
          <w:ilvl w:val="0"/>
          <w:numId w:val="20"/>
        </w:numPr>
        <w:rPr>
          <w:rFonts w:ascii="Arial" w:cs="Arial" w:eastAsia="Arial" w:hAnsi="Arial"/>
          <w:sz w:val="18"/>
          <w:szCs w:val="18"/>
          <w:color w:val="3C5896"/>
        </w:rPr>
      </w:pPr>
      <w:r>
        <w:rPr>
          <w:rFonts w:ascii="Arial" w:cs="Arial" w:eastAsia="Arial" w:hAnsi="Arial"/>
          <w:sz w:val="18"/>
          <w:szCs w:val="18"/>
          <w:b w:val="1"/>
          <w:bCs w:val="1"/>
          <w:i w:val="1"/>
          <w:iCs w:val="1"/>
          <w:color w:val="3C5896"/>
        </w:rPr>
        <w:t>Attract and retain talented executives</w:t>
      </w:r>
      <w:r>
        <w:rPr>
          <w:rFonts w:ascii="Arial" w:cs="Arial" w:eastAsia="Arial" w:hAnsi="Arial"/>
          <w:sz w:val="18"/>
          <w:szCs w:val="18"/>
          <w:color w:val="3C5896"/>
        </w:rPr>
        <w:t>.</w:t>
      </w:r>
      <w:r>
        <w:rPr>
          <w:rFonts w:ascii="Arial" w:cs="Arial" w:eastAsia="Arial" w:hAnsi="Arial"/>
          <w:sz w:val="18"/>
          <w:szCs w:val="18"/>
          <w:b w:val="1"/>
          <w:bCs w:val="1"/>
          <w:i w:val="1"/>
          <w:iCs w:val="1"/>
          <w:color w:val="3C5896"/>
        </w:rPr>
        <w:t xml:space="preserve"> </w:t>
      </w:r>
      <w:r>
        <w:rPr>
          <w:rFonts w:ascii="Arial" w:cs="Arial" w:eastAsia="Arial" w:hAnsi="Arial"/>
          <w:sz w:val="18"/>
          <w:szCs w:val="18"/>
          <w:color w:val="000000"/>
        </w:rPr>
        <w:t>The Company seeks to provide overall levels of compensation that</w:t>
      </w:r>
      <w:r>
        <w:rPr>
          <w:rFonts w:ascii="Arial" w:cs="Arial" w:eastAsia="Arial" w:hAnsi="Arial"/>
          <w:sz w:val="18"/>
          <w:szCs w:val="18"/>
          <w:b w:val="1"/>
          <w:bCs w:val="1"/>
          <w:i w:val="1"/>
          <w:iCs w:val="1"/>
          <w:color w:val="3C5896"/>
        </w:rPr>
        <w:t xml:space="preserve"> </w:t>
      </w:r>
      <w:r>
        <w:rPr>
          <w:rFonts w:ascii="Arial" w:cs="Arial" w:eastAsia="Arial" w:hAnsi="Arial"/>
          <w:sz w:val="18"/>
          <w:szCs w:val="18"/>
          <w:color w:val="000000"/>
        </w:rPr>
        <w:t>are market competitive to attract, retain and motivate highly qualified executives to continue to enhance long-term equity value; and</w:t>
      </w:r>
    </w:p>
    <w:p>
      <w:pPr>
        <w:spacing w:after="0" w:line="60" w:lineRule="exact"/>
        <w:rPr>
          <w:rFonts w:ascii="Arial" w:cs="Arial" w:eastAsia="Arial" w:hAnsi="Arial"/>
          <w:sz w:val="18"/>
          <w:szCs w:val="18"/>
          <w:color w:val="3C5896"/>
        </w:rPr>
      </w:pPr>
    </w:p>
    <w:p>
      <w:pPr>
        <w:ind w:left="1340" w:right="259" w:hanging="216"/>
        <w:spacing w:after="0" w:line="247" w:lineRule="auto"/>
        <w:tabs>
          <w:tab w:leader="none" w:pos="1340" w:val="left"/>
        </w:tabs>
        <w:numPr>
          <w:ilvl w:val="0"/>
          <w:numId w:val="20"/>
        </w:numPr>
        <w:rPr>
          <w:rFonts w:ascii="Arial" w:cs="Arial" w:eastAsia="Arial" w:hAnsi="Arial"/>
          <w:sz w:val="18"/>
          <w:szCs w:val="18"/>
          <w:color w:val="3C5896"/>
        </w:rPr>
      </w:pPr>
      <w:r>
        <w:rPr>
          <w:rFonts w:ascii="Arial" w:cs="Arial" w:eastAsia="Arial" w:hAnsi="Arial"/>
          <w:sz w:val="18"/>
          <w:szCs w:val="18"/>
          <w:b w:val="1"/>
          <w:bCs w:val="1"/>
          <w:i w:val="1"/>
          <w:iCs w:val="1"/>
          <w:color w:val="3C5896"/>
        </w:rPr>
        <w:t>Link the financial interests of executives and stockholders</w:t>
      </w:r>
      <w:r>
        <w:rPr>
          <w:rFonts w:ascii="Arial" w:cs="Arial" w:eastAsia="Arial" w:hAnsi="Arial"/>
          <w:sz w:val="18"/>
          <w:szCs w:val="18"/>
          <w:color w:val="3C5896"/>
        </w:rPr>
        <w:t>.</w:t>
      </w:r>
      <w:r>
        <w:rPr>
          <w:rFonts w:ascii="Arial" w:cs="Arial" w:eastAsia="Arial" w:hAnsi="Arial"/>
          <w:sz w:val="18"/>
          <w:szCs w:val="18"/>
          <w:b w:val="1"/>
          <w:bCs w:val="1"/>
          <w:i w:val="1"/>
          <w:iCs w:val="1"/>
          <w:color w:val="3C5896"/>
        </w:rPr>
        <w:t xml:space="preserve"> </w:t>
      </w:r>
      <w:r>
        <w:rPr>
          <w:rFonts w:ascii="Arial" w:cs="Arial" w:eastAsia="Arial" w:hAnsi="Arial"/>
          <w:sz w:val="18"/>
          <w:szCs w:val="18"/>
          <w:color w:val="000000"/>
        </w:rPr>
        <w:t>In order to foster a strong relationship</w:t>
      </w:r>
      <w:r>
        <w:rPr>
          <w:rFonts w:ascii="Arial" w:cs="Arial" w:eastAsia="Arial" w:hAnsi="Arial"/>
          <w:sz w:val="18"/>
          <w:szCs w:val="18"/>
          <w:b w:val="1"/>
          <w:bCs w:val="1"/>
          <w:i w:val="1"/>
          <w:iCs w:val="1"/>
          <w:color w:val="3C5896"/>
        </w:rPr>
        <w:t xml:space="preserve"> </w:t>
      </w:r>
      <w:r>
        <w:rPr>
          <w:rFonts w:ascii="Arial" w:cs="Arial" w:eastAsia="Arial" w:hAnsi="Arial"/>
          <w:sz w:val="18"/>
          <w:szCs w:val="18"/>
          <w:color w:val="000000"/>
        </w:rPr>
        <w:t>between stockholder value and executive compensation, a significant portion of compensation is composed of equity-based incentive awards. Additionally, NEOs are subject to stock ownership guidelines that ensure they retain a significant portion of their vested equity awards.</w:t>
      </w:r>
    </w:p>
    <w:p>
      <w:pPr>
        <w:spacing w:after="0" w:line="70" w:lineRule="exact"/>
        <w:rPr>
          <w:sz w:val="20"/>
          <w:szCs w:val="20"/>
          <w:color w:val="auto"/>
        </w:rPr>
      </w:pPr>
    </w:p>
    <w:p>
      <w:pPr>
        <w:ind w:left="760" w:right="219"/>
        <w:spacing w:after="0" w:line="266" w:lineRule="auto"/>
        <w:rPr>
          <w:sz w:val="20"/>
          <w:szCs w:val="20"/>
          <w:color w:val="auto"/>
        </w:rPr>
      </w:pPr>
      <w:r>
        <w:rPr>
          <w:rFonts w:ascii="Arial" w:cs="Arial" w:eastAsia="Arial" w:hAnsi="Arial"/>
          <w:sz w:val="18"/>
          <w:szCs w:val="18"/>
          <w:i w:val="1"/>
          <w:iCs w:val="1"/>
          <w:color w:val="auto"/>
        </w:rPr>
        <w:t>Program Design</w:t>
      </w:r>
      <w:r>
        <w:rPr>
          <w:rFonts w:ascii="Arial" w:cs="Arial" w:eastAsia="Arial" w:hAnsi="Arial"/>
          <w:sz w:val="18"/>
          <w:szCs w:val="18"/>
          <w:color w:val="auto"/>
        </w:rPr>
        <w:t>. Our executive compensation program has three main components: (1) base salary; (2)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incentive compensation (STIP); and (3) long-term incentive awards (LTIP). Each component is designed to be consistent with the Company’s compensation philosophy.</w:t>
      </w:r>
    </w:p>
    <w:p>
      <w:pPr>
        <w:spacing w:after="0" w:line="86" w:lineRule="exact"/>
        <w:rPr>
          <w:sz w:val="20"/>
          <w:szCs w:val="20"/>
          <w:color w:val="auto"/>
        </w:rPr>
      </w:pPr>
    </w:p>
    <w:p>
      <w:pPr>
        <w:ind w:left="760" w:right="379"/>
        <w:spacing w:after="0" w:line="251" w:lineRule="auto"/>
        <w:rPr>
          <w:sz w:val="20"/>
          <w:szCs w:val="20"/>
          <w:color w:val="auto"/>
        </w:rPr>
      </w:pPr>
      <w:r>
        <w:rPr>
          <w:rFonts w:ascii="Arial" w:cs="Arial" w:eastAsia="Arial" w:hAnsi="Arial"/>
          <w:sz w:val="18"/>
          <w:szCs w:val="18"/>
          <w:color w:val="auto"/>
        </w:rPr>
        <w:t>Our compensation packages are designed to promote integrity, leadership, teamwork, ownership and initiative by our employees whose performance and responsibilities directly affect our results. We strive to create competitive compensation packages for all employees that encourage them to achieve our long-term business goals without taking unnecessary risks. We believe that, to attract and retain talented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327"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3177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0355" cy="231775"/>
                    </a:xfrm>
                    <a:prstGeom prst="rect">
                      <a:avLst/>
                    </a:prstGeom>
                    <a:noFill/>
                    <a:ln>
                      <a:noFill/>
                    </a:ln>
                  </pic:spPr>
                </pic:pic>
              </a:graphicData>
            </a:graphic>
          </wp:inline>
        </w:drawing>
      </w:r>
      <w:r>
        <w:rPr>
          <w:rFonts w:ascii="Arial" w:cs="Arial" w:eastAsia="Arial" w:hAnsi="Arial"/>
          <w:sz w:val="16"/>
          <w:szCs w:val="16"/>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ind w:left="760" w:right="859"/>
        <w:spacing w:after="0" w:line="261" w:lineRule="auto"/>
        <w:rPr>
          <w:sz w:val="20"/>
          <w:szCs w:val="20"/>
          <w:color w:val="auto"/>
        </w:rPr>
      </w:pPr>
      <w:r>
        <w:rPr>
          <w:rFonts w:ascii="Arial" w:cs="Arial" w:eastAsia="Arial" w:hAnsi="Arial"/>
          <w:sz w:val="18"/>
          <w:szCs w:val="18"/>
          <w:color w:val="auto"/>
        </w:rPr>
        <w:t>Consistent with prior practice, we do not intend to adhere to rigid formulas or react to short-term changes in business performance in determining the amount and mix of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83185</wp:posOffset>
            </wp:positionV>
            <wp:extent cx="5837555" cy="26574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37555" cy="265747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6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What We Do:</w:t>
      </w:r>
    </w:p>
    <w:p>
      <w:pPr>
        <w:spacing w:after="0" w:line="45" w:lineRule="exact"/>
        <w:rPr>
          <w:sz w:val="20"/>
          <w:szCs w:val="20"/>
          <w:color w:val="auto"/>
        </w:rPr>
      </w:pPr>
    </w:p>
    <w:p>
      <w:pPr>
        <w:ind w:left="1180" w:hanging="182"/>
        <w:spacing w:after="0"/>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Pay for performance</w:t>
      </w:r>
    </w:p>
    <w:p>
      <w:pPr>
        <w:spacing w:after="0" w:line="49" w:lineRule="exact"/>
        <w:rPr>
          <w:rFonts w:ascii="MS PGothic" w:cs="MS PGothic" w:eastAsia="MS PGothic" w:hAnsi="MS PGothic"/>
          <w:sz w:val="18"/>
          <w:szCs w:val="18"/>
          <w:color w:val="3C5896"/>
        </w:rPr>
      </w:pPr>
    </w:p>
    <w:p>
      <w:pPr>
        <w:ind w:left="1180" w:hanging="182"/>
        <w:spacing w:after="0"/>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Maintain strong stock ownership guidelines for our NEOs</w:t>
      </w:r>
    </w:p>
    <w:p>
      <w:pPr>
        <w:spacing w:after="0" w:line="76" w:lineRule="exact"/>
        <w:rPr>
          <w:rFonts w:ascii="MS PGothic" w:cs="MS PGothic" w:eastAsia="MS PGothic" w:hAnsi="MS PGothic"/>
          <w:sz w:val="18"/>
          <w:szCs w:val="18"/>
          <w:color w:val="3C5896"/>
        </w:rPr>
      </w:pPr>
    </w:p>
    <w:p>
      <w:pPr>
        <w:ind w:left="1180" w:right="420" w:hanging="182"/>
        <w:spacing w:after="0" w:line="286" w:lineRule="auto"/>
        <w:tabs>
          <w:tab w:leader="none" w:pos="1180" w:val="left"/>
        </w:tabs>
        <w:numPr>
          <w:ilvl w:val="0"/>
          <w:numId w:val="21"/>
        </w:numPr>
        <w:rPr>
          <w:rFonts w:ascii="MS PGothic" w:cs="MS PGothic" w:eastAsia="MS PGothic" w:hAnsi="MS PGothic"/>
          <w:sz w:val="17"/>
          <w:szCs w:val="17"/>
          <w:color w:val="3C5896"/>
        </w:rPr>
      </w:pPr>
      <w:r>
        <w:rPr>
          <w:rFonts w:ascii="Arial" w:cs="Arial" w:eastAsia="Arial" w:hAnsi="Arial"/>
          <w:sz w:val="17"/>
          <w:szCs w:val="17"/>
          <w:color w:val="auto"/>
        </w:rPr>
        <w:t>Require our NEOs to retain 50% of vested awards net of tax withholdings until they have met our ownership guidelines</w:t>
      </w:r>
    </w:p>
    <w:p>
      <w:pPr>
        <w:spacing w:after="0" w:line="47" w:lineRule="exact"/>
        <w:rPr>
          <w:rFonts w:ascii="MS PGothic" w:cs="MS PGothic" w:eastAsia="MS PGothic" w:hAnsi="MS PGothic"/>
          <w:sz w:val="17"/>
          <w:szCs w:val="17"/>
          <w:color w:val="3C5896"/>
        </w:rPr>
      </w:pPr>
    </w:p>
    <w:p>
      <w:pPr>
        <w:ind w:left="1180" w:hanging="182"/>
        <w:spacing w:after="0"/>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Provide market-level retirement benefits and limited perquisites</w:t>
      </w:r>
    </w:p>
    <w:p>
      <w:pPr>
        <w:spacing w:after="0" w:line="63" w:lineRule="exact"/>
        <w:rPr>
          <w:rFonts w:ascii="MS PGothic" w:cs="MS PGothic" w:eastAsia="MS PGothic" w:hAnsi="MS PGothic"/>
          <w:sz w:val="18"/>
          <w:szCs w:val="18"/>
          <w:color w:val="3C5896"/>
        </w:rPr>
      </w:pPr>
    </w:p>
    <w:p>
      <w:pPr>
        <w:ind w:left="1180" w:hanging="182"/>
        <w:spacing w:after="0" w:line="261" w:lineRule="auto"/>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Engage an independent compensation consultant to advise us on matters surrounding our compensation plans</w:t>
      </w:r>
    </w:p>
    <w:p>
      <w:pPr>
        <w:spacing w:after="0" w:line="76" w:lineRule="exact"/>
        <w:rPr>
          <w:rFonts w:ascii="MS PGothic" w:cs="MS PGothic" w:eastAsia="MS PGothic" w:hAnsi="MS PGothic"/>
          <w:sz w:val="18"/>
          <w:szCs w:val="18"/>
          <w:color w:val="3C5896"/>
        </w:rPr>
      </w:pPr>
    </w:p>
    <w:p>
      <w:pPr>
        <w:ind w:left="1180" w:right="200" w:hanging="182"/>
        <w:spacing w:after="0" w:line="261" w:lineRule="auto"/>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Review our compensation programs annually to prevent undue risk taking</w:t>
      </w:r>
    </w:p>
    <w:p>
      <w:pPr>
        <w:spacing w:after="0" w:line="62" w:lineRule="exact"/>
        <w:rPr>
          <w:rFonts w:ascii="MS PGothic" w:cs="MS PGothic" w:eastAsia="MS PGothic" w:hAnsi="MS PGothic"/>
          <w:sz w:val="18"/>
          <w:szCs w:val="18"/>
          <w:color w:val="3C5896"/>
        </w:rPr>
      </w:pPr>
    </w:p>
    <w:p>
      <w:pPr>
        <w:ind w:left="1180" w:hanging="182"/>
        <w:spacing w:after="0"/>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Hold an annual say-on-pay vote</w:t>
      </w:r>
    </w:p>
    <w:p>
      <w:pPr>
        <w:spacing w:after="0" w:line="63" w:lineRule="exact"/>
        <w:rPr>
          <w:rFonts w:ascii="MS PGothic" w:cs="MS PGothic" w:eastAsia="MS PGothic" w:hAnsi="MS PGothic"/>
          <w:sz w:val="18"/>
          <w:szCs w:val="18"/>
          <w:color w:val="3C5896"/>
        </w:rPr>
      </w:pPr>
    </w:p>
    <w:p>
      <w:pPr>
        <w:ind w:left="1180" w:right="320" w:hanging="182"/>
        <w:spacing w:after="0" w:line="261" w:lineRule="auto"/>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Establish target and maximum awards under our annual cash incentive program</w:t>
      </w:r>
    </w:p>
    <w:p>
      <w:pPr>
        <w:spacing w:after="0" w:line="62" w:lineRule="exact"/>
        <w:rPr>
          <w:rFonts w:ascii="MS PGothic" w:cs="MS PGothic" w:eastAsia="MS PGothic" w:hAnsi="MS PGothic"/>
          <w:sz w:val="18"/>
          <w:szCs w:val="18"/>
          <w:color w:val="3C5896"/>
        </w:rPr>
      </w:pPr>
    </w:p>
    <w:p>
      <w:pPr>
        <w:ind w:left="1180" w:hanging="182"/>
        <w:spacing w:after="0"/>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Maintain an established shareholder engagement program</w:t>
      </w:r>
    </w:p>
    <w:p>
      <w:pPr>
        <w:spacing w:after="0" w:line="76" w:lineRule="exact"/>
        <w:rPr>
          <w:rFonts w:ascii="MS PGothic" w:cs="MS PGothic" w:eastAsia="MS PGothic" w:hAnsi="MS PGothic"/>
          <w:sz w:val="18"/>
          <w:szCs w:val="18"/>
          <w:color w:val="3C5896"/>
        </w:rPr>
      </w:pPr>
    </w:p>
    <w:p>
      <w:pPr>
        <w:ind w:left="1180" w:right="240" w:hanging="182"/>
        <w:spacing w:after="0" w:line="261" w:lineRule="auto"/>
        <w:tabs>
          <w:tab w:leader="none" w:pos="118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Require “Double-trigger” vesting for Change in Control in post-IPO equity awards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58" w:lineRule="exact"/>
        <w:rPr>
          <w:sz w:val="20"/>
          <w:szCs w:val="20"/>
          <w:color w:val="auto"/>
        </w:rPr>
      </w:pPr>
    </w:p>
    <w:p>
      <w:pPr>
        <w:ind w:left="360" w:right="619" w:hanging="184"/>
        <w:spacing w:after="0" w:line="261" w:lineRule="auto"/>
        <w:tabs>
          <w:tab w:leader="none" w:pos="3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No excise tax gross-ups upon a change-in-control</w:t>
      </w:r>
    </w:p>
    <w:p>
      <w:pPr>
        <w:spacing w:after="0" w:line="62" w:lineRule="exact"/>
        <w:rPr>
          <w:rFonts w:ascii="MS PGothic" w:cs="MS PGothic" w:eastAsia="MS PGothic" w:hAnsi="MS PGothic"/>
          <w:sz w:val="18"/>
          <w:szCs w:val="18"/>
          <w:color w:val="auto"/>
        </w:rPr>
      </w:pPr>
    </w:p>
    <w:p>
      <w:pPr>
        <w:ind w:left="360" w:right="299" w:hanging="184"/>
        <w:spacing w:after="0" w:line="261" w:lineRule="auto"/>
        <w:tabs>
          <w:tab w:leader="none" w:pos="3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No hedging of the Company’s stock by NEOs or directors</w:t>
      </w:r>
    </w:p>
    <w:p>
      <w:pPr>
        <w:spacing w:after="0" w:line="76" w:lineRule="exact"/>
        <w:rPr>
          <w:rFonts w:ascii="MS PGothic" w:cs="MS PGothic" w:eastAsia="MS PGothic" w:hAnsi="MS PGothic"/>
          <w:sz w:val="18"/>
          <w:szCs w:val="18"/>
          <w:color w:val="auto"/>
        </w:rPr>
      </w:pPr>
    </w:p>
    <w:p>
      <w:pPr>
        <w:ind w:left="360" w:right="979" w:hanging="184"/>
        <w:spacing w:after="0" w:line="261" w:lineRule="auto"/>
        <w:tabs>
          <w:tab w:leader="none" w:pos="3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No supplemental executive retirement plans</w:t>
      </w:r>
    </w:p>
    <w:p>
      <w:pPr>
        <w:spacing w:after="0" w:line="76" w:lineRule="exact"/>
        <w:rPr>
          <w:rFonts w:ascii="MS PGothic" w:cs="MS PGothic" w:eastAsia="MS PGothic" w:hAnsi="MS PGothic"/>
          <w:sz w:val="18"/>
          <w:szCs w:val="18"/>
          <w:color w:val="auto"/>
        </w:rPr>
      </w:pPr>
    </w:p>
    <w:p>
      <w:pPr>
        <w:ind w:left="360" w:right="379" w:hanging="184"/>
        <w:spacing w:after="0" w:line="254" w:lineRule="auto"/>
        <w:tabs>
          <w:tab w:leader="none" w:pos="3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No re-pricing of underwater stock options and no grants below 100% of fair market value without shareholder approval</w:t>
      </w:r>
    </w:p>
    <w:p>
      <w:pPr>
        <w:spacing w:after="0" w:line="68" w:lineRule="exact"/>
        <w:rPr>
          <w:rFonts w:ascii="MS PGothic" w:cs="MS PGothic" w:eastAsia="MS PGothic" w:hAnsi="MS PGothic"/>
          <w:sz w:val="18"/>
          <w:szCs w:val="18"/>
          <w:color w:val="auto"/>
        </w:rPr>
      </w:pPr>
    </w:p>
    <w:p>
      <w:pPr>
        <w:ind w:left="360" w:right="879" w:hanging="184"/>
        <w:spacing w:after="0" w:line="261" w:lineRule="auto"/>
        <w:tabs>
          <w:tab w:leader="none" w:pos="36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No significant perquisites for executive officers</w:t>
      </w:r>
    </w:p>
    <w:p>
      <w:pPr>
        <w:spacing w:after="0" w:line="1070" w:lineRule="exact"/>
        <w:rPr>
          <w:sz w:val="20"/>
          <w:szCs w:val="20"/>
          <w:color w:val="auto"/>
        </w:rPr>
      </w:pPr>
    </w:p>
    <w:p>
      <w:pPr>
        <w:sectPr>
          <w:pgSz w:w="11900" w:h="16838" w:orient="portrait"/>
          <w:cols w:equalWidth="0" w:num="2">
            <w:col w:w="6380" w:space="260"/>
            <w:col w:w="3499"/>
          </w:cols>
          <w:pgMar w:left="320" w:top="131" w:right="1440" w:bottom="1440" w:gutter="0" w:footer="0" w:header="0"/>
          <w:type w:val="continuous"/>
        </w:sectPr>
      </w:pPr>
    </w:p>
    <w:p>
      <w:pPr>
        <w:ind w:left="760" w:right="319"/>
        <w:spacing w:after="0" w:line="254" w:lineRule="auto"/>
        <w:rPr>
          <w:sz w:val="20"/>
          <w:szCs w:val="20"/>
          <w:color w:val="auto"/>
        </w:rPr>
      </w:pPr>
      <w:r>
        <w:rPr>
          <w:rFonts w:ascii="Arial" w:cs="Arial" w:eastAsia="Arial" w:hAnsi="Arial"/>
          <w:sz w:val="18"/>
          <w:szCs w:val="18"/>
          <w:i w:val="1"/>
          <w:iCs w:val="1"/>
          <w:color w:val="auto"/>
        </w:rPr>
        <w:t>Consideration of Say on Pay Votes</w:t>
      </w:r>
      <w:r>
        <w:rPr>
          <w:rFonts w:ascii="Arial" w:cs="Arial" w:eastAsia="Arial" w:hAnsi="Arial"/>
          <w:sz w:val="18"/>
          <w:szCs w:val="18"/>
          <w:color w:val="auto"/>
        </w:rPr>
        <w:t>. We are pleased that stockholders representing over 99% of the shares voted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Say on Pay Proposal at the 2019 Annual Meeting expressed their support and approval of our NEO compensation described in our 2019 proxy statement. Following the compensation committee’s review and consideration of this stockholder support, as well as the other factors discussed in more detail in “—Our Annual Compensation-Setting Process” below, the compensation committee determined to make no changes to its approach to executive compensation except as discussed further in this “Compensation Discussion and Analysis.” During 2019, we established our stockholder engagement program and sought feedback from stockholders representing approximately 55% of the Company’s outstanding common stock (see “Stockholder Engagement” earlier in this proxy statement for a description of our program) and feedback was received across a range of topics, including executive compensation.</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Our Annual Compensation-Setting Process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39" w:lineRule="exact"/>
        <w:rPr>
          <w:sz w:val="20"/>
          <w:szCs w:val="20"/>
          <w:color w:val="auto"/>
        </w:rPr>
      </w:pPr>
    </w:p>
    <w:p>
      <w:pPr>
        <w:ind w:left="760" w:right="339"/>
        <w:spacing w:after="0" w:line="251" w:lineRule="auto"/>
        <w:rPr>
          <w:sz w:val="20"/>
          <w:szCs w:val="20"/>
          <w:color w:val="auto"/>
        </w:rPr>
      </w:pPr>
      <w:r>
        <w:rPr>
          <w:rFonts w:ascii="Arial" w:cs="Arial" w:eastAsia="Arial" w:hAnsi="Arial"/>
          <w:sz w:val="18"/>
          <w:szCs w:val="18"/>
          <w:color w:val="auto"/>
        </w:rPr>
        <w:t>Our executive compensation plans and programs are administered by our compensation committee. Our compensation committee is responsible for reviewing and approving, or recommending to our full Board of Directors, equity compensation grants and other aspects of compensation, including base salaries and the administration of our Short Term Incentive Plan (“STIP”) for employees at and above the Vice President level. Our compensation committee is also responsible for recommending to the full Board of Directors, the compensation of our CEO and determining and approving the compensation of other executive officers, as recommended by our CEO and Chief People Officer. At the beginning of each performance cycle, the compensation committee or the Board of Directors, as applicable, approves financial goals designed to align executive pay with company performance and stockholder interests, provide competitive pay opportunities dependent on performance, retain talent, create optimal stockholder value and mitigate material risk. These approvals include reviewing and setting performance goals under the STIP and Long-Term Incentive Program (“LTIP”), and reviewing and approving awards (including the terms and conditions of such awards) under the STIP and LTIP for all executive officers (other than the CEO).</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Independent Members of the Board of Directors</w:t>
      </w:r>
    </w:p>
    <w:p>
      <w:pPr>
        <w:spacing w:after="0" w:line="139" w:lineRule="exact"/>
        <w:rPr>
          <w:sz w:val="20"/>
          <w:szCs w:val="20"/>
          <w:color w:val="auto"/>
        </w:rPr>
      </w:pPr>
    </w:p>
    <w:p>
      <w:pPr>
        <w:ind w:left="760" w:right="319"/>
        <w:spacing w:after="0" w:line="256" w:lineRule="auto"/>
        <w:rPr>
          <w:sz w:val="20"/>
          <w:szCs w:val="20"/>
          <w:color w:val="auto"/>
        </w:rPr>
      </w:pPr>
      <w:r>
        <w:rPr>
          <w:rFonts w:ascii="Arial" w:cs="Arial" w:eastAsia="Arial" w:hAnsi="Arial"/>
          <w:sz w:val="18"/>
          <w:szCs w:val="18"/>
          <w:color w:val="auto"/>
        </w:rPr>
        <w:t>Independent members of our Board assist in setting executive compensation by assessing the performance of the CEO, reviewing the compensation committee’s assessment of the CEO’s performance and approving the compensation of the CEO based on the recommendation of the compensation committee.</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24  </w:t>
      </w:r>
      <w:r>
        <w:rPr>
          <w:sz w:val="1"/>
          <w:szCs w:val="1"/>
          <w:color w:val="auto"/>
        </w:rPr>
        <w:drawing>
          <wp:inline distT="0" distB="0" distL="0" distR="0">
            <wp:extent cx="299720" cy="24003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39" w:lineRule="exact"/>
        <w:rPr>
          <w:sz w:val="20"/>
          <w:szCs w:val="20"/>
          <w:color w:val="auto"/>
        </w:rPr>
      </w:pPr>
    </w:p>
    <w:p>
      <w:pPr>
        <w:ind w:left="760" w:right="359"/>
        <w:spacing w:after="0" w:line="252" w:lineRule="auto"/>
        <w:rPr>
          <w:sz w:val="20"/>
          <w:szCs w:val="20"/>
          <w:color w:val="auto"/>
        </w:rPr>
      </w:pPr>
      <w:r>
        <w:rPr>
          <w:rFonts w:ascii="Arial" w:cs="Arial" w:eastAsia="Arial" w:hAnsi="Arial"/>
          <w:sz w:val="18"/>
          <w:szCs w:val="18"/>
          <w:color w:val="auto"/>
        </w:rPr>
        <w:t>In setting executive compensation for 2019, our CEO and our former Chief Human Resources Officer worked closely with the compensation committee in managing the executive compensation program, along with gathering information for and attending meetings of the compensation committee. Our CEO made recommendations to the compensation committee regarding compensation for the executive officers (other than himself), including base salary amounts and equity compensation grants. Our CEO and CFO also provided input in discussions regarding the development of annual Company performance goals for which annual incentive payouts under our STIP and PSU awards under LTIP could be earned.</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39" w:lineRule="exact"/>
        <w:rPr>
          <w:sz w:val="20"/>
          <w:szCs w:val="20"/>
          <w:color w:val="auto"/>
        </w:rPr>
      </w:pPr>
    </w:p>
    <w:p>
      <w:pPr>
        <w:ind w:left="760" w:right="259"/>
        <w:spacing w:after="0" w:line="251" w:lineRule="auto"/>
        <w:rPr>
          <w:sz w:val="20"/>
          <w:szCs w:val="20"/>
          <w:color w:val="auto"/>
        </w:rPr>
      </w:pPr>
      <w:r>
        <w:rPr>
          <w:rFonts w:ascii="Arial" w:cs="Arial" w:eastAsia="Arial" w:hAnsi="Arial"/>
          <w:sz w:val="18"/>
          <w:szCs w:val="18"/>
          <w:color w:val="auto"/>
        </w:rPr>
        <w:t>The compensation committee has engaged Meridian Compensation Partners, LLC (“Meridian”) to assist the Committee regarding various executive compensation matters and to serve as its independent compensation consulting firm. In connection with this appointment, in 2019 the compensation committee reviewed Meridian’s independence, including considering the factors specified in the NASDAQ listing standards and receiving confirmation by Meridian of its independent status. The compensation committee believes that Meridian is independent and that there is no conflict of interest between Meridian and the compensation committee. Meridian assists the compensation committee in reviewing the effectiveness and competitiveness of the Company’s executive compensation program, including an annual risk assessment of the program, and makes recommendations consistent with the Company’s pay philosophy, market trends, legal and regulatory considerations and the Company’s overall business needs. In addition to providing advice regarding executive compensation best practices, Meridian also provides market data as a background for recommendations regarding CEO and other executive base salary and annual and long-term incentives.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Use of Comparative Market Data</w:t>
      </w:r>
    </w:p>
    <w:p>
      <w:pPr>
        <w:spacing w:after="0" w:line="139" w:lineRule="exact"/>
        <w:rPr>
          <w:sz w:val="20"/>
          <w:szCs w:val="20"/>
          <w:color w:val="auto"/>
        </w:rPr>
      </w:pPr>
    </w:p>
    <w:p>
      <w:pPr>
        <w:ind w:left="760" w:right="199"/>
        <w:spacing w:after="0" w:line="245" w:lineRule="auto"/>
        <w:rPr>
          <w:sz w:val="20"/>
          <w:szCs w:val="20"/>
          <w:color w:val="auto"/>
        </w:rPr>
      </w:pPr>
      <w:r>
        <w:rPr>
          <w:rFonts w:ascii="Arial" w:cs="Arial" w:eastAsia="Arial" w:hAnsi="Arial"/>
          <w:sz w:val="18"/>
          <w:szCs w:val="18"/>
          <w:color w:val="auto"/>
        </w:rPr>
        <w:t>We aim to compensate our executive officers competitively in the market for executive talent. To gain a general understanding of current market compensation practices, our compensation committee reviewed the findings as presented in a market study conducted by Meridian. The external market data reviewed included proxy data from the peer group companies described below and general industry survey data. The peer group reflects a mix of industries that together represent our business and scope of operations (as measured by annual revenue, market capitalization and number of employees). At the time of the selection of the peer group, the Company was near the 45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peer group in revenue and 43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percentile in market capitalization. We believe it is appropriate for the peer group to reflect both the retail component as well as the health care aspects of our business. In 2018, the compensation committee approved updates to the peer group and Alere, Inc., Amsurg Corp, Kate Spade &amp; Co., Surgical Care Affiliates Inc., Ulta Salon Cosmetics and Fragrances, U.S. Physical Therapy Inc. and VCA Inc. were removed from the peer group and At Home Group, Inc., Floor &amp; Decor Holdings, Inc., Movado Group, Inc., Merit Medical Systems, Inc., Ollie’s Bargain Outlet Holdings, Inc., Oxford Industries, Inc. and Quorum Health Corporation were added to the peer group. These updates were made as certain prior peer companies were acquired by other companies and to align with the selection criteria for the peer group noted above. The data from the peer group below was reviewed in connection with compensation decisions for 2019. The current peer group consists of the following 15 companies:</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3160" w:type="dxa"/>
            <w:vAlign w:val="bottom"/>
          </w:tcPr>
          <w:p>
            <w:pPr>
              <w:jc w:val="center"/>
              <w:ind w:right="810"/>
              <w:spacing w:after="0"/>
              <w:rPr>
                <w:sz w:val="20"/>
                <w:szCs w:val="20"/>
                <w:color w:val="auto"/>
              </w:rPr>
            </w:pPr>
            <w:r>
              <w:rPr>
                <w:rFonts w:ascii="Arial" w:cs="Arial" w:eastAsia="Arial" w:hAnsi="Arial"/>
                <w:sz w:val="18"/>
                <w:szCs w:val="18"/>
                <w:color w:val="auto"/>
                <w:w w:val="98"/>
              </w:rPr>
              <w:t>Align Technology, Inc.</w:t>
            </w:r>
          </w:p>
        </w:tc>
        <w:tc>
          <w:tcPr>
            <w:tcW w:w="3720" w:type="dxa"/>
            <w:vAlign w:val="bottom"/>
          </w:tcPr>
          <w:p>
            <w:pPr>
              <w:jc w:val="center"/>
              <w:ind w:left="810"/>
              <w:spacing w:after="0"/>
              <w:rPr>
                <w:sz w:val="20"/>
                <w:szCs w:val="20"/>
                <w:color w:val="auto"/>
              </w:rPr>
            </w:pPr>
            <w:r>
              <w:rPr>
                <w:rFonts w:ascii="Arial" w:cs="Arial" w:eastAsia="Arial" w:hAnsi="Arial"/>
                <w:sz w:val="18"/>
                <w:szCs w:val="18"/>
                <w:color w:val="auto"/>
                <w:w w:val="99"/>
              </w:rPr>
              <w:t>Ollie’s Bargain Outlet Holdings,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At Home Group, Inc.</w:t>
            </w:r>
          </w:p>
        </w:tc>
        <w:tc>
          <w:tcPr>
            <w:tcW w:w="3720" w:type="dxa"/>
            <w:vAlign w:val="bottom"/>
          </w:tcPr>
          <w:p>
            <w:pPr>
              <w:jc w:val="center"/>
              <w:ind w:left="830"/>
              <w:spacing w:after="0"/>
              <w:rPr>
                <w:sz w:val="20"/>
                <w:szCs w:val="20"/>
                <w:color w:val="auto"/>
              </w:rPr>
            </w:pPr>
            <w:r>
              <w:rPr>
                <w:rFonts w:ascii="Arial" w:cs="Arial" w:eastAsia="Arial" w:hAnsi="Arial"/>
                <w:sz w:val="18"/>
                <w:szCs w:val="18"/>
                <w:color w:val="auto"/>
                <w:w w:val="99"/>
              </w:rPr>
              <w:t>Oxford Industries, Inc.</w:t>
            </w:r>
          </w:p>
        </w:tc>
      </w:tr>
      <w:tr>
        <w:trPr>
          <w:trHeight w:val="216"/>
        </w:trPr>
        <w:tc>
          <w:tcPr>
            <w:tcW w:w="3160" w:type="dxa"/>
            <w:vAlign w:val="bottom"/>
          </w:tcPr>
          <w:p>
            <w:pPr>
              <w:jc w:val="center"/>
              <w:ind w:right="810"/>
              <w:spacing w:after="0"/>
              <w:rPr>
                <w:sz w:val="20"/>
                <w:szCs w:val="20"/>
                <w:color w:val="auto"/>
              </w:rPr>
            </w:pPr>
            <w:r>
              <w:rPr>
                <w:rFonts w:ascii="Arial" w:cs="Arial" w:eastAsia="Arial" w:hAnsi="Arial"/>
                <w:sz w:val="18"/>
                <w:szCs w:val="18"/>
                <w:color w:val="auto"/>
              </w:rPr>
              <w:t>Columbia Sportswear Co.</w:t>
            </w:r>
          </w:p>
        </w:tc>
        <w:tc>
          <w:tcPr>
            <w:tcW w:w="3720" w:type="dxa"/>
            <w:vAlign w:val="bottom"/>
          </w:tcPr>
          <w:p>
            <w:pPr>
              <w:jc w:val="center"/>
              <w:ind w:left="830"/>
              <w:spacing w:after="0"/>
              <w:rPr>
                <w:sz w:val="20"/>
                <w:szCs w:val="20"/>
                <w:color w:val="auto"/>
              </w:rPr>
            </w:pPr>
            <w:r>
              <w:rPr>
                <w:rFonts w:ascii="Arial" w:cs="Arial" w:eastAsia="Arial" w:hAnsi="Arial"/>
                <w:sz w:val="18"/>
                <w:szCs w:val="18"/>
                <w:color w:val="auto"/>
                <w:w w:val="99"/>
              </w:rPr>
              <w:t>Quorum Health Corporation</w:t>
            </w:r>
          </w:p>
        </w:tc>
      </w:tr>
      <w:tr>
        <w:trPr>
          <w:trHeight w:val="216"/>
        </w:trPr>
        <w:tc>
          <w:tcPr>
            <w:tcW w:w="3160" w:type="dxa"/>
            <w:vAlign w:val="bottom"/>
          </w:tcPr>
          <w:p>
            <w:pPr>
              <w:jc w:val="center"/>
              <w:ind w:right="810"/>
              <w:spacing w:after="0"/>
              <w:rPr>
                <w:sz w:val="20"/>
                <w:szCs w:val="20"/>
                <w:color w:val="auto"/>
              </w:rPr>
            </w:pPr>
            <w:r>
              <w:rPr>
                <w:rFonts w:ascii="Arial" w:cs="Arial" w:eastAsia="Arial" w:hAnsi="Arial"/>
                <w:sz w:val="18"/>
                <w:szCs w:val="18"/>
                <w:color w:val="auto"/>
              </w:rPr>
              <w:t>Dentsply Sirona Inc.</w:t>
            </w:r>
          </w:p>
        </w:tc>
        <w:tc>
          <w:tcPr>
            <w:tcW w:w="3720" w:type="dxa"/>
            <w:vAlign w:val="bottom"/>
          </w:tcPr>
          <w:p>
            <w:pPr>
              <w:jc w:val="center"/>
              <w:ind w:left="810"/>
              <w:spacing w:after="0"/>
              <w:rPr>
                <w:sz w:val="20"/>
                <w:szCs w:val="20"/>
                <w:color w:val="auto"/>
              </w:rPr>
            </w:pPr>
            <w:r>
              <w:rPr>
                <w:rFonts w:ascii="Arial" w:cs="Arial" w:eastAsia="Arial" w:hAnsi="Arial"/>
                <w:sz w:val="18"/>
                <w:szCs w:val="18"/>
                <w:color w:val="auto"/>
                <w:w w:val="99"/>
              </w:rPr>
              <w:t>Surgery Partners Inc.</w:t>
            </w:r>
          </w:p>
        </w:tc>
      </w:tr>
      <w:tr>
        <w:trPr>
          <w:trHeight w:val="216"/>
        </w:trPr>
        <w:tc>
          <w:tcPr>
            <w:tcW w:w="3160" w:type="dxa"/>
            <w:vAlign w:val="bottom"/>
          </w:tcPr>
          <w:p>
            <w:pPr>
              <w:jc w:val="center"/>
              <w:ind w:right="810"/>
              <w:spacing w:after="0"/>
              <w:rPr>
                <w:sz w:val="20"/>
                <w:szCs w:val="20"/>
                <w:color w:val="auto"/>
              </w:rPr>
            </w:pPr>
            <w:r>
              <w:rPr>
                <w:rFonts w:ascii="Arial" w:cs="Arial" w:eastAsia="Arial" w:hAnsi="Arial"/>
                <w:sz w:val="18"/>
                <w:szCs w:val="18"/>
                <w:color w:val="auto"/>
                <w:w w:val="99"/>
              </w:rPr>
              <w:t>Five Below, Inc.</w:t>
            </w:r>
          </w:p>
        </w:tc>
        <w:tc>
          <w:tcPr>
            <w:tcW w:w="3720" w:type="dxa"/>
            <w:vAlign w:val="bottom"/>
          </w:tcPr>
          <w:p>
            <w:pPr>
              <w:jc w:val="center"/>
              <w:ind w:left="830"/>
              <w:spacing w:after="0"/>
              <w:rPr>
                <w:sz w:val="20"/>
                <w:szCs w:val="20"/>
                <w:color w:val="auto"/>
              </w:rPr>
            </w:pPr>
            <w:r>
              <w:rPr>
                <w:rFonts w:ascii="Arial" w:cs="Arial" w:eastAsia="Arial" w:hAnsi="Arial"/>
                <w:sz w:val="18"/>
                <w:szCs w:val="18"/>
                <w:color w:val="auto"/>
                <w:w w:val="99"/>
              </w:rPr>
              <w:t>The Container Store Group, Inc.</w:t>
            </w:r>
          </w:p>
        </w:tc>
      </w:tr>
      <w:tr>
        <w:trPr>
          <w:trHeight w:val="216"/>
        </w:trPr>
        <w:tc>
          <w:tcPr>
            <w:tcW w:w="3160" w:type="dxa"/>
            <w:vAlign w:val="bottom"/>
          </w:tcPr>
          <w:p>
            <w:pPr>
              <w:jc w:val="center"/>
              <w:ind w:right="810"/>
              <w:spacing w:after="0"/>
              <w:rPr>
                <w:sz w:val="20"/>
                <w:szCs w:val="20"/>
                <w:color w:val="auto"/>
              </w:rPr>
            </w:pPr>
            <w:r>
              <w:rPr>
                <w:rFonts w:ascii="Arial" w:cs="Arial" w:eastAsia="Arial" w:hAnsi="Arial"/>
                <w:sz w:val="18"/>
                <w:szCs w:val="18"/>
                <w:color w:val="auto"/>
              </w:rPr>
              <w:t>Floor &amp; Decor Holdings, Inc.</w:t>
            </w:r>
          </w:p>
        </w:tc>
        <w:tc>
          <w:tcPr>
            <w:tcW w:w="3720" w:type="dxa"/>
            <w:vAlign w:val="bottom"/>
          </w:tcPr>
          <w:p>
            <w:pPr>
              <w:jc w:val="center"/>
              <w:ind w:left="810"/>
              <w:spacing w:after="0"/>
              <w:rPr>
                <w:sz w:val="20"/>
                <w:szCs w:val="20"/>
                <w:color w:val="auto"/>
              </w:rPr>
            </w:pPr>
            <w:r>
              <w:rPr>
                <w:rFonts w:ascii="Arial" w:cs="Arial" w:eastAsia="Arial" w:hAnsi="Arial"/>
                <w:sz w:val="18"/>
                <w:szCs w:val="18"/>
                <w:color w:val="auto"/>
                <w:w w:val="99"/>
              </w:rPr>
              <w:t>The Cooper Companies,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Merit Medical Systems, Inc.</w:t>
            </w:r>
          </w:p>
        </w:tc>
        <w:tc>
          <w:tcPr>
            <w:tcW w:w="3720" w:type="dxa"/>
            <w:vAlign w:val="bottom"/>
          </w:tcPr>
          <w:p>
            <w:pPr>
              <w:jc w:val="center"/>
              <w:ind w:left="810"/>
              <w:spacing w:after="0"/>
              <w:rPr>
                <w:sz w:val="20"/>
                <w:szCs w:val="20"/>
                <w:color w:val="auto"/>
              </w:rPr>
            </w:pPr>
            <w:r>
              <w:rPr>
                <w:rFonts w:ascii="Arial" w:cs="Arial" w:eastAsia="Arial" w:hAnsi="Arial"/>
                <w:sz w:val="18"/>
                <w:szCs w:val="18"/>
                <w:color w:val="auto"/>
                <w:w w:val="99"/>
              </w:rPr>
              <w:t>West Pharmaceutical Services, Inc.</w:t>
            </w:r>
          </w:p>
        </w:tc>
      </w:tr>
      <w:tr>
        <w:trPr>
          <w:trHeight w:val="217"/>
        </w:trPr>
        <w:tc>
          <w:tcPr>
            <w:tcW w:w="3160" w:type="dxa"/>
            <w:vAlign w:val="bottom"/>
          </w:tcPr>
          <w:p>
            <w:pPr>
              <w:jc w:val="center"/>
              <w:ind w:right="810"/>
              <w:spacing w:after="0"/>
              <w:rPr>
                <w:sz w:val="20"/>
                <w:szCs w:val="20"/>
                <w:color w:val="auto"/>
              </w:rPr>
            </w:pPr>
            <w:r>
              <w:rPr>
                <w:rFonts w:ascii="Arial" w:cs="Arial" w:eastAsia="Arial" w:hAnsi="Arial"/>
                <w:sz w:val="18"/>
                <w:szCs w:val="18"/>
                <w:color w:val="auto"/>
                <w:w w:val="99"/>
              </w:rPr>
              <w:t>Movado Group, Inc.</w:t>
            </w:r>
          </w:p>
        </w:tc>
        <w:tc>
          <w:tcPr>
            <w:tcW w:w="3720" w:type="dxa"/>
            <w:vAlign w:val="bottom"/>
          </w:tcPr>
          <w:p>
            <w:pPr>
              <w:spacing w:after="0"/>
              <w:rPr>
                <w:sz w:val="18"/>
                <w:szCs w:val="18"/>
                <w:color w:val="auto"/>
              </w:rPr>
            </w:pPr>
          </w:p>
        </w:tc>
      </w:tr>
    </w:tbl>
    <w:p>
      <w:pPr>
        <w:spacing w:after="0" w:line="78" w:lineRule="exact"/>
        <w:rPr>
          <w:sz w:val="20"/>
          <w:szCs w:val="20"/>
          <w:color w:val="auto"/>
        </w:rPr>
      </w:pPr>
    </w:p>
    <w:p>
      <w:pPr>
        <w:ind w:left="860" w:right="539" w:hanging="96"/>
        <w:spacing w:after="0" w:line="260" w:lineRule="auto"/>
        <w:tabs>
          <w:tab w:leader="none" w:pos="8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For 2020 compensation decisions, Quorum Health Corporation and Movado Group, Inc. were removed and Caleres, Inc. and ICU Medical, Inc. were added to better align the peer group to the selection criteria described above.</w:t>
      </w:r>
    </w:p>
    <w:p>
      <w:pPr>
        <w:spacing w:after="0" w:line="88" w:lineRule="exact"/>
        <w:rPr>
          <w:sz w:val="20"/>
          <w:szCs w:val="20"/>
          <w:color w:val="auto"/>
        </w:rPr>
      </w:pPr>
    </w:p>
    <w:p>
      <w:pPr>
        <w:ind w:left="760" w:right="299"/>
        <w:spacing w:after="0" w:line="254" w:lineRule="auto"/>
        <w:rPr>
          <w:sz w:val="20"/>
          <w:szCs w:val="20"/>
          <w:color w:val="auto"/>
        </w:rPr>
      </w:pPr>
      <w:r>
        <w:rPr>
          <w:rFonts w:ascii="Arial" w:cs="Arial" w:eastAsia="Arial" w:hAnsi="Arial"/>
          <w:sz w:val="18"/>
          <w:szCs w:val="18"/>
          <w:color w:val="auto"/>
        </w:rPr>
        <w:t>As more fully described below under “—Compensation Elements,” the compensation committee reviewed the compensation data provided by Meridian and set total compensation for our NEOs accordingly. The compensation committee did not target a specific percentile with respect to the peer group in determining our NEOs’ total compensation, nor did it establish a prescribed mix of pay for our executives.</w:t>
      </w:r>
    </w:p>
    <w:p>
      <w:pPr>
        <w:spacing w:after="0" w:line="306"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Elements</w:t>
      </w:r>
    </w:p>
    <w:p>
      <w:pPr>
        <w:spacing w:after="0" w:line="139" w:lineRule="exact"/>
        <w:rPr>
          <w:sz w:val="20"/>
          <w:szCs w:val="20"/>
          <w:color w:val="auto"/>
        </w:rPr>
      </w:pPr>
    </w:p>
    <w:p>
      <w:pPr>
        <w:ind w:left="760" w:right="259"/>
        <w:spacing w:after="0" w:line="252" w:lineRule="auto"/>
        <w:rPr>
          <w:sz w:val="20"/>
          <w:szCs w:val="20"/>
          <w:color w:val="auto"/>
        </w:rPr>
      </w:pPr>
      <w:r>
        <w:rPr>
          <w:rFonts w:ascii="Arial" w:cs="Arial" w:eastAsia="Arial" w:hAnsi="Arial"/>
          <w:sz w:val="18"/>
          <w:szCs w:val="18"/>
          <w:color w:val="auto"/>
        </w:rPr>
        <w:t>Each element of the compensation program complements the others and, together, is intended to achieve the compensation committee’s principal compensation objectives. When decisions about compensation for an executive officer are made, the impact on the total value of all these elements of compensation for the individual is considered. For executives, the compensation committee reviews competitive market data and establishes target total direct compensation opportunities (</w:t>
      </w:r>
      <w:r>
        <w:rPr>
          <w:rFonts w:ascii="Arial" w:cs="Arial" w:eastAsia="Arial" w:hAnsi="Arial"/>
          <w:sz w:val="18"/>
          <w:szCs w:val="18"/>
          <w:i w:val="1"/>
          <w:iCs w:val="1"/>
          <w:color w:val="auto"/>
        </w:rPr>
        <w:t>i.e</w:t>
      </w:r>
      <w:r>
        <w:rPr>
          <w:rFonts w:ascii="Arial" w:cs="Arial" w:eastAsia="Arial" w:hAnsi="Arial"/>
          <w:sz w:val="18"/>
          <w:szCs w:val="18"/>
          <w:color w:val="auto"/>
        </w:rPr>
        <w:t>., salary, annual incentive and annual long-term incentive targets) based on the following factors: corporate performance, competitive market data and the circumstances surrounding the executive’s initial hiring or promotion to a position with increased responsibilities.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Base Salary</w:t>
      </w:r>
    </w:p>
    <w:p>
      <w:pPr>
        <w:spacing w:after="0" w:line="139" w:lineRule="exact"/>
        <w:rPr>
          <w:sz w:val="20"/>
          <w:szCs w:val="20"/>
          <w:color w:val="auto"/>
        </w:rPr>
      </w:pPr>
    </w:p>
    <w:p>
      <w:pPr>
        <w:ind w:left="760" w:right="239"/>
        <w:spacing w:after="0" w:line="270" w:lineRule="auto"/>
        <w:rPr>
          <w:sz w:val="20"/>
          <w:szCs w:val="20"/>
          <w:color w:val="auto"/>
        </w:rPr>
      </w:pPr>
      <w:r>
        <w:rPr>
          <w:rFonts w:ascii="Arial" w:cs="Arial" w:eastAsia="Arial" w:hAnsi="Arial"/>
          <w:sz w:val="17"/>
          <w:szCs w:val="17"/>
          <w:color w:val="auto"/>
        </w:rPr>
        <w:t>We believe it is important to provide a competitive fixed level of pay to attract and retain talented and experienced executives capable of driving the Company’s business strategy.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w:t>
      </w:r>
    </w:p>
    <w:p>
      <w:pPr>
        <w:spacing w:after="0" w:line="85" w:lineRule="exact"/>
        <w:rPr>
          <w:sz w:val="20"/>
          <w:szCs w:val="20"/>
          <w:color w:val="auto"/>
        </w:rPr>
      </w:pPr>
    </w:p>
    <w:p>
      <w:pPr>
        <w:ind w:left="760" w:right="219"/>
        <w:spacing w:after="0" w:line="252" w:lineRule="auto"/>
        <w:rPr>
          <w:sz w:val="20"/>
          <w:szCs w:val="20"/>
          <w:color w:val="auto"/>
        </w:rPr>
      </w:pPr>
      <w:r>
        <w:rPr>
          <w:rFonts w:ascii="Arial" w:cs="Arial" w:eastAsia="Arial" w:hAnsi="Arial"/>
          <w:sz w:val="18"/>
          <w:szCs w:val="18"/>
          <w:color w:val="auto"/>
        </w:rPr>
        <w:t>Consistent with this approach, in February 2019, the compensation committee approved adjustments to the base salaries of Mr. Fahs from $900,000 to $927,000, and Mr. Moore from $430,000 to $450,000, effective in April 2019. Mr. Clark, Mr. Brandman, and Ms. Rasmussen each began serving in their current roles in 2019. Their salaries in their roles as of June, February and July 2019, respectively, were $320,000, $300,000, and $270,000, respectively. Mr. McAllister transitioned in 2019 to the role of Special Advisor to the Board, a non-officer position. Mr. McAllister’s salary in this role as of February 2019 was $591,000. Mr. Beasley’s employment with the Company ended in September 2019 and, at that time, his salary was $257,500.</w:t>
      </w:r>
    </w:p>
    <w:p>
      <w:pPr>
        <w:spacing w:after="0" w:line="99" w:lineRule="exact"/>
        <w:rPr>
          <w:sz w:val="20"/>
          <w:szCs w:val="20"/>
          <w:color w:val="auto"/>
        </w:rPr>
      </w:pPr>
    </w:p>
    <w:p>
      <w:pPr>
        <w:jc w:val="both"/>
        <w:ind w:left="760" w:right="279"/>
        <w:spacing w:after="0" w:line="256" w:lineRule="auto"/>
        <w:rPr>
          <w:sz w:val="20"/>
          <w:szCs w:val="20"/>
          <w:color w:val="auto"/>
        </w:rPr>
      </w:pPr>
      <w:r>
        <w:rPr>
          <w:rFonts w:ascii="Arial" w:cs="Arial" w:eastAsia="Arial" w:hAnsi="Arial"/>
          <w:sz w:val="18"/>
          <w:szCs w:val="18"/>
          <w:color w:val="auto"/>
        </w:rPr>
        <w:t>On March 25, 2020, in light of the unprecedented impact of COVID-19, Mr. Fahs elected to reduce his base salary to $1 for the remainder of 2020 and the Company’s other executive officers elected to reduce their respective base salaries by 30% until further notice.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Annual Cash Incentive Program—Short Term Incentive Plan (STIP)</w:t>
      </w:r>
    </w:p>
    <w:p>
      <w:pPr>
        <w:spacing w:after="0" w:line="139" w:lineRule="exact"/>
        <w:rPr>
          <w:sz w:val="20"/>
          <w:szCs w:val="20"/>
          <w:color w:val="auto"/>
        </w:rPr>
      </w:pPr>
    </w:p>
    <w:p>
      <w:pPr>
        <w:ind w:left="760" w:right="199"/>
        <w:spacing w:after="0" w:line="278" w:lineRule="auto"/>
        <w:rPr>
          <w:sz w:val="20"/>
          <w:szCs w:val="20"/>
          <w:color w:val="auto"/>
        </w:rPr>
      </w:pPr>
      <w:r>
        <w:rPr>
          <w:rFonts w:ascii="Arial" w:cs="Arial" w:eastAsia="Arial" w:hAnsi="Arial"/>
          <w:sz w:val="17"/>
          <w:szCs w:val="17"/>
          <w:color w:val="auto"/>
        </w:rPr>
        <w:t>In fiscal year 2019, our executives participated in the STIP, which is an annual cash incentive program. The primary purpose of the STIP is to focus management on key measures that drive financial performance and to provide competitive bonus opportunities tied to the achievement of our annual financial and strategic growth objectives.</w:t>
      </w:r>
    </w:p>
    <w:p>
      <w:pPr>
        <w:spacing w:after="0" w:line="77" w:lineRule="exact"/>
        <w:rPr>
          <w:sz w:val="20"/>
          <w:szCs w:val="20"/>
          <w:color w:val="auto"/>
        </w:rPr>
      </w:pPr>
    </w:p>
    <w:p>
      <w:pPr>
        <w:ind w:left="760" w:right="219"/>
        <w:spacing w:after="0" w:line="253" w:lineRule="auto"/>
        <w:rPr>
          <w:sz w:val="20"/>
          <w:szCs w:val="20"/>
          <w:color w:val="auto"/>
        </w:rPr>
      </w:pPr>
      <w:r>
        <w:rPr>
          <w:rFonts w:ascii="Arial" w:cs="Arial" w:eastAsia="Arial" w:hAnsi="Arial"/>
          <w:sz w:val="18"/>
          <w:szCs w:val="18"/>
          <w:color w:val="auto"/>
        </w:rPr>
        <w:t>We believe that tying NEO bonuses to Company performance goals encourages collaboration across the executive leadership team. For fiscal 2019, STIP awards were based on achievement of a STIP Adjusted EBITDA goal (with Adjusted EBITDA as defined on Annex A plus STIP expense and change in the margin on unearned revenue). The compensation committee has reserved the ability to adjust the actual Adjusted EBITDA results to exclude the effects of unplanned or unusual items (whether favorable or unfavorable).</w:t>
      </w:r>
    </w:p>
    <w:p>
      <w:pPr>
        <w:spacing w:after="0" w:line="97" w:lineRule="exact"/>
        <w:rPr>
          <w:sz w:val="20"/>
          <w:szCs w:val="20"/>
          <w:color w:val="auto"/>
        </w:rPr>
      </w:pPr>
    </w:p>
    <w:p>
      <w:pPr>
        <w:ind w:left="760" w:right="199"/>
        <w:spacing w:after="0" w:line="252" w:lineRule="auto"/>
        <w:rPr>
          <w:sz w:val="20"/>
          <w:szCs w:val="20"/>
          <w:color w:val="auto"/>
        </w:rPr>
      </w:pPr>
      <w:r>
        <w:rPr>
          <w:rFonts w:ascii="Arial" w:cs="Arial" w:eastAsia="Arial" w:hAnsi="Arial"/>
          <w:sz w:val="18"/>
          <w:szCs w:val="18"/>
          <w:color w:val="auto"/>
        </w:rPr>
        <w:t>The compensation committee approved the STIP design, targets and Adjusted EBITDA goal in February 2019 as part of the annual compensation setting process. Each NEO’s target annual bonus under the STIP is expressed as a percentage of base salary with the targets ranging from 37.5% to 100% for 2019. Actual STIP awards were calculated by multiplying each NEO’s base salary by his or her payout percentage. STIP awards could be earned at 100% of target if the Company achieved 2019 STIP Adjusted EBITDA of $ 201.4 million. For 2019, the STIP was simplified to include threshold, target, and maximum levels of performance and corresponding payouts. Awards could be earned at more or less than target based on the pre-established scale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80645</wp:posOffset>
            </wp:positionV>
            <wp:extent cx="5837555" cy="10026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37555" cy="100266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Maximum</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Target</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Threshold</w:t>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Actual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STIP Adjusted EBITDA</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FFFF"/>
        </w:rPr>
        <w:t>($million)</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$223.6</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$201.4</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$181.3</w:t>
      </w:r>
    </w:p>
    <w:p>
      <w:pPr>
        <w:spacing w:after="0" w:line="5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$210.2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FFFFFF"/>
        </w:rPr>
        <w:t>Payout</w:t>
      </w:r>
    </w:p>
    <w:p>
      <w:pPr>
        <w:spacing w:after="0" w:line="4"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FFFFFF"/>
        </w:rPr>
        <w:t>(% of Target)</w:t>
      </w:r>
    </w:p>
    <w:p>
      <w:pPr>
        <w:spacing w:after="0" w:line="48"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200%</w:t>
      </w:r>
    </w:p>
    <w:p>
      <w:pPr>
        <w:spacing w:after="0" w:line="77"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100%</w:t>
      </w:r>
    </w:p>
    <w:p>
      <w:pPr>
        <w:spacing w:after="0" w:line="77"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50%</w:t>
      </w:r>
    </w:p>
    <w:p>
      <w:pPr>
        <w:spacing w:after="0" w:line="55"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139.4%</w:t>
      </w:r>
    </w:p>
    <w:p>
      <w:pPr>
        <w:spacing w:after="0" w:line="200" w:lineRule="exact"/>
        <w:rPr>
          <w:sz w:val="20"/>
          <w:szCs w:val="20"/>
          <w:color w:val="auto"/>
        </w:rPr>
      </w:pPr>
    </w:p>
    <w:p>
      <w:pPr>
        <w:sectPr>
          <w:pgSz w:w="11900" w:h="16838" w:orient="portrait"/>
          <w:cols w:equalWidth="0" w:num="3">
            <w:col w:w="5040" w:space="720"/>
            <w:col w:w="1980" w:space="720"/>
            <w:col w:w="1679"/>
          </w:cols>
          <w:pgMar w:left="320" w:top="131" w:right="1440" w:bottom="1440" w:gutter="0" w:footer="0" w:header="0"/>
          <w:type w:val="continuous"/>
        </w:sectPr>
      </w:pPr>
    </w:p>
    <w:p>
      <w:pPr>
        <w:spacing w:after="0" w:line="25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26  </w:t>
      </w:r>
      <w:r>
        <w:rPr>
          <w:sz w:val="1"/>
          <w:szCs w:val="1"/>
          <w:color w:val="auto"/>
        </w:rPr>
        <w:drawing>
          <wp:inline distT="0" distB="0" distL="0" distR="0">
            <wp:extent cx="299720"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7"/>
          <w:szCs w:val="17"/>
          <w:b w:val="1"/>
          <w:bCs w:val="1"/>
          <w:color w:val="FFFFFF"/>
        </w:rPr>
        <w:t>EXECUTIVE COMPENSATION</w:t>
      </w:r>
    </w:p>
    <w:p>
      <w:pPr>
        <w:spacing w:after="0" w:line="259" w:lineRule="exact"/>
        <w:rPr>
          <w:sz w:val="20"/>
          <w:szCs w:val="20"/>
          <w:color w:val="auto"/>
        </w:rPr>
      </w:pPr>
    </w:p>
    <w:p>
      <w:pPr>
        <w:ind w:left="760" w:right="959"/>
        <w:spacing w:after="0" w:line="261" w:lineRule="auto"/>
        <w:rPr>
          <w:sz w:val="20"/>
          <w:szCs w:val="20"/>
          <w:color w:val="auto"/>
        </w:rPr>
      </w:pPr>
      <w:r>
        <w:rPr>
          <w:rFonts w:ascii="Arial" w:cs="Arial" w:eastAsia="Arial" w:hAnsi="Arial"/>
          <w:sz w:val="18"/>
          <w:szCs w:val="18"/>
          <w:color w:val="auto"/>
        </w:rPr>
        <w:t>For performance percentages between the specified threshold, target, and maximum levels, payouts were interpolated on a straight-line basis.</w:t>
      </w:r>
    </w:p>
    <w:p>
      <w:pPr>
        <w:spacing w:after="0" w:line="90" w:lineRule="exact"/>
        <w:rPr>
          <w:sz w:val="20"/>
          <w:szCs w:val="20"/>
          <w:color w:val="auto"/>
        </w:rPr>
      </w:pPr>
    </w:p>
    <w:p>
      <w:pPr>
        <w:ind w:left="760" w:right="339"/>
        <w:spacing w:after="0" w:line="256" w:lineRule="auto"/>
        <w:rPr>
          <w:sz w:val="20"/>
          <w:szCs w:val="20"/>
          <w:color w:val="auto"/>
        </w:rPr>
      </w:pPr>
      <w:r>
        <w:rPr>
          <w:rFonts w:ascii="Arial" w:cs="Arial" w:eastAsia="Arial" w:hAnsi="Arial"/>
          <w:sz w:val="18"/>
          <w:szCs w:val="18"/>
          <w:color w:val="auto"/>
        </w:rPr>
        <w:t>The compensation committee has the ability to exercise positive or negative discretion and award a greater or lesser amount to our NEOs than the amount determined by the scale above if it determines that circumstances so warrant. The compensation committee did not exercise such discretion in fiscal 2019.</w:t>
      </w:r>
    </w:p>
    <w:p>
      <w:pPr>
        <w:spacing w:after="0" w:line="94" w:lineRule="exact"/>
        <w:rPr>
          <w:sz w:val="20"/>
          <w:szCs w:val="20"/>
          <w:color w:val="auto"/>
        </w:rPr>
      </w:pPr>
    </w:p>
    <w:p>
      <w:pPr>
        <w:ind w:left="760" w:right="359"/>
        <w:spacing w:after="0" w:line="278" w:lineRule="auto"/>
        <w:rPr>
          <w:sz w:val="20"/>
          <w:szCs w:val="20"/>
          <w:color w:val="auto"/>
        </w:rPr>
      </w:pPr>
      <w:r>
        <w:rPr>
          <w:rFonts w:ascii="Arial" w:cs="Arial" w:eastAsia="Arial" w:hAnsi="Arial"/>
          <w:sz w:val="17"/>
          <w:szCs w:val="17"/>
          <w:color w:val="auto"/>
        </w:rPr>
        <w:t>For fiscal 2019, the Company’s STIP Adjusted EBITDA achieved was $210.2 million, resulting in a payout percentage of 139.4%. The NEOs earned STIP awards for fiscal 2019 as follows, which are included in the “Non-Equity Incentive Plan Compensation” column of the “Summary Compensation Table” later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74930</wp:posOffset>
            </wp:positionV>
            <wp:extent cx="5837555" cy="1611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37555" cy="161163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160"/>
        <w:spacing w:after="0"/>
        <w:rPr>
          <w:sz w:val="20"/>
          <w:szCs w:val="20"/>
          <w:color w:val="auto"/>
        </w:rPr>
      </w:pPr>
      <w:r>
        <w:rPr>
          <w:rFonts w:ascii="Arial" w:cs="Arial" w:eastAsia="Arial" w:hAnsi="Arial"/>
          <w:sz w:val="16"/>
          <w:szCs w:val="16"/>
          <w:b w:val="1"/>
          <w:bCs w:val="1"/>
          <w:color w:val="FFFFFF"/>
        </w:rPr>
        <w:t>Named</w:t>
      </w:r>
    </w:p>
    <w:p>
      <w:pPr>
        <w:spacing w:after="0" w:line="12" w:lineRule="exact"/>
        <w:rPr>
          <w:sz w:val="20"/>
          <w:szCs w:val="20"/>
          <w:color w:val="auto"/>
        </w:rPr>
      </w:pPr>
    </w:p>
    <w:p>
      <w:pPr>
        <w:jc w:val="center"/>
        <w:ind w:left="1160"/>
        <w:spacing w:after="0"/>
        <w:rPr>
          <w:sz w:val="20"/>
          <w:szCs w:val="20"/>
          <w:color w:val="auto"/>
        </w:rPr>
      </w:pPr>
      <w:r>
        <w:rPr>
          <w:rFonts w:ascii="Arial" w:cs="Arial" w:eastAsia="Arial" w:hAnsi="Arial"/>
          <w:sz w:val="16"/>
          <w:szCs w:val="16"/>
          <w:b w:val="1"/>
          <w:bCs w:val="1"/>
          <w:color w:val="FFFFFF"/>
        </w:rPr>
        <w:t>Executive Officer</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 Reade Fahs</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Patrick R. Moore</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Jared Brandman</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Bill Clark</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Melissa Rasmussen</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Jeff McAllister</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Chris Beasley</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FFFFFF"/>
        </w:rPr>
        <w:t>2019</w:t>
      </w:r>
    </w:p>
    <w:p>
      <w:pPr>
        <w:spacing w:after="0" w:line="3" w:lineRule="exact"/>
        <w:rPr>
          <w:sz w:val="20"/>
          <w:szCs w:val="20"/>
          <w:color w:val="auto"/>
        </w:rPr>
      </w:pPr>
    </w:p>
    <w:p>
      <w:pPr>
        <w:jc w:val="right"/>
        <w:ind w:right="140"/>
        <w:spacing w:after="0"/>
        <w:rPr>
          <w:sz w:val="20"/>
          <w:szCs w:val="20"/>
          <w:color w:val="auto"/>
        </w:rPr>
      </w:pPr>
      <w:r>
        <w:rPr>
          <w:rFonts w:ascii="Arial" w:cs="Arial" w:eastAsia="Arial" w:hAnsi="Arial"/>
          <w:sz w:val="16"/>
          <w:szCs w:val="16"/>
          <w:b w:val="1"/>
          <w:bCs w:val="1"/>
          <w:color w:val="FFFFFF"/>
        </w:rPr>
        <w:t>Base</w:t>
      </w:r>
    </w:p>
    <w:p>
      <w:pPr>
        <w:jc w:val="right"/>
        <w:ind w:right="120"/>
        <w:spacing w:after="0" w:line="228" w:lineRule="auto"/>
        <w:rPr>
          <w:sz w:val="20"/>
          <w:szCs w:val="20"/>
          <w:color w:val="auto"/>
        </w:rPr>
      </w:pPr>
      <w:r>
        <w:rPr>
          <w:rFonts w:ascii="Arial" w:cs="Arial" w:eastAsia="Arial" w:hAnsi="Arial"/>
          <w:sz w:val="16"/>
          <w:szCs w:val="16"/>
          <w:b w:val="1"/>
          <w:bCs w:val="1"/>
          <w:color w:val="FFFFFF"/>
        </w:rPr>
        <w:t>Salary</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FFFFFF"/>
        </w:rPr>
        <w:t>Earned</w:t>
      </w:r>
    </w:p>
    <w:p>
      <w:pPr>
        <w:spacing w:after="0" w:line="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$919,211 $444,231 $298,915 $171,077 $109,039 $590,342 $168,652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Target STIP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(as a</w:t>
      </w:r>
    </w:p>
    <w:p>
      <w:pPr>
        <w:jc w:val="center"/>
        <w:spacing w:after="0" w:line="228" w:lineRule="auto"/>
        <w:rPr>
          <w:sz w:val="20"/>
          <w:szCs w:val="20"/>
          <w:color w:val="auto"/>
        </w:rPr>
      </w:pPr>
      <w:r>
        <w:rPr>
          <w:rFonts w:ascii="Arial" w:cs="Arial" w:eastAsia="Arial" w:hAnsi="Arial"/>
          <w:sz w:val="16"/>
          <w:szCs w:val="16"/>
          <w:b w:val="1"/>
          <w:bCs w:val="1"/>
          <w:color w:val="FFFFFF"/>
        </w:rPr>
        <w:t>Percentage</w:t>
      </w:r>
    </w:p>
    <w:p>
      <w:pPr>
        <w:jc w:val="center"/>
        <w:spacing w:after="0" w:line="229" w:lineRule="auto"/>
        <w:rPr>
          <w:sz w:val="20"/>
          <w:szCs w:val="20"/>
          <w:color w:val="auto"/>
        </w:rPr>
      </w:pPr>
      <w:r>
        <w:rPr>
          <w:rFonts w:ascii="Arial" w:cs="Arial" w:eastAsia="Arial" w:hAnsi="Arial"/>
          <w:sz w:val="16"/>
          <w:szCs w:val="16"/>
          <w:b w:val="1"/>
          <w:bCs w:val="1"/>
          <w:color w:val="FFFFFF"/>
        </w:rPr>
        <w:t>of Base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Salary)</w:t>
      </w:r>
    </w:p>
    <w:p>
      <w:pPr>
        <w:spacing w:after="0" w:line="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100%</w:t>
      </w:r>
    </w:p>
    <w:p>
      <w:pPr>
        <w:spacing w:after="0" w:line="4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60%</w:t>
      </w:r>
    </w:p>
    <w:p>
      <w:pPr>
        <w:spacing w:after="0" w:line="4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50%</w:t>
      </w:r>
    </w:p>
    <w:p>
      <w:pPr>
        <w:spacing w:after="0" w:line="4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50%</w:t>
      </w:r>
    </w:p>
    <w:p>
      <w:pPr>
        <w:spacing w:after="0" w:line="4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37.5%</w:t>
      </w:r>
    </w:p>
    <w:p>
      <w:pPr>
        <w:spacing w:after="0" w:line="4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60%</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left="-3"/>
        <w:spacing w:after="0"/>
        <w:rPr>
          <w:sz w:val="20"/>
          <w:szCs w:val="20"/>
          <w:color w:val="auto"/>
        </w:rPr>
      </w:pPr>
      <w:r>
        <w:rPr>
          <w:rFonts w:ascii="Arial" w:cs="Arial" w:eastAsia="Arial" w:hAnsi="Arial"/>
          <w:sz w:val="16"/>
          <w:szCs w:val="16"/>
          <w:b w:val="1"/>
          <w:bCs w:val="1"/>
          <w:color w:val="FFFFFF"/>
        </w:rPr>
        <w:t>Target</w:t>
      </w:r>
    </w:p>
    <w:p>
      <w:pPr>
        <w:spacing w:after="0" w:line="3" w:lineRule="exact"/>
        <w:rPr>
          <w:sz w:val="20"/>
          <w:szCs w:val="20"/>
          <w:color w:val="auto"/>
        </w:rPr>
      </w:pPr>
    </w:p>
    <w:p>
      <w:pPr>
        <w:jc w:val="center"/>
        <w:ind w:left="-3"/>
        <w:spacing w:after="0"/>
        <w:rPr>
          <w:sz w:val="20"/>
          <w:szCs w:val="20"/>
          <w:color w:val="auto"/>
        </w:rPr>
      </w:pPr>
      <w:r>
        <w:rPr>
          <w:rFonts w:ascii="Arial" w:cs="Arial" w:eastAsia="Arial" w:hAnsi="Arial"/>
          <w:sz w:val="16"/>
          <w:szCs w:val="16"/>
          <w:b w:val="1"/>
          <w:bCs w:val="1"/>
          <w:color w:val="FFFFFF"/>
        </w:rPr>
        <w:t>STIP</w:t>
      </w:r>
    </w:p>
    <w:p>
      <w:pPr>
        <w:jc w:val="center"/>
        <w:ind w:left="-3"/>
        <w:spacing w:after="0"/>
        <w:rPr>
          <w:sz w:val="20"/>
          <w:szCs w:val="20"/>
          <w:color w:val="auto"/>
        </w:rPr>
      </w:pPr>
      <w:r>
        <w:rPr>
          <w:rFonts w:ascii="Arial" w:cs="Arial" w:eastAsia="Arial" w:hAnsi="Arial"/>
          <w:sz w:val="16"/>
          <w:szCs w:val="16"/>
          <w:b w:val="1"/>
          <w:bCs w:val="1"/>
          <w:color w:val="FFFFFF"/>
        </w:rPr>
        <w:t>Amount</w:t>
      </w:r>
    </w:p>
    <w:p>
      <w:pPr>
        <w:spacing w:after="0" w:line="5" w:lineRule="exact"/>
        <w:rPr>
          <w:sz w:val="20"/>
          <w:szCs w:val="20"/>
          <w:color w:val="auto"/>
        </w:rPr>
      </w:pPr>
    </w:p>
    <w:p>
      <w:pPr>
        <w:jc w:val="both"/>
        <w:ind w:left="4"/>
        <w:spacing w:after="0" w:line="299" w:lineRule="auto"/>
        <w:rPr>
          <w:sz w:val="20"/>
          <w:szCs w:val="20"/>
          <w:color w:val="auto"/>
        </w:rPr>
      </w:pPr>
      <w:r>
        <w:rPr>
          <w:rFonts w:ascii="Arial" w:cs="Arial" w:eastAsia="Arial" w:hAnsi="Arial"/>
          <w:sz w:val="16"/>
          <w:szCs w:val="16"/>
          <w:color w:val="auto"/>
        </w:rPr>
        <w:t>$919,211 $266,539 $149,458</w:t>
      </w:r>
    </w:p>
    <w:p>
      <w:pPr>
        <w:ind w:left="184" w:hanging="184"/>
        <w:spacing w:after="0"/>
        <w:tabs>
          <w:tab w:leader="none" w:pos="1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85,539</w:t>
      </w:r>
    </w:p>
    <w:p>
      <w:pPr>
        <w:spacing w:after="0" w:line="45" w:lineRule="exact"/>
        <w:rPr>
          <w:rFonts w:ascii="Arial" w:cs="Arial" w:eastAsia="Arial" w:hAnsi="Arial"/>
          <w:sz w:val="16"/>
          <w:szCs w:val="16"/>
          <w:color w:val="auto"/>
        </w:rPr>
      </w:pPr>
    </w:p>
    <w:p>
      <w:pPr>
        <w:jc w:val="both"/>
        <w:ind w:left="4" w:hanging="4"/>
        <w:spacing w:after="0" w:line="308" w:lineRule="auto"/>
        <w:tabs>
          <w:tab w:leader="none" w:pos="193" w:val="left"/>
        </w:tabs>
        <w:numPr>
          <w:ilvl w:val="0"/>
          <w:numId w:val="25"/>
        </w:numPr>
        <w:rPr>
          <w:rFonts w:ascii="Arial" w:cs="Arial" w:eastAsia="Arial" w:hAnsi="Arial"/>
          <w:sz w:val="16"/>
          <w:szCs w:val="16"/>
          <w:color w:val="auto"/>
        </w:rPr>
      </w:pPr>
      <w:r>
        <w:rPr>
          <w:rFonts w:ascii="Arial" w:cs="Arial" w:eastAsia="Arial" w:hAnsi="Arial"/>
          <w:sz w:val="16"/>
          <w:szCs w:val="16"/>
          <w:color w:val="auto"/>
        </w:rPr>
        <w:t>40,889 $354,205</w:t>
      </w:r>
    </w:p>
    <w:p>
      <w:pPr>
        <w:ind w:left="184" w:hanging="184"/>
        <w:spacing w:after="0"/>
        <w:tabs>
          <w:tab w:leader="none" w:pos="1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63,245</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Achievement</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Factor as a</w:t>
      </w:r>
    </w:p>
    <w:p>
      <w:pPr>
        <w:spacing w:after="0" w:line="228" w:lineRule="auto"/>
        <w:rPr>
          <w:sz w:val="20"/>
          <w:szCs w:val="20"/>
          <w:color w:val="auto"/>
        </w:rPr>
      </w:pPr>
      <w:r>
        <w:rPr>
          <w:rFonts w:ascii="Arial" w:cs="Arial" w:eastAsia="Arial" w:hAnsi="Arial"/>
          <w:sz w:val="16"/>
          <w:szCs w:val="16"/>
          <w:b w:val="1"/>
          <w:bCs w:val="1"/>
          <w:color w:val="FFFFFF"/>
        </w:rPr>
        <w:t>Percentage of</w:t>
      </w:r>
    </w:p>
    <w:p>
      <w:pPr>
        <w:ind w:left="260"/>
        <w:spacing w:after="0" w:line="229" w:lineRule="auto"/>
        <w:rPr>
          <w:sz w:val="20"/>
          <w:szCs w:val="20"/>
          <w:color w:val="auto"/>
        </w:rPr>
      </w:pPr>
      <w:r>
        <w:rPr>
          <w:rFonts w:ascii="Arial" w:cs="Arial" w:eastAsia="Arial" w:hAnsi="Arial"/>
          <w:sz w:val="16"/>
          <w:szCs w:val="16"/>
          <w:b w:val="1"/>
          <w:bCs w:val="1"/>
          <w:color w:val="FFFFFF"/>
        </w:rPr>
        <w:t>Target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Amount</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139.4%</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139.4%</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139.4%</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139.4%</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139.4%</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139.4%</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FFFFFF"/>
        </w:rPr>
        <w:t>Actual</w:t>
      </w:r>
    </w:p>
    <w:p>
      <w:pPr>
        <w:spacing w:after="0" w:line="3"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FFFFFF"/>
        </w:rPr>
        <w:t>STIP</w:t>
      </w:r>
    </w:p>
    <w:p>
      <w:pPr>
        <w:jc w:val="center"/>
        <w:ind w:right="459"/>
        <w:spacing w:after="0"/>
        <w:rPr>
          <w:sz w:val="20"/>
          <w:szCs w:val="20"/>
          <w:color w:val="auto"/>
        </w:rPr>
      </w:pPr>
      <w:r>
        <w:rPr>
          <w:rFonts w:ascii="Arial" w:cs="Arial" w:eastAsia="Arial" w:hAnsi="Arial"/>
          <w:sz w:val="16"/>
          <w:szCs w:val="16"/>
          <w:b w:val="1"/>
          <w:bCs w:val="1"/>
          <w:color w:val="FFFFFF"/>
        </w:rPr>
        <w:t>Award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$1,281,776</w:t>
      </w:r>
    </w:p>
    <w:p>
      <w:pPr>
        <w:spacing w:after="0" w:line="45"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371,669</w:t>
      </w:r>
    </w:p>
    <w:p>
      <w:pPr>
        <w:spacing w:after="0" w:line="45" w:lineRule="exact"/>
        <w:rPr>
          <w:rFonts w:ascii="Arial" w:cs="Arial" w:eastAsia="Arial" w:hAnsi="Arial"/>
          <w:sz w:val="16"/>
          <w:szCs w:val="16"/>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208,409</w:t>
      </w:r>
    </w:p>
    <w:p>
      <w:pPr>
        <w:spacing w:after="0" w:line="45" w:lineRule="exact"/>
        <w:rPr>
          <w:rFonts w:ascii="Arial" w:cs="Arial" w:eastAsia="Arial" w:hAnsi="Arial"/>
          <w:sz w:val="16"/>
          <w:szCs w:val="16"/>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119,278</w:t>
      </w:r>
    </w:p>
    <w:p>
      <w:pPr>
        <w:spacing w:after="0" w:line="4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57,017</w:t>
      </w:r>
    </w:p>
    <w:p>
      <w:pPr>
        <w:spacing w:after="0" w:line="57" w:lineRule="exact"/>
        <w:rPr>
          <w:rFonts w:ascii="Arial" w:cs="Arial" w:eastAsia="Arial" w:hAnsi="Arial"/>
          <w:sz w:val="15"/>
          <w:szCs w:val="15"/>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493,904</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89,188</w:t>
      </w:r>
    </w:p>
    <w:p>
      <w:pPr>
        <w:spacing w:after="0" w:line="207" w:lineRule="exact"/>
        <w:rPr>
          <w:sz w:val="20"/>
          <w:szCs w:val="20"/>
          <w:color w:val="auto"/>
        </w:rPr>
      </w:pPr>
    </w:p>
    <w:p>
      <w:pPr>
        <w:sectPr>
          <w:pgSz w:w="11900" w:h="16838" w:orient="portrait"/>
          <w:cols w:equalWidth="0" w:num="6">
            <w:col w:w="2800" w:space="720"/>
            <w:col w:w="680" w:space="580"/>
            <w:col w:w="880" w:space="576"/>
            <w:col w:w="684" w:space="480"/>
            <w:col w:w="1060" w:space="400"/>
            <w:col w:w="1279"/>
          </w:cols>
          <w:pgMar w:left="320" w:top="131" w:right="1440" w:bottom="1440" w:gutter="0" w:footer="0" w:header="0"/>
          <w:type w:val="continuous"/>
        </w:sectPr>
      </w:pPr>
    </w:p>
    <w:p>
      <w:pPr>
        <w:ind w:left="760"/>
        <w:spacing w:after="0"/>
        <w:rPr>
          <w:sz w:val="20"/>
          <w:szCs w:val="20"/>
          <w:color w:val="auto"/>
        </w:rPr>
      </w:pPr>
      <w:r>
        <w:rPr>
          <w:rFonts w:ascii="Arial" w:cs="Arial" w:eastAsia="Arial" w:hAnsi="Arial"/>
          <w:sz w:val="18"/>
          <w:szCs w:val="18"/>
          <w:b w:val="1"/>
          <w:bCs w:val="1"/>
          <w:i w:val="1"/>
          <w:iCs w:val="1"/>
          <w:color w:val="auto"/>
        </w:rPr>
        <w:t>Long-Term Incentive Program</w:t>
      </w:r>
    </w:p>
    <w:p>
      <w:pPr>
        <w:spacing w:after="0" w:line="139" w:lineRule="exact"/>
        <w:rPr>
          <w:sz w:val="20"/>
          <w:szCs w:val="20"/>
          <w:color w:val="auto"/>
        </w:rPr>
      </w:pPr>
    </w:p>
    <w:p>
      <w:pPr>
        <w:ind w:left="760" w:right="179"/>
        <w:spacing w:after="0" w:line="251" w:lineRule="auto"/>
        <w:rPr>
          <w:sz w:val="20"/>
          <w:szCs w:val="20"/>
          <w:color w:val="auto"/>
        </w:rPr>
      </w:pPr>
      <w:r>
        <w:rPr>
          <w:rFonts w:ascii="Arial" w:cs="Arial" w:eastAsia="Arial" w:hAnsi="Arial"/>
          <w:sz w:val="18"/>
          <w:szCs w:val="18"/>
          <w:color w:val="auto"/>
        </w:rPr>
        <w:t>In connection with our IPO, our Board of Directors adopted, and our stockholders approved, the National Vision Holdings, Inc. 2017 Omnibus Incentive Plan (the “2017 Omnibus Plan”). The 2017 Omnibus Plan replaced the 2014 Stock Incentive Plan for Key Employees of Nautilus Parent, Inc. and its Subsidiaries (the “2014 Stock Plan,” and together with the 2017 Omnibus Plan, the “Equity Incentive Plans”). The purpose of our 2017 Omnibus Plan is to provide a means through which to attract and retain key personnel and to provide a means whereby our directors, officers, employees, consultants and advisors can acquire and maintain an equity interest in the Company, or be paid incentive compensation, including incentive compensation measured by reference to the value of our common stock, thereby strengthening their commitment to the Company’s long-term success and aligning their interests with those of our stockholders.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2019 LTIP Awards</w:t>
      </w:r>
    </w:p>
    <w:p>
      <w:pPr>
        <w:spacing w:after="0" w:line="135" w:lineRule="exact"/>
        <w:rPr>
          <w:sz w:val="20"/>
          <w:szCs w:val="20"/>
          <w:color w:val="auto"/>
        </w:rPr>
      </w:pPr>
    </w:p>
    <w:p>
      <w:pPr>
        <w:ind w:left="760" w:right="179"/>
        <w:spacing w:after="0" w:line="252" w:lineRule="auto"/>
        <w:rPr>
          <w:sz w:val="20"/>
          <w:szCs w:val="20"/>
          <w:color w:val="auto"/>
        </w:rPr>
      </w:pPr>
      <w:r>
        <w:rPr>
          <w:rFonts w:ascii="Arial" w:cs="Arial" w:eastAsia="Arial" w:hAnsi="Arial"/>
          <w:sz w:val="18"/>
          <w:szCs w:val="18"/>
          <w:color w:val="auto"/>
        </w:rPr>
        <w:t>In February 2019, following an evaluation, with the assistance of Meridian, of the equity-based incentives for our executive officers, the compensation committee adopted a new long-term incentive program (“LTIP”). As part of our normal annual compensation cycle, all of our NEOs, excluding those who were not employed at the time, were granted the following awards under the 2017 Omnibus Plan: (1) time-vesting stock options (representing 50% of the total target value of fiscal 2019 LTIP awards for each NEO) and (2) performance -vesting restricted stock units (“PSUs”) (representing the remaining 50% of the total target value of fiscal 2019 LTIP awards for each NEO). Messrs. Clark and McAllister and Ms. Rasmussen did not receive a February 2019 grant as they were either not employed or were not executive officers at the time of grant.</w:t>
      </w:r>
    </w:p>
    <w:p>
      <w:pPr>
        <w:spacing w:after="0" w:line="79" w:lineRule="exact"/>
        <w:rPr>
          <w:sz w:val="20"/>
          <w:szCs w:val="20"/>
          <w:color w:val="auto"/>
        </w:rPr>
      </w:pPr>
    </w:p>
    <w:p>
      <w:pPr>
        <w:ind w:left="760" w:right="339"/>
        <w:spacing w:after="0" w:line="258" w:lineRule="auto"/>
        <w:rPr>
          <w:sz w:val="20"/>
          <w:szCs w:val="20"/>
          <w:color w:val="auto"/>
        </w:rPr>
      </w:pPr>
      <w:r>
        <w:rPr>
          <w:rFonts w:ascii="Arial" w:cs="Arial" w:eastAsia="Arial" w:hAnsi="Arial"/>
          <w:sz w:val="18"/>
          <w:szCs w:val="18"/>
          <w:i w:val="1"/>
          <w:iCs w:val="1"/>
          <w:color w:val="auto"/>
        </w:rPr>
        <w:t>2019 Stock Option Awards</w:t>
      </w:r>
      <w:r>
        <w:rPr>
          <w:rFonts w:ascii="Arial" w:cs="Arial" w:eastAsia="Arial" w:hAnsi="Arial"/>
          <w:sz w:val="18"/>
          <w:szCs w:val="18"/>
          <w:color w:val="auto"/>
        </w:rPr>
        <w:t>. Stock option awards are granted for shares of Company common stock and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vest over a three-year period. The options granted in fiscal 2019 vest in three equal annual installments, with one-third of the total number of shares underlying the options vesting on each of the first, second, and third anniversaries of March 1, 2019, subject to the executive’s continued employment through the applicable vesting date.</w:t>
      </w:r>
    </w:p>
    <w:p>
      <w:pPr>
        <w:spacing w:after="0" w:line="75" w:lineRule="exact"/>
        <w:rPr>
          <w:sz w:val="20"/>
          <w:szCs w:val="20"/>
          <w:color w:val="auto"/>
        </w:rPr>
      </w:pPr>
    </w:p>
    <w:p>
      <w:pPr>
        <w:ind w:left="760" w:right="219"/>
        <w:spacing w:after="0" w:line="258" w:lineRule="auto"/>
        <w:rPr>
          <w:sz w:val="20"/>
          <w:szCs w:val="20"/>
          <w:color w:val="auto"/>
        </w:rPr>
      </w:pPr>
      <w:r>
        <w:rPr>
          <w:rFonts w:ascii="Arial" w:cs="Arial" w:eastAsia="Arial" w:hAnsi="Arial"/>
          <w:sz w:val="18"/>
          <w:szCs w:val="18"/>
          <w:i w:val="1"/>
          <w:iCs w:val="1"/>
          <w:color w:val="auto"/>
        </w:rPr>
        <w:t>2019 PSU Awards</w:t>
      </w:r>
      <w:r>
        <w:rPr>
          <w:rFonts w:ascii="Arial" w:cs="Arial" w:eastAsia="Arial" w:hAnsi="Arial"/>
          <w:sz w:val="18"/>
          <w:szCs w:val="18"/>
          <w:color w:val="auto"/>
        </w:rPr>
        <w:t>. PSU awards are earned over a three-year performance period and are conditioned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achievement of certain Adjusted EBITDA growth targets, as set forth in the PSU award agreement. The actual value of the PSUs that vest based on the Adjusted EBITDA growth performance measure is based on an achievement factor which, in each case, ranges from a 50% payout for threshold performance, 100% for target performance, and 200% for maximum performance. To the extent that performance falls between the applicable</w:t>
      </w:r>
    </w:p>
    <w:p>
      <w:pPr>
        <w:spacing w:after="0" w:line="303"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ind w:left="760" w:right="239"/>
        <w:spacing w:after="0" w:line="252" w:lineRule="auto"/>
        <w:rPr>
          <w:sz w:val="20"/>
          <w:szCs w:val="20"/>
          <w:color w:val="auto"/>
        </w:rPr>
      </w:pPr>
      <w:r>
        <w:rPr>
          <w:rFonts w:ascii="Arial" w:cs="Arial" w:eastAsia="Arial" w:hAnsi="Arial"/>
          <w:sz w:val="18"/>
          <w:szCs w:val="18"/>
          <w:color w:val="auto"/>
        </w:rPr>
        <w:t>threshold, target or maximum levels, payouts will be determined using linear interpolation. Should the Adjusted EBITDA performance fall below the threshold performance level, the achievement factor for the PSUs will be 0% of the target award and no PSUs would be earned. PSU performance goals and the target awards for our executive officers are established each February, shortly after the beginning of the fiscal year. The PSU awards granted in fiscal 2019 will be settled after the end of the respective three-year performance period, which began on the first day of our 2019 fiscal year and ends on the last day of our 2021 fiscal year. The Adjusted EBITDA definition for the 2019 PSU awards performance measure is set forth in Annex A attached to this proxy statement.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Changes for 2020 STIP and LTIP Awards</w:t>
      </w:r>
    </w:p>
    <w:p>
      <w:pPr>
        <w:spacing w:after="0" w:line="139" w:lineRule="exact"/>
        <w:rPr>
          <w:sz w:val="20"/>
          <w:szCs w:val="20"/>
          <w:color w:val="auto"/>
        </w:rPr>
      </w:pPr>
    </w:p>
    <w:p>
      <w:pPr>
        <w:ind w:left="760" w:right="399"/>
        <w:spacing w:after="0" w:line="256" w:lineRule="auto"/>
        <w:rPr>
          <w:sz w:val="20"/>
          <w:szCs w:val="20"/>
          <w:color w:val="auto"/>
        </w:rPr>
      </w:pPr>
      <w:r>
        <w:rPr>
          <w:rFonts w:ascii="Arial" w:cs="Arial" w:eastAsia="Arial" w:hAnsi="Arial"/>
          <w:sz w:val="18"/>
          <w:szCs w:val="18"/>
          <w:color w:val="auto"/>
        </w:rPr>
        <w:t>For fiscal 2020, the compensation committee has approved a new vehicle mix for LTIP awards under the 2017 Omnibus Plan. NEOs received their 2020 LTIP awards in a mix of 25% time-based stock options, 50% PSUs and the remaining 25% in time-based restricted stock units (“RSUs”).</w:t>
      </w:r>
    </w:p>
    <w:p>
      <w:pPr>
        <w:spacing w:after="0" w:line="94" w:lineRule="exact"/>
        <w:rPr>
          <w:sz w:val="20"/>
          <w:szCs w:val="20"/>
          <w:color w:val="auto"/>
        </w:rPr>
      </w:pPr>
    </w:p>
    <w:p>
      <w:pPr>
        <w:ind w:left="760" w:right="199"/>
        <w:spacing w:after="0" w:line="253" w:lineRule="auto"/>
        <w:rPr>
          <w:sz w:val="20"/>
          <w:szCs w:val="20"/>
          <w:color w:val="auto"/>
        </w:rPr>
      </w:pPr>
      <w:r>
        <w:rPr>
          <w:rFonts w:ascii="Arial" w:cs="Arial" w:eastAsia="Arial" w:hAnsi="Arial"/>
          <w:sz w:val="18"/>
          <w:szCs w:val="18"/>
          <w:color w:val="auto"/>
        </w:rPr>
        <w:t>In addition, beginning with the STIP and LTIP awards granted in fiscal 2020, the Company has updated its definition of certain non-GAAP measures, including Adjusted EBITDA. Adjusted EBITDA will no longer exclude new store pre-opening expenses and non-cash rent. The 2019 PSU awards will continue to use the prior 2019 definition of Adjusted EBITDA for the Adjusted EBITDA growth performance measure for the remainder of the three-year performance period.</w:t>
      </w:r>
    </w:p>
    <w:p>
      <w:pPr>
        <w:spacing w:after="0" w:line="97" w:lineRule="exact"/>
        <w:rPr>
          <w:sz w:val="20"/>
          <w:szCs w:val="20"/>
          <w:color w:val="auto"/>
        </w:rPr>
      </w:pPr>
    </w:p>
    <w:p>
      <w:pPr>
        <w:ind w:left="760" w:right="659"/>
        <w:spacing w:after="0" w:line="254" w:lineRule="auto"/>
        <w:rPr>
          <w:sz w:val="20"/>
          <w:szCs w:val="20"/>
          <w:color w:val="auto"/>
        </w:rPr>
      </w:pPr>
      <w:r>
        <w:rPr>
          <w:rFonts w:ascii="Arial" w:cs="Arial" w:eastAsia="Arial" w:hAnsi="Arial"/>
          <w:sz w:val="18"/>
          <w:szCs w:val="18"/>
          <w:color w:val="auto"/>
        </w:rPr>
        <w:t>In light of the COVID-19 pandemic, the Compensation Committee may reevaluate the performance goals and incentives associated with our executive incentive program later in 2020 when more information regarding the impact of the pandemic is known. We will communicate any material changes in accordance with applicable disclosure obligations.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2019 Special Retention and Sign-On Awards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November 2019, the compensation committee approved special one-time retention awards to each of the NEOs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than Mr. Fahs) consisting of time-based RSUs valued at $300,000. The RSUs were awarded 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November 18, 2019 (the grant date) and vest over four years, with half of the total number of shares underlying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RSUs vesting on the second anniversary of the grant date and one-quarter vesting on each of the third and fourth</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anniversaries of the grant date, subject to the executive’s continued employment through the applicable vesting</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left="760" w:right="279"/>
        <w:spacing w:after="0" w:line="252" w:lineRule="auto"/>
        <w:rPr>
          <w:sz w:val="20"/>
          <w:szCs w:val="20"/>
          <w:color w:val="auto"/>
        </w:rPr>
      </w:pPr>
      <w:r>
        <w:rPr>
          <w:rFonts w:ascii="Arial" w:cs="Arial" w:eastAsia="Arial" w:hAnsi="Arial"/>
          <w:sz w:val="18"/>
          <w:szCs w:val="18"/>
          <w:color w:val="auto"/>
        </w:rPr>
        <w:t>In order to attract talented executives and compensate individuals for compensation forfeited at their prior employers, the compensation committee approved certain payments to two NEO hires in 2019. In 2019, Mr. Clark received (i) a cash sign-on bonus of $ 50,000, (ii) a one-time stock option award grant valued at $250,000, which vests over a three year period in three equal annual installments on the first, second and third anniversaries of June 11, 2019 (the grant date) and (iii) a one-time PSU award grant valued at $ 250,000 to be earned over a three-year performance period conditioned on the Company’s achievement of certain Adjusted EBITDA growth targets, as set forth in the PSU award agreement, subject to Mr. Clark’s continued employment with the Company through each vesting date for the equity awards.</w:t>
      </w:r>
    </w:p>
    <w:p>
      <w:pPr>
        <w:spacing w:after="0" w:line="97" w:lineRule="exact"/>
        <w:rPr>
          <w:sz w:val="20"/>
          <w:szCs w:val="20"/>
          <w:color w:val="auto"/>
        </w:rPr>
      </w:pPr>
    </w:p>
    <w:p>
      <w:pPr>
        <w:ind w:left="760" w:right="299"/>
        <w:spacing w:after="0" w:line="252" w:lineRule="auto"/>
        <w:rPr>
          <w:sz w:val="20"/>
          <w:szCs w:val="20"/>
          <w:color w:val="auto"/>
        </w:rPr>
      </w:pPr>
      <w:r>
        <w:rPr>
          <w:rFonts w:ascii="Arial" w:cs="Arial" w:eastAsia="Arial" w:hAnsi="Arial"/>
          <w:sz w:val="18"/>
          <w:szCs w:val="18"/>
          <w:color w:val="auto"/>
        </w:rPr>
        <w:t>In 2019, Ms. Rasmussen received (i) a cash sign-on bonus of $ 25,000, (ii) a one-time stock option award grant valued at $80,000, which vests over a three year period in three equal annual installments on the first, second and third anniversaries of July 29, 2019 (the grant date) and (iii) a one-time PSU award grant valued at $ 80,000 to be earned over a three-year performance period conditioned on the Company’s achievement of certain Adjusted EBITDA growth targets, as set forth in the PSU award agreement, subject to Ms. Rasmussen’s continued employment with the Company through each vesting date for the equity awards.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Prior Outstanding Equity Awards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Pre-IPO Options</w:t>
      </w:r>
    </w:p>
    <w:p>
      <w:pPr>
        <w:spacing w:after="0" w:line="135" w:lineRule="exact"/>
        <w:rPr>
          <w:sz w:val="20"/>
          <w:szCs w:val="20"/>
          <w:color w:val="auto"/>
        </w:rPr>
      </w:pPr>
    </w:p>
    <w:p>
      <w:pPr>
        <w:ind w:left="760" w:right="599"/>
        <w:spacing w:after="0" w:line="256" w:lineRule="auto"/>
        <w:rPr>
          <w:sz w:val="20"/>
          <w:szCs w:val="20"/>
          <w:color w:val="auto"/>
        </w:rPr>
      </w:pPr>
      <w:r>
        <w:rPr>
          <w:rFonts w:ascii="Arial" w:cs="Arial" w:eastAsia="Arial" w:hAnsi="Arial"/>
          <w:sz w:val="18"/>
          <w:szCs w:val="18"/>
          <w:color w:val="auto"/>
        </w:rPr>
        <w:t>Messrs. Fahs, Moore, Brandman and Beasley received grants of stock option awards, which we refer to as the “Pre-IPO Options” under the 2014 Stock Plan in 2014 (for Messrs. Fahs, Moore and Beasley) and 2017 (for Mr. Brandman).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28  </w:t>
      </w:r>
      <w:r>
        <w:rPr>
          <w:sz w:val="1"/>
          <w:szCs w:val="1"/>
          <w:color w:val="auto"/>
        </w:rPr>
        <w:drawing>
          <wp:inline distT="0" distB="0" distL="0" distR="0">
            <wp:extent cx="299720" cy="24003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ind w:left="760" w:right="219"/>
        <w:spacing w:after="0" w:line="250" w:lineRule="auto"/>
        <w:rPr>
          <w:sz w:val="20"/>
          <w:szCs w:val="20"/>
          <w:color w:val="auto"/>
        </w:rPr>
      </w:pPr>
      <w:r>
        <w:rPr>
          <w:rFonts w:ascii="Arial" w:cs="Arial" w:eastAsia="Arial" w:hAnsi="Arial"/>
          <w:sz w:val="18"/>
          <w:szCs w:val="18"/>
          <w:color w:val="auto"/>
        </w:rPr>
        <w:t>These Pre-IPO Options consisted of 40% time-based and 60% performance-based options. All of the performance-based Pre-IPO Options vested and are exercisable. Other than Mr. Brandman’s time-based Pre-IPO Options, all time-based Pre-IPO Options vested and are exercisable. The time-based Pre-IPO Options granted to</w:t>
      </w:r>
    </w:p>
    <w:p>
      <w:pPr>
        <w:spacing w:after="0" w:line="1" w:lineRule="exact"/>
        <w:rPr>
          <w:sz w:val="20"/>
          <w:szCs w:val="20"/>
          <w:color w:val="auto"/>
        </w:rPr>
      </w:pPr>
    </w:p>
    <w:p>
      <w:pPr>
        <w:ind w:left="760" w:right="499"/>
        <w:spacing w:after="0" w:line="256" w:lineRule="auto"/>
        <w:rPr>
          <w:sz w:val="20"/>
          <w:szCs w:val="20"/>
          <w:color w:val="auto"/>
        </w:rPr>
      </w:pPr>
      <w:r>
        <w:rPr>
          <w:rFonts w:ascii="Arial" w:cs="Arial" w:eastAsia="Arial" w:hAnsi="Arial"/>
          <w:sz w:val="18"/>
          <w:szCs w:val="18"/>
          <w:color w:val="auto"/>
        </w:rPr>
        <w:t>Mr. Brandman vest as to 20% of the shares subject to such option on each anniversary of grant. Accordingly, all shares subject to such time-based options that were awarded to Mr. Brandman in 2017 will be vested and exercisable as of August 14, 2022, the fifth anniversary of the grant date to Mr. Brandman.</w:t>
      </w:r>
    </w:p>
    <w:p>
      <w:pPr>
        <w:spacing w:after="0" w:line="94" w:lineRule="exact"/>
        <w:rPr>
          <w:sz w:val="20"/>
          <w:szCs w:val="20"/>
          <w:color w:val="auto"/>
        </w:rPr>
      </w:pPr>
    </w:p>
    <w:p>
      <w:pPr>
        <w:ind w:left="760" w:right="239"/>
        <w:spacing w:after="0" w:line="252" w:lineRule="auto"/>
        <w:rPr>
          <w:sz w:val="20"/>
          <w:szCs w:val="20"/>
          <w:color w:val="auto"/>
        </w:rPr>
      </w:pPr>
      <w:r>
        <w:rPr>
          <w:rFonts w:ascii="Arial" w:cs="Arial" w:eastAsia="Arial" w:hAnsi="Arial"/>
          <w:sz w:val="18"/>
          <w:szCs w:val="18"/>
          <w:color w:val="auto"/>
        </w:rPr>
        <w:t>On August 14, 2017, in connection with the start of his employment, our Board of Directors granted Mr. McAllister an option to purchase 362,317 shares of our common stock under our 2014 Stock Plan, with an exercise price of $15.74 per share (the “McAllister 2017 Options”), with such options consisting of 40% time-based and 60% performance-based options. On February 1, 2019, in connection with his transition from the Chief Operating Officer position to Special Advisor to the Board and pursuant to the McAllister Transition Agreement (as discussed in further detail below), the vesting terms of the remaining McAllister 2017 Options were modified as follows:</w:t>
      </w:r>
    </w:p>
    <w:p>
      <w:pPr>
        <w:spacing w:after="0" w:line="113" w:lineRule="exact"/>
        <w:rPr>
          <w:sz w:val="20"/>
          <w:szCs w:val="20"/>
          <w:color w:val="auto"/>
        </w:rPr>
      </w:pPr>
    </w:p>
    <w:p>
      <w:pPr>
        <w:ind w:left="1340" w:right="199" w:hanging="216"/>
        <w:spacing w:after="0" w:line="234" w:lineRule="auto"/>
        <w:tabs>
          <w:tab w:leader="none" w:pos="1340" w:val="left"/>
        </w:tabs>
        <w:numPr>
          <w:ilvl w:val="0"/>
          <w:numId w:val="27"/>
        </w:numPr>
        <w:rPr>
          <w:rFonts w:ascii="Arial" w:cs="Arial" w:eastAsia="Arial" w:hAnsi="Arial"/>
          <w:sz w:val="18"/>
          <w:szCs w:val="18"/>
          <w:color w:val="3C5896"/>
        </w:rPr>
      </w:pPr>
      <w:r>
        <w:rPr>
          <w:rFonts w:ascii="Arial" w:cs="Arial" w:eastAsia="Arial" w:hAnsi="Arial"/>
          <w:sz w:val="18"/>
          <w:szCs w:val="18"/>
          <w:color w:val="auto"/>
        </w:rPr>
        <w:t>The time-based options continue to vest as to 20% of the shares subject to such option on each anniversary of the grant date, except that, with respect to the 28,985 time-based options scheduled to vest on</w:t>
      </w:r>
    </w:p>
    <w:p>
      <w:pPr>
        <w:spacing w:after="0" w:line="1" w:lineRule="exact"/>
        <w:rPr>
          <w:rFonts w:ascii="Arial" w:cs="Arial" w:eastAsia="Arial" w:hAnsi="Arial"/>
          <w:sz w:val="18"/>
          <w:szCs w:val="18"/>
          <w:color w:val="3C5896"/>
        </w:rPr>
      </w:pPr>
    </w:p>
    <w:p>
      <w:pPr>
        <w:ind w:left="1340" w:right="219"/>
        <w:spacing w:after="0" w:line="246" w:lineRule="auto"/>
        <w:rPr>
          <w:rFonts w:ascii="Arial" w:cs="Arial" w:eastAsia="Arial" w:hAnsi="Arial"/>
          <w:sz w:val="18"/>
          <w:szCs w:val="18"/>
          <w:color w:val="3C5896"/>
        </w:rPr>
      </w:pPr>
      <w:r>
        <w:rPr>
          <w:rFonts w:ascii="Arial" w:cs="Arial" w:eastAsia="Arial" w:hAnsi="Arial"/>
          <w:sz w:val="18"/>
          <w:szCs w:val="18"/>
          <w:color w:val="auto"/>
        </w:rPr>
        <w:t>August 14, 2021, such options will instead vest on December 31, 2021, subject to Mr. McAllister’s continued employment with the Company through such date.</w:t>
      </w:r>
    </w:p>
    <w:p>
      <w:pPr>
        <w:spacing w:after="0" w:line="88" w:lineRule="exact"/>
        <w:rPr>
          <w:rFonts w:ascii="Arial" w:cs="Arial" w:eastAsia="Arial" w:hAnsi="Arial"/>
          <w:sz w:val="18"/>
          <w:szCs w:val="18"/>
          <w:color w:val="3C5896"/>
        </w:rPr>
      </w:pPr>
    </w:p>
    <w:p>
      <w:pPr>
        <w:ind w:left="1340" w:right="619" w:hanging="216"/>
        <w:spacing w:after="0" w:line="246" w:lineRule="auto"/>
        <w:tabs>
          <w:tab w:leader="none" w:pos="1340" w:val="left"/>
        </w:tabs>
        <w:numPr>
          <w:ilvl w:val="0"/>
          <w:numId w:val="27"/>
        </w:numPr>
        <w:rPr>
          <w:rFonts w:ascii="Arial" w:cs="Arial" w:eastAsia="Arial" w:hAnsi="Arial"/>
          <w:sz w:val="18"/>
          <w:szCs w:val="18"/>
          <w:color w:val="3C5896"/>
        </w:rPr>
      </w:pPr>
      <w:r>
        <w:rPr>
          <w:rFonts w:ascii="Arial" w:cs="Arial" w:eastAsia="Arial" w:hAnsi="Arial"/>
          <w:sz w:val="18"/>
          <w:szCs w:val="18"/>
          <w:color w:val="auto"/>
        </w:rPr>
        <w:t>The first tranche of 43,478 performance-based options scheduled to vest based on actual performance through December 31, 2018, vested as of such date based on actual performance.</w:t>
      </w:r>
    </w:p>
    <w:p>
      <w:pPr>
        <w:spacing w:after="0" w:line="88" w:lineRule="exact"/>
        <w:rPr>
          <w:rFonts w:ascii="Arial" w:cs="Arial" w:eastAsia="Arial" w:hAnsi="Arial"/>
          <w:sz w:val="18"/>
          <w:szCs w:val="18"/>
          <w:color w:val="3C5896"/>
        </w:rPr>
      </w:pPr>
    </w:p>
    <w:p>
      <w:pPr>
        <w:ind w:left="1340" w:right="179" w:hanging="216"/>
        <w:spacing w:after="0" w:line="234" w:lineRule="auto"/>
        <w:tabs>
          <w:tab w:leader="none" w:pos="1340" w:val="left"/>
        </w:tabs>
        <w:numPr>
          <w:ilvl w:val="0"/>
          <w:numId w:val="27"/>
        </w:numPr>
        <w:rPr>
          <w:rFonts w:ascii="Arial" w:cs="Arial" w:eastAsia="Arial" w:hAnsi="Arial"/>
          <w:sz w:val="18"/>
          <w:szCs w:val="18"/>
          <w:color w:val="3C5896"/>
        </w:rPr>
      </w:pPr>
      <w:r>
        <w:rPr>
          <w:rFonts w:ascii="Arial" w:cs="Arial" w:eastAsia="Arial" w:hAnsi="Arial"/>
          <w:sz w:val="18"/>
          <w:szCs w:val="18"/>
          <w:color w:val="auto"/>
        </w:rPr>
        <w:t>With respect to the two remaining tranches of 43,478 performance-based options, the first tranche vested on December 31, 2019 and the second scheduled tranche will vest on December 31, 2020, but subject to</w:t>
      </w:r>
    </w:p>
    <w:p>
      <w:pPr>
        <w:spacing w:after="0" w:line="1" w:lineRule="exact"/>
        <w:rPr>
          <w:rFonts w:ascii="Arial" w:cs="Arial" w:eastAsia="Arial" w:hAnsi="Arial"/>
          <w:sz w:val="18"/>
          <w:szCs w:val="18"/>
          <w:color w:val="3C5896"/>
        </w:rPr>
      </w:pPr>
    </w:p>
    <w:p>
      <w:pPr>
        <w:ind w:left="1340"/>
        <w:spacing w:after="0"/>
        <w:rPr>
          <w:rFonts w:ascii="Arial" w:cs="Arial" w:eastAsia="Arial" w:hAnsi="Arial"/>
          <w:sz w:val="18"/>
          <w:szCs w:val="18"/>
          <w:color w:val="3C5896"/>
        </w:rPr>
      </w:pPr>
      <w:r>
        <w:rPr>
          <w:rFonts w:ascii="Arial" w:cs="Arial" w:eastAsia="Arial" w:hAnsi="Arial"/>
          <w:sz w:val="18"/>
          <w:szCs w:val="18"/>
          <w:color w:val="auto"/>
        </w:rPr>
        <w:t>Mr. McAllister’s continued employment with the Company through such date.</w:t>
      </w:r>
    </w:p>
    <w:p>
      <w:pPr>
        <w:spacing w:after="0" w:line="104" w:lineRule="exact"/>
        <w:rPr>
          <w:sz w:val="20"/>
          <w:szCs w:val="20"/>
          <w:color w:val="auto"/>
        </w:rPr>
      </w:pPr>
    </w:p>
    <w:p>
      <w:pPr>
        <w:ind w:left="760" w:right="299"/>
        <w:spacing w:after="0" w:line="253" w:lineRule="auto"/>
        <w:rPr>
          <w:sz w:val="20"/>
          <w:szCs w:val="20"/>
          <w:color w:val="auto"/>
        </w:rPr>
      </w:pPr>
      <w:r>
        <w:rPr>
          <w:rFonts w:ascii="Arial" w:cs="Arial" w:eastAsia="Arial" w:hAnsi="Arial"/>
          <w:sz w:val="18"/>
          <w:szCs w:val="18"/>
          <w:color w:val="auto"/>
        </w:rPr>
        <w:t>In the event that Mr. McAllister terminates his employment prior to December 31, 2020 for any reason (other than when grounds for “cause” exist), the McAllister 2017 Options will continue to vest as if no such termination of employment had taken place (subject only to Mr. McAllister’s continued compliance with the restrictive covenant agreement, as defined in the McAllister Transition Agreement). The time-based and performance-based McAllister 2017 Options fully vest upon a change in control.</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IPO-Related Options</w:t>
      </w:r>
    </w:p>
    <w:p>
      <w:pPr>
        <w:spacing w:after="0" w:line="135" w:lineRule="exact"/>
        <w:rPr>
          <w:sz w:val="20"/>
          <w:szCs w:val="20"/>
          <w:color w:val="auto"/>
        </w:rPr>
      </w:pPr>
    </w:p>
    <w:p>
      <w:pPr>
        <w:ind w:left="760" w:right="259"/>
        <w:spacing w:after="0" w:line="253" w:lineRule="auto"/>
        <w:rPr>
          <w:sz w:val="20"/>
          <w:szCs w:val="20"/>
          <w:color w:val="auto"/>
        </w:rPr>
      </w:pPr>
      <w:r>
        <w:rPr>
          <w:rFonts w:ascii="Arial" w:cs="Arial" w:eastAsia="Arial" w:hAnsi="Arial"/>
          <w:sz w:val="18"/>
          <w:szCs w:val="18"/>
          <w:color w:val="auto"/>
        </w:rPr>
        <w:t>In connection with our IPO, on October 25, 2017, our Board of Directors granted Mr. Moore a time-based stock option award to purchase 92,443 shares of our common stock under our 2017 Omnibus Plan, with an exercise price of $22.00 per share (the “Moore 2017 Options”). The Moore 2017 Options vest in three substantially equal installments on each of the first, second and third anniversaries of the grant date, subject to continued employment through the applicable vesting date.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Management Stockholder’s Agreement</w:t>
      </w:r>
    </w:p>
    <w:p>
      <w:pPr>
        <w:spacing w:after="0" w:line="135" w:lineRule="exact"/>
        <w:rPr>
          <w:sz w:val="20"/>
          <w:szCs w:val="20"/>
          <w:color w:val="auto"/>
        </w:rPr>
      </w:pPr>
    </w:p>
    <w:p>
      <w:pPr>
        <w:ind w:left="760" w:right="359"/>
        <w:spacing w:after="0" w:line="252" w:lineRule="auto"/>
        <w:rPr>
          <w:sz w:val="20"/>
          <w:szCs w:val="20"/>
          <w:color w:val="auto"/>
        </w:rPr>
      </w:pPr>
      <w:r>
        <w:rPr>
          <w:rFonts w:ascii="Arial" w:cs="Arial" w:eastAsia="Arial" w:hAnsi="Arial"/>
          <w:sz w:val="18"/>
          <w:szCs w:val="18"/>
          <w:color w:val="auto"/>
        </w:rPr>
        <w:t>Each of our NEOs, other than Mr. Clark and Ms. Rasmussen, is party to a Management Stockholder’s Agreement with the Company. The Management Stockholder’s Agreement, along with an applicable option agreement, generally govern each such NEO’s rights with respect to shares of common stock of the Company held by such NEO prior to our IPO, including such NEO’s stock option awards and contain certain rights and obligations of the parties thereto. The Pre-IPO Options are subject to certain put and call rights pursuant to the Management Stockholder’s Agreement.</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39" w:lineRule="exact"/>
        <w:rPr>
          <w:sz w:val="20"/>
          <w:szCs w:val="20"/>
          <w:color w:val="auto"/>
        </w:rPr>
      </w:pPr>
    </w:p>
    <w:p>
      <w:pPr>
        <w:ind w:left="760" w:right="539"/>
        <w:spacing w:after="0" w:line="252" w:lineRule="auto"/>
        <w:rPr>
          <w:sz w:val="20"/>
          <w:szCs w:val="20"/>
          <w:color w:val="auto"/>
        </w:rPr>
      </w:pPr>
      <w:r>
        <w:rPr>
          <w:rFonts w:ascii="Arial" w:cs="Arial" w:eastAsia="Arial" w:hAnsi="Arial"/>
          <w:sz w:val="18"/>
          <w:szCs w:val="18"/>
          <w:color w:val="auto"/>
        </w:rPr>
        <w:t>In addition, our NEOs have agreed to specified restrictive covenants, including confidentiality and non-disparagement covenants and covenants related to non-competition and non-solicitation of our employees, consultants and independent contractors at all times during the NEO’s employment, and for specific periods following the termination of employment for any reason. The post-employment restricted time periods are as follows: Mr. Fahs for twenty four months after termination; Messrs. Moore, Brandman and McAllister for eighteen months after termination; and Messrs. Clark and Beasley and Ms. Rasmussen for twelve months after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39" w:lineRule="exact"/>
        <w:rPr>
          <w:sz w:val="20"/>
          <w:szCs w:val="20"/>
          <w:color w:val="auto"/>
        </w:rPr>
      </w:pPr>
    </w:p>
    <w:p>
      <w:pPr>
        <w:ind w:left="760" w:right="299"/>
        <w:spacing w:after="0" w:line="255" w:lineRule="auto"/>
        <w:rPr>
          <w:sz w:val="20"/>
          <w:szCs w:val="20"/>
          <w:color w:val="auto"/>
        </w:rPr>
      </w:pPr>
      <w:r>
        <w:rPr>
          <w:rFonts w:ascii="Arial" w:cs="Arial" w:eastAsia="Arial" w:hAnsi="Arial"/>
          <w:sz w:val="17"/>
          <w:szCs w:val="17"/>
          <w:color w:val="auto"/>
        </w:rPr>
        <w:t>The benefits and perquisites provided to our NEOs are not a material part of executive compensation and are largely limited to those offered to our employees generally, or that we have otherwise determined are necessary or appropriate to attract and retain talented executives. Our NEOs are eligible for specified benefits, such as group health, dental, disability and life insurance. These benefits are intended to provide competitive and adequate protection in case of sickness and the NEOs participate in these plans on the same basis as all other employees.</w:t>
      </w:r>
    </w:p>
    <w:p>
      <w:pPr>
        <w:spacing w:after="0" w:line="82" w:lineRule="exact"/>
        <w:rPr>
          <w:sz w:val="20"/>
          <w:szCs w:val="20"/>
          <w:color w:val="auto"/>
        </w:rPr>
      </w:pPr>
    </w:p>
    <w:p>
      <w:pPr>
        <w:ind w:left="760" w:right="279"/>
        <w:spacing w:after="0" w:line="236" w:lineRule="auto"/>
        <w:rPr>
          <w:sz w:val="20"/>
          <w:szCs w:val="20"/>
          <w:color w:val="auto"/>
        </w:rPr>
      </w:pPr>
      <w:r>
        <w:rPr>
          <w:rFonts w:ascii="Arial" w:cs="Arial" w:eastAsia="Arial" w:hAnsi="Arial"/>
          <w:sz w:val="18"/>
          <w:szCs w:val="18"/>
          <w:color w:val="auto"/>
        </w:rPr>
        <w:t>We provide specified perquisites to our NEOs when appropriate, including relocation as required. We also provide our executives, including our NEOs, with additional basic life insurance coverage and supplemental long-term disability and accidental death insurance. In addition, we provide our CEO with tax accounting services and a Young Presidents’ Organization (“YPO”) membership. These perquisites are intended to enable us to attract and retain highly qualified employees for key positions and the compensation committee considers them to be reasonable and consistent with our overall compensation program. The value of these perquisites and other personal benefits are reflected in the “All Other Compensation” column to the “Summary Compensation Table” and the accompanying footnotes below.</w:t>
      </w:r>
    </w:p>
    <w:p>
      <w:pPr>
        <w:spacing w:after="0" w:line="82" w:lineRule="exact"/>
        <w:rPr>
          <w:sz w:val="20"/>
          <w:szCs w:val="20"/>
          <w:color w:val="auto"/>
        </w:rPr>
      </w:pPr>
    </w:p>
    <w:p>
      <w:pPr>
        <w:ind w:left="760" w:right="199"/>
        <w:spacing w:after="0" w:line="242" w:lineRule="auto"/>
        <w:rPr>
          <w:sz w:val="20"/>
          <w:szCs w:val="20"/>
          <w:color w:val="auto"/>
        </w:rPr>
      </w:pPr>
      <w:r>
        <w:rPr>
          <w:rFonts w:ascii="Arial" w:cs="Arial" w:eastAsia="Arial" w:hAnsi="Arial"/>
          <w:sz w:val="18"/>
          <w:szCs w:val="18"/>
          <w:i w:val="1"/>
          <w:iCs w:val="1"/>
          <w:color w:val="auto"/>
        </w:rPr>
        <w:t>401(k) Savings Plan</w:t>
      </w:r>
      <w:r>
        <w:rPr>
          <w:rFonts w:ascii="Arial" w:cs="Arial" w:eastAsia="Arial" w:hAnsi="Arial"/>
          <w:sz w:val="18"/>
          <w:szCs w:val="18"/>
          <w:color w:val="auto"/>
        </w:rPr>
        <w:t>. Our eligible U.S. employees, including our NEOs, participate in the National Vision, Inc.</w:t>
      </w:r>
      <w:r>
        <w:rPr>
          <w:rFonts w:ascii="Arial" w:cs="Arial" w:eastAsia="Arial" w:hAnsi="Arial"/>
          <w:sz w:val="18"/>
          <w:szCs w:val="18"/>
          <w:i w:val="1"/>
          <w:iCs w:val="1"/>
          <w:color w:val="auto"/>
        </w:rPr>
        <w:t xml:space="preserve"> </w:t>
      </w:r>
      <w:r>
        <w:rPr>
          <w:rFonts w:ascii="Arial" w:cs="Arial" w:eastAsia="Arial" w:hAnsi="Arial"/>
          <w:sz w:val="18"/>
          <w:szCs w:val="18"/>
          <w:color w:val="auto"/>
        </w:rPr>
        <w:t>401(k) Retirement Savings Plan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77" w:lineRule="exact"/>
        <w:rPr>
          <w:sz w:val="20"/>
          <w:szCs w:val="20"/>
          <w:color w:val="auto"/>
        </w:rPr>
      </w:pPr>
    </w:p>
    <w:p>
      <w:pPr>
        <w:jc w:val="both"/>
        <w:ind w:left="760" w:right="259"/>
        <w:spacing w:after="0" w:line="250" w:lineRule="auto"/>
        <w:rPr>
          <w:sz w:val="20"/>
          <w:szCs w:val="20"/>
          <w:color w:val="auto"/>
        </w:rPr>
      </w:pPr>
      <w:r>
        <w:rPr>
          <w:rFonts w:ascii="Arial" w:cs="Arial" w:eastAsia="Arial" w:hAnsi="Arial"/>
          <w:sz w:val="18"/>
          <w:szCs w:val="18"/>
          <w:i w:val="1"/>
          <w:iCs w:val="1"/>
          <w:color w:val="auto"/>
        </w:rPr>
        <w:t>Associate Stock Purchase Plan</w:t>
      </w:r>
      <w:r>
        <w:rPr>
          <w:rFonts w:ascii="Arial" w:cs="Arial" w:eastAsia="Arial" w:hAnsi="Arial"/>
          <w:sz w:val="18"/>
          <w:szCs w:val="18"/>
          <w:color w:val="auto"/>
        </w:rPr>
        <w:t>. We have maintained an Associate Stock Purchase Plan (the “ASPP”) since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ASPP provides all our eligible U.S. employees, including our NEOs, the opportunity to purchase up to $25,000 in our common stock annually at a 10% discount to the market price of our stock.</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39" w:lineRule="exact"/>
        <w:rPr>
          <w:sz w:val="20"/>
          <w:szCs w:val="20"/>
          <w:color w:val="auto"/>
        </w:rPr>
      </w:pPr>
    </w:p>
    <w:p>
      <w:pPr>
        <w:ind w:left="760" w:right="199"/>
        <w:spacing w:after="0" w:line="236" w:lineRule="auto"/>
        <w:rPr>
          <w:sz w:val="20"/>
          <w:szCs w:val="20"/>
          <w:color w:val="auto"/>
        </w:rPr>
      </w:pPr>
      <w:r>
        <w:rPr>
          <w:rFonts w:ascii="Arial" w:cs="Arial" w:eastAsia="Arial" w:hAnsi="Arial"/>
          <w:sz w:val="18"/>
          <w:szCs w:val="18"/>
          <w:color w:val="auto"/>
        </w:rPr>
        <w:t>The Company provides severance benefits to its executives in order to offer competitive total compensation packages and to be competitive in the Company’s executive attraction and retention efforts. On December 11, 2018, the Board of Directors adopted and approved the National Vision Holdings, Inc. Executive Severance Plan (the “Executive Severance Plan”), which replaced our prior severance plan for eligible employees in the Executive Severance Plan (as well as any supplements to that plan in which our NEOs were previously eligible to participate). The Executive Severance Plan provides for severance payments and benefits to eligible executives, including our NEOs, upon a termination of employment by the Company without cause or by the executive for good reason (each as defined in the Executive Severance Plan), in each case, subject to the (i) executive’s execution and non-revocation of a release of claims in favor of the Company and (ii) continued compliance with the executive’s confidentiality, non-interference and invention assignment obligations to the Company. See “Potential Payments upon Termination or Change in Control,” which describes the payments to which each of the NEOs may be entitled under the Executive Severance Plan.</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McAllister Transition Agreement</w:t>
      </w:r>
    </w:p>
    <w:p>
      <w:pPr>
        <w:spacing w:after="0" w:line="135" w:lineRule="exact"/>
        <w:rPr>
          <w:sz w:val="20"/>
          <w:szCs w:val="20"/>
          <w:color w:val="auto"/>
        </w:rPr>
      </w:pPr>
    </w:p>
    <w:p>
      <w:pPr>
        <w:ind w:left="760" w:right="199"/>
        <w:spacing w:after="0" w:line="234" w:lineRule="auto"/>
        <w:rPr>
          <w:sz w:val="20"/>
          <w:szCs w:val="20"/>
          <w:color w:val="auto"/>
        </w:rPr>
      </w:pPr>
      <w:r>
        <w:rPr>
          <w:rFonts w:ascii="Arial" w:cs="Arial" w:eastAsia="Arial" w:hAnsi="Arial"/>
          <w:sz w:val="18"/>
          <w:szCs w:val="18"/>
          <w:color w:val="auto"/>
        </w:rPr>
        <w:t>Mr. McAllister transitioned from his position as Chief Operating Officer of the Company to Special Advisor to the Board of Directors, effective January 10, 2019. In connection with his transition, the Company and Mr. McAllister entered into a Transition Agreement, dated February 1, 2019 (the “McAllister Transition Agreement”), pursuant to which Mr. McAllister will serve as a Special Advisor to the Company’s Board through December 31, 2020. Under the McAllister Transition Agreement, (i) Mr. McAllister will receive a base salary of $591,000 for 2019 and $606,000 for 2020, (ii) his other compensation and benefits will remain the same as in effect immediately prior to the role change, providing that his annual STIP award for 2019 and 2020 will be no lower than the target STIP amount,</w:t>
      </w:r>
    </w:p>
    <w:p>
      <w:pPr>
        <w:spacing w:after="0" w:line="5" w:lineRule="exact"/>
        <w:rPr>
          <w:sz w:val="20"/>
          <w:szCs w:val="20"/>
          <w:color w:val="auto"/>
        </w:rPr>
      </w:pPr>
    </w:p>
    <w:p>
      <w:pPr>
        <w:ind w:left="760" w:right="319" w:firstLine="4"/>
        <w:spacing w:after="0" w:line="234" w:lineRule="auto"/>
        <w:tabs>
          <w:tab w:leader="none" w:pos="10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his outstanding stock option awards will continue to vest in ordinary course, provided that performance-vesting stock options scheduled to vest based on performance in 2019 or 2020 will vest at the end of the applicable performance period based solely upon continued employment through such date, and (iv) in the event</w:t>
      </w:r>
    </w:p>
    <w:p>
      <w:pPr>
        <w:spacing w:after="0" w:line="2" w:lineRule="exact"/>
        <w:rPr>
          <w:rFonts w:ascii="Arial" w:cs="Arial" w:eastAsia="Arial" w:hAnsi="Arial"/>
          <w:sz w:val="18"/>
          <w:szCs w:val="18"/>
          <w:color w:val="auto"/>
        </w:rPr>
      </w:pPr>
    </w:p>
    <w:p>
      <w:pPr>
        <w:ind w:left="760" w:right="339"/>
        <w:spacing w:after="0"/>
        <w:rPr>
          <w:rFonts w:ascii="Arial" w:cs="Arial" w:eastAsia="Arial" w:hAnsi="Arial"/>
          <w:sz w:val="18"/>
          <w:szCs w:val="18"/>
          <w:color w:val="auto"/>
        </w:rPr>
      </w:pPr>
      <w:r>
        <w:rPr>
          <w:rFonts w:ascii="Arial" w:cs="Arial" w:eastAsia="Arial" w:hAnsi="Arial"/>
          <w:sz w:val="18"/>
          <w:szCs w:val="18"/>
          <w:color w:val="auto"/>
        </w:rPr>
        <w:t>Mr. McAllister resigns prior to the expiration of his employment term as a Special Advisor, provided he is not in violation of his restrictive covenant agreement, he will continue to receive his base salary, annual STIP award and continued vesting of his outstanding stock options as if no such termination of employment had taken place.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Beasley Separation Agreement</w:t>
      </w:r>
    </w:p>
    <w:p>
      <w:pPr>
        <w:spacing w:after="0" w:line="135" w:lineRule="exact"/>
        <w:rPr>
          <w:sz w:val="20"/>
          <w:szCs w:val="20"/>
          <w:color w:val="auto"/>
        </w:rPr>
      </w:pPr>
    </w:p>
    <w:p>
      <w:pPr>
        <w:ind w:left="760" w:right="319"/>
        <w:spacing w:after="0"/>
        <w:rPr>
          <w:sz w:val="20"/>
          <w:szCs w:val="20"/>
          <w:color w:val="auto"/>
        </w:rPr>
      </w:pPr>
      <w:r>
        <w:rPr>
          <w:rFonts w:ascii="Arial" w:cs="Arial" w:eastAsia="Arial" w:hAnsi="Arial"/>
          <w:sz w:val="18"/>
          <w:szCs w:val="18"/>
          <w:color w:val="auto"/>
        </w:rPr>
        <w:t>Mr. Beasley terminated his position as Senior Vice President, Accounting and Controller of the Company, effective September 4, 2019. In connection with Mr. Beasley’s separation, the Company and Mr. Beasley entered into a Separation</w:t>
      </w:r>
    </w:p>
    <w:p>
      <w:pPr>
        <w:spacing w:after="0" w:line="30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30  </w:t>
      </w:r>
      <w:r>
        <w:rPr>
          <w:sz w:val="1"/>
          <w:szCs w:val="1"/>
          <w:color w:val="auto"/>
        </w:rPr>
        <w:drawing>
          <wp:inline distT="0" distB="0" distL="0" distR="0">
            <wp:extent cx="299720" cy="24003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8065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ind w:left="760" w:right="479"/>
        <w:spacing w:after="0" w:line="253" w:lineRule="auto"/>
        <w:rPr>
          <w:sz w:val="20"/>
          <w:szCs w:val="20"/>
          <w:color w:val="auto"/>
        </w:rPr>
      </w:pPr>
      <w:r>
        <w:rPr>
          <w:rFonts w:ascii="Arial" w:cs="Arial" w:eastAsia="Arial" w:hAnsi="Arial"/>
          <w:sz w:val="18"/>
          <w:szCs w:val="18"/>
          <w:color w:val="auto"/>
        </w:rPr>
        <w:t>Agreement and General Release, dated July 18, 2019 (the “Beasley Separation Agreement”), pursuant to which Mr. Beasley agreed to a customary release and restrictive covenants and received payments consistent with the Executive Severance Plan and as described below under “Potential Payments upon Termination or Change in Control—Separation and Transition Agreements.” The value of these payments is reflected in the “All Other Compensation” column to the “Summary Compensation Table” and the accompanying footnotes below.</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Stock Ownership Guidelines</w:t>
      </w:r>
    </w:p>
    <w:p>
      <w:pPr>
        <w:spacing w:after="0" w:line="139" w:lineRule="exact"/>
        <w:rPr>
          <w:sz w:val="20"/>
          <w:szCs w:val="20"/>
          <w:color w:val="auto"/>
        </w:rPr>
      </w:pPr>
    </w:p>
    <w:p>
      <w:pPr>
        <w:ind w:left="760" w:right="199"/>
        <w:spacing w:after="0" w:line="253" w:lineRule="auto"/>
        <w:rPr>
          <w:sz w:val="20"/>
          <w:szCs w:val="20"/>
          <w:color w:val="auto"/>
        </w:rPr>
      </w:pPr>
      <w:r>
        <w:rPr>
          <w:rFonts w:ascii="Arial" w:cs="Arial" w:eastAsia="Arial" w:hAnsi="Arial"/>
          <w:sz w:val="18"/>
          <w:szCs w:val="18"/>
          <w:color w:val="auto"/>
        </w:rPr>
        <w:t>As noted earlier in this proxy statement, in February 2019, the Board of Directors adopted stock ownership guidelines (the “Guidelines”) applicable to our executive officers and directors who are not members of management and who are not affiliated with KKR and Berkshire. These Guidelines align the interests of our management and directors with those of our stockholders. Such executive officers will be required to hold a specific level of equity ownership, as a multiple of annual base salary or annual cash retainer, as applicable, as follows:</w:t>
      </w:r>
    </w:p>
    <w:p>
      <w:pPr>
        <w:spacing w:after="0" w:line="111" w:lineRule="exact"/>
        <w:rPr>
          <w:sz w:val="20"/>
          <w:szCs w:val="20"/>
          <w:color w:val="auto"/>
        </w:rPr>
      </w:pPr>
    </w:p>
    <w:p>
      <w:pPr>
        <w:ind w:left="1120" w:hanging="212"/>
        <w:spacing w:after="0"/>
        <w:tabs>
          <w:tab w:leader="none" w:pos="1120" w:val="left"/>
        </w:tabs>
        <w:numPr>
          <w:ilvl w:val="0"/>
          <w:numId w:val="29"/>
        </w:numPr>
        <w:rPr>
          <w:rFonts w:ascii="Arial" w:cs="Arial" w:eastAsia="Arial" w:hAnsi="Arial"/>
          <w:sz w:val="18"/>
          <w:szCs w:val="18"/>
          <w:color w:val="3C5896"/>
        </w:rPr>
      </w:pPr>
      <w:r>
        <w:rPr>
          <w:rFonts w:ascii="Arial" w:cs="Arial" w:eastAsia="Arial" w:hAnsi="Arial"/>
          <w:sz w:val="18"/>
          <w:szCs w:val="18"/>
          <w:color w:val="auto"/>
        </w:rPr>
        <w:t>Chief Executive Officer: 6x annual base salary.</w:t>
      </w:r>
    </w:p>
    <w:p>
      <w:pPr>
        <w:spacing w:after="0" w:line="103" w:lineRule="exact"/>
        <w:rPr>
          <w:rFonts w:ascii="Arial" w:cs="Arial" w:eastAsia="Arial" w:hAnsi="Arial"/>
          <w:sz w:val="18"/>
          <w:szCs w:val="18"/>
          <w:color w:val="3C5896"/>
        </w:rPr>
      </w:pPr>
    </w:p>
    <w:p>
      <w:pPr>
        <w:ind w:left="1120" w:hanging="212"/>
        <w:spacing w:after="0"/>
        <w:tabs>
          <w:tab w:leader="none" w:pos="1120" w:val="left"/>
        </w:tabs>
        <w:numPr>
          <w:ilvl w:val="0"/>
          <w:numId w:val="29"/>
        </w:numPr>
        <w:rPr>
          <w:rFonts w:ascii="Arial" w:cs="Arial" w:eastAsia="Arial" w:hAnsi="Arial"/>
          <w:sz w:val="18"/>
          <w:szCs w:val="18"/>
          <w:color w:val="3C5896"/>
        </w:rPr>
      </w:pPr>
      <w:r>
        <w:rPr>
          <w:rFonts w:ascii="Arial" w:cs="Arial" w:eastAsia="Arial" w:hAnsi="Arial"/>
          <w:sz w:val="18"/>
          <w:szCs w:val="18"/>
          <w:color w:val="auto"/>
        </w:rPr>
        <w:t>Other Executive Officers: 3x annual base salary.</w:t>
      </w:r>
    </w:p>
    <w:p>
      <w:pPr>
        <w:spacing w:after="0" w:line="104" w:lineRule="exact"/>
        <w:rPr>
          <w:sz w:val="20"/>
          <w:szCs w:val="20"/>
          <w:color w:val="auto"/>
        </w:rPr>
      </w:pPr>
    </w:p>
    <w:p>
      <w:pPr>
        <w:ind w:left="760" w:right="239"/>
        <w:spacing w:after="0" w:line="256" w:lineRule="auto"/>
        <w:rPr>
          <w:sz w:val="20"/>
          <w:szCs w:val="20"/>
          <w:color w:val="auto"/>
        </w:rPr>
      </w:pPr>
      <w:r>
        <w:rPr>
          <w:rFonts w:ascii="Arial" w:cs="Arial" w:eastAsia="Arial" w:hAnsi="Arial"/>
          <w:sz w:val="18"/>
          <w:szCs w:val="18"/>
          <w:color w:val="auto"/>
        </w:rPr>
        <w:t>There is no required time period within which an executive officer must attain the applicable stock ownership level under the Guidelines. However, until the applicable ownership level is achieved, executive officers must retain 50% of vested shares net of stock option exercise and tax withholding.</w:t>
      </w:r>
    </w:p>
    <w:p>
      <w:pPr>
        <w:spacing w:after="0" w:line="107" w:lineRule="exact"/>
        <w:rPr>
          <w:sz w:val="20"/>
          <w:szCs w:val="20"/>
          <w:color w:val="auto"/>
        </w:rPr>
      </w:pPr>
    </w:p>
    <w:p>
      <w:pPr>
        <w:ind w:left="1120" w:right="219" w:hanging="212"/>
        <w:spacing w:after="0" w:line="238" w:lineRule="auto"/>
        <w:tabs>
          <w:tab w:leader="none" w:pos="1120" w:val="left"/>
        </w:tabs>
        <w:numPr>
          <w:ilvl w:val="0"/>
          <w:numId w:val="30"/>
        </w:numPr>
        <w:rPr>
          <w:rFonts w:ascii="Arial" w:cs="Arial" w:eastAsia="Arial" w:hAnsi="Arial"/>
          <w:sz w:val="18"/>
          <w:szCs w:val="18"/>
          <w:color w:val="3C5896"/>
        </w:rPr>
      </w:pPr>
      <w:r>
        <w:rPr>
          <w:rFonts w:ascii="Arial" w:cs="Arial" w:eastAsia="Arial" w:hAnsi="Arial"/>
          <w:sz w:val="18"/>
          <w:szCs w:val="18"/>
          <w:color w:val="auto"/>
        </w:rPr>
        <w:t>Shares that count toward these ownership guidelines include shares owned outright, shares held in the Company’s 401(k) or other retirement plan, shares of time-based restricted stock (whether vested or unvested) and vested stock options issued prior to the Company’s IPO. The retention requirement applies to all prior and future grants.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Hedging and Pledging Policies</w:t>
      </w:r>
    </w:p>
    <w:p>
      <w:pPr>
        <w:spacing w:after="0" w:line="139" w:lineRule="exact"/>
        <w:rPr>
          <w:sz w:val="20"/>
          <w:szCs w:val="20"/>
          <w:color w:val="auto"/>
        </w:rPr>
      </w:pPr>
    </w:p>
    <w:p>
      <w:pPr>
        <w:ind w:left="760" w:right="299"/>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Our NEOs are subject to our hedging and pledging policies as outlined in the Company’s Securities Trading Policy described on page </w:t>
      </w:r>
      <w:hyperlink w:anchor="page17">
        <w:r>
          <w:rPr>
            <w:rFonts w:ascii="Arial" w:cs="Arial" w:eastAsia="Arial" w:hAnsi="Arial"/>
            <w:sz w:val="18"/>
            <w:szCs w:val="18"/>
            <w:u w:val="single" w:color="auto"/>
            <w:color w:val="0000EE"/>
          </w:rPr>
          <w:t>14</w:t>
        </w:r>
      </w:hyperlink>
      <w:r>
        <w:rPr>
          <w:rFonts w:ascii="Arial" w:cs="Arial" w:eastAsia="Arial" w:hAnsi="Arial"/>
          <w:sz w:val="18"/>
          <w:szCs w:val="18"/>
          <w:color w:val="auto"/>
        </w:rPr>
        <w: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Risk Assessment</w:t>
      </w:r>
    </w:p>
    <w:p>
      <w:pPr>
        <w:spacing w:after="0" w:line="139" w:lineRule="exact"/>
        <w:rPr>
          <w:sz w:val="20"/>
          <w:szCs w:val="20"/>
          <w:color w:val="auto"/>
        </w:rPr>
      </w:pPr>
    </w:p>
    <w:p>
      <w:pPr>
        <w:ind w:left="760" w:right="259"/>
        <w:spacing w:after="0" w:line="254" w:lineRule="auto"/>
        <w:rPr>
          <w:sz w:val="20"/>
          <w:szCs w:val="20"/>
          <w:color w:val="auto"/>
        </w:rPr>
      </w:pPr>
      <w:r>
        <w:rPr>
          <w:rFonts w:ascii="Arial" w:cs="Arial" w:eastAsia="Arial" w:hAnsi="Arial"/>
          <w:sz w:val="18"/>
          <w:szCs w:val="18"/>
          <w:color w:val="auto"/>
        </w:rPr>
        <w:t>The compensation committee, with the assistance of Meridian, reviewed our incentive programs to assess whether the program encourages undue risks and confirmed that our executives are not incented to focus on short-term stock performance or take excessive risk in managing the business that are reasonably likely to have a material adverse effect on the Company.</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Tax and Accounting Considerations</w:t>
      </w:r>
    </w:p>
    <w:p>
      <w:pPr>
        <w:spacing w:after="0" w:line="139" w:lineRule="exact"/>
        <w:rPr>
          <w:sz w:val="20"/>
          <w:szCs w:val="20"/>
          <w:color w:val="auto"/>
        </w:rPr>
      </w:pPr>
    </w:p>
    <w:p>
      <w:pPr>
        <w:ind w:left="760" w:right="279"/>
        <w:spacing w:after="0" w:line="254" w:lineRule="auto"/>
        <w:rPr>
          <w:sz w:val="20"/>
          <w:szCs w:val="20"/>
          <w:color w:val="auto"/>
        </w:rPr>
      </w:pPr>
      <w:r>
        <w:rPr>
          <w:rFonts w:ascii="Arial" w:cs="Arial" w:eastAsia="Arial" w:hAnsi="Arial"/>
          <w:sz w:val="18"/>
          <w:szCs w:val="18"/>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program intent.</w:t>
      </w:r>
    </w:p>
    <w:p>
      <w:pPr>
        <w:spacing w:after="0" w:line="96" w:lineRule="exact"/>
        <w:rPr>
          <w:sz w:val="20"/>
          <w:szCs w:val="20"/>
          <w:color w:val="auto"/>
        </w:rPr>
      </w:pPr>
    </w:p>
    <w:p>
      <w:pPr>
        <w:ind w:left="760" w:right="219"/>
        <w:spacing w:after="0" w:line="253" w:lineRule="auto"/>
        <w:rPr>
          <w:sz w:val="20"/>
          <w:szCs w:val="20"/>
          <w:color w:val="auto"/>
        </w:rPr>
      </w:pPr>
      <w:r>
        <w:rPr>
          <w:rFonts w:ascii="Arial" w:cs="Arial" w:eastAsia="Arial" w:hAnsi="Arial"/>
          <w:sz w:val="18"/>
          <w:szCs w:val="18"/>
          <w:color w:val="auto"/>
        </w:rPr>
        <w:t>Section 162(m) of the Internal Revenue Code of 1986, as amended (the “Code”) generally disallows tax deductions to publicly-held companies for individual compensation over $1 million paid to certain executive officers in a taxable year. Historically, compensation above $1 million could be deducted if it was considered “performance-based compensation” within the meaning of the Code, but as a result of tax legislation enacted at the end of 2017, this exemption is no longer available.</w:t>
      </w:r>
    </w:p>
    <w:p>
      <w:pPr>
        <w:spacing w:after="0" w:line="97" w:lineRule="exact"/>
        <w:rPr>
          <w:sz w:val="20"/>
          <w:szCs w:val="20"/>
          <w:color w:val="auto"/>
        </w:rPr>
      </w:pPr>
    </w:p>
    <w:p>
      <w:pPr>
        <w:ind w:left="760" w:right="259"/>
        <w:spacing w:after="0" w:line="251" w:lineRule="auto"/>
        <w:rPr>
          <w:sz w:val="20"/>
          <w:szCs w:val="20"/>
          <w:color w:val="auto"/>
        </w:rPr>
      </w:pPr>
      <w:r>
        <w:rPr>
          <w:rFonts w:ascii="Arial" w:cs="Arial" w:eastAsia="Arial" w:hAnsi="Arial"/>
          <w:sz w:val="18"/>
          <w:szCs w:val="18"/>
          <w:color w:val="auto"/>
        </w:rPr>
        <w:t>Currently, but subject to final rules with respect to the new tax legislation, we are able to claim the benefit of a special exemption rule that applies to compensation paid (or compensation in respect of equity awards such as stock options or restricted stock granted) during a specified transition period under Section 162(m) for corporations that become publicly traded. This transition period may extend until the first annual stockholders meeting that occurs after the end of the third calendar year following the calendar year in which our initial public offering occurs, unless the transition period is terminated earlier under the Section 162(m) post-offering transition rules. At such time as we are subject to the deduction limitations of Section 162(m), as a result of the elimination of the performance-based compensation exemption, as described above, we would not expect that the compensation committee will take the deductibility limitations of Section 162(m) into account in its compensation decisions.</w:t>
      </w:r>
    </w:p>
    <w:p>
      <w:pPr>
        <w:spacing w:after="0" w:line="314"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8065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 Report</w:t>
      </w:r>
    </w:p>
    <w:p>
      <w:pPr>
        <w:spacing w:after="0" w:line="139" w:lineRule="exact"/>
        <w:rPr>
          <w:sz w:val="20"/>
          <w:szCs w:val="20"/>
          <w:color w:val="auto"/>
        </w:rPr>
      </w:pPr>
    </w:p>
    <w:p>
      <w:pPr>
        <w:ind w:left="760" w:right="359"/>
        <w:spacing w:after="0" w:line="253"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incorporated by reference in the Annual Report on Form 10-K for the fiscal year ended December 28, 2019 filed with the Securities and Exchange Commission.</w:t>
      </w:r>
    </w:p>
    <w:p>
      <w:pPr>
        <w:spacing w:after="0" w:line="7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Thomas V. Taylor, Jr., Chair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Heather Cianfrocco</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Nathaniel H. Taylor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32  </w:t>
      </w:r>
      <w:r>
        <w:rPr>
          <w:sz w:val="1"/>
          <w:szCs w:val="1"/>
          <w:color w:val="auto"/>
        </w:rPr>
        <w:drawing>
          <wp:inline distT="0" distB="0" distL="0" distR="0">
            <wp:extent cx="299720" cy="24003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Tables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39" w:lineRule="exact"/>
        <w:rPr>
          <w:sz w:val="20"/>
          <w:szCs w:val="20"/>
          <w:color w:val="auto"/>
        </w:rPr>
      </w:pPr>
    </w:p>
    <w:p>
      <w:pPr>
        <w:ind w:left="760" w:right="259"/>
        <w:spacing w:after="0"/>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NEOs for services rendered in all capacities for the fiscal years ended December 28, 2019, December 29, 2018 and December 30, 2017.</w:t>
      </w:r>
    </w:p>
    <w:p>
      <w:pPr>
        <w:spacing w:after="0" w:line="102" w:lineRule="exact"/>
        <w:rPr>
          <w:sz w:val="20"/>
          <w:szCs w:val="20"/>
          <w:color w:val="auto"/>
        </w:rPr>
      </w:pPr>
    </w:p>
    <w:tbl>
      <w:tblPr>
        <w:tblLayout w:type="fixed"/>
        <w:tblInd w:w="770" w:type="dxa"/>
        <w:tblCellMar>
          <w:top w:w="0" w:type="dxa"/>
          <w:left w:w="0" w:type="dxa"/>
          <w:bottom w:w="0" w:type="dxa"/>
          <w:right w:w="0" w:type="dxa"/>
        </w:tblCellMar>
      </w:tblPr>
      <w:tr>
        <w:trPr>
          <w:trHeight w:val="162"/>
        </w:trPr>
        <w:tc>
          <w:tcPr>
            <w:tcW w:w="1540" w:type="dxa"/>
            <w:vAlign w:val="bottom"/>
            <w:tcBorders>
              <w:top w:val="single" w:sz="8" w:color="3C5896"/>
              <w:left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420" w:type="dxa"/>
            <w:vAlign w:val="bottom"/>
            <w:tcBorders>
              <w:top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640" w:type="dxa"/>
            <w:vAlign w:val="bottom"/>
            <w:tcBorders>
              <w:top w:val="single" w:sz="8" w:color="3C5896"/>
              <w:right w:val="single" w:sz="8" w:color="9EACCA"/>
            </w:tcBorders>
            <w:shd w:val="clear" w:color="auto" w:fill="3C5896"/>
          </w:tcPr>
          <w:p>
            <w:pPr>
              <w:spacing w:after="0"/>
              <w:rPr>
                <w:sz w:val="14"/>
                <w:szCs w:val="14"/>
                <w:color w:val="auto"/>
              </w:rPr>
            </w:pPr>
          </w:p>
        </w:tc>
        <w:tc>
          <w:tcPr>
            <w:tcW w:w="100" w:type="dxa"/>
            <w:vAlign w:val="bottom"/>
            <w:tcBorders>
              <w:top w:val="single" w:sz="8" w:color="3C5896"/>
            </w:tcBorders>
            <w:shd w:val="clear" w:color="auto" w:fill="3C5896"/>
          </w:tcPr>
          <w:p>
            <w:pPr>
              <w:spacing w:after="0"/>
              <w:rPr>
                <w:sz w:val="14"/>
                <w:szCs w:val="14"/>
                <w:color w:val="auto"/>
              </w:rPr>
            </w:pPr>
          </w:p>
        </w:tc>
        <w:tc>
          <w:tcPr>
            <w:tcW w:w="600" w:type="dxa"/>
            <w:vAlign w:val="bottom"/>
            <w:tcBorders>
              <w:top w:val="single" w:sz="8" w:color="3C5896"/>
              <w:right w:val="single" w:sz="8" w:color="9EACCA"/>
            </w:tcBorders>
            <w:shd w:val="clear" w:color="auto" w:fill="3C5896"/>
          </w:tcPr>
          <w:p>
            <w:pPr>
              <w:spacing w:after="0"/>
              <w:rPr>
                <w:sz w:val="14"/>
                <w:szCs w:val="14"/>
                <w:color w:val="auto"/>
              </w:rPr>
            </w:pPr>
          </w:p>
        </w:tc>
        <w:tc>
          <w:tcPr>
            <w:tcW w:w="700" w:type="dxa"/>
            <w:vAlign w:val="bottom"/>
            <w:tcBorders>
              <w:top w:val="single" w:sz="8" w:color="3C5896"/>
              <w:right w:val="single" w:sz="8" w:color="9EACCA"/>
            </w:tcBorders>
            <w:shd w:val="clear" w:color="auto" w:fill="3C5896"/>
          </w:tcPr>
          <w:p>
            <w:pPr>
              <w:spacing w:after="0"/>
              <w:rPr>
                <w:sz w:val="14"/>
                <w:szCs w:val="14"/>
                <w:color w:val="auto"/>
              </w:rPr>
            </w:pPr>
          </w:p>
        </w:tc>
        <w:tc>
          <w:tcPr>
            <w:tcW w:w="60" w:type="dxa"/>
            <w:vAlign w:val="bottom"/>
            <w:tcBorders>
              <w:top w:val="single" w:sz="8" w:color="3C5896"/>
            </w:tcBorders>
            <w:shd w:val="clear" w:color="auto" w:fill="3C5896"/>
          </w:tcPr>
          <w:p>
            <w:pPr>
              <w:spacing w:after="0"/>
              <w:rPr>
                <w:sz w:val="14"/>
                <w:szCs w:val="14"/>
                <w:color w:val="auto"/>
              </w:rPr>
            </w:pPr>
          </w:p>
        </w:tc>
        <w:tc>
          <w:tcPr>
            <w:tcW w:w="740" w:type="dxa"/>
            <w:vAlign w:val="bottom"/>
            <w:tcBorders>
              <w:top w:val="single" w:sz="8" w:color="3C5896"/>
              <w:right w:val="single" w:sz="8" w:color="9EACCA"/>
            </w:tcBorders>
            <w:shd w:val="clear" w:color="auto" w:fill="3C5896"/>
          </w:tcPr>
          <w:p>
            <w:pPr>
              <w:spacing w:after="0"/>
              <w:rPr>
                <w:sz w:val="14"/>
                <w:szCs w:val="14"/>
                <w:color w:val="auto"/>
              </w:rPr>
            </w:pPr>
          </w:p>
        </w:tc>
        <w:tc>
          <w:tcPr>
            <w:tcW w:w="240" w:type="dxa"/>
            <w:vAlign w:val="bottom"/>
            <w:tcBorders>
              <w:top w:val="single" w:sz="8" w:color="3C5896"/>
            </w:tcBorders>
            <w:shd w:val="clear" w:color="auto" w:fill="3C5896"/>
          </w:tcPr>
          <w:p>
            <w:pPr>
              <w:spacing w:after="0"/>
              <w:rPr>
                <w:sz w:val="14"/>
                <w:szCs w:val="14"/>
                <w:color w:val="auto"/>
              </w:rPr>
            </w:pPr>
          </w:p>
        </w:tc>
        <w:tc>
          <w:tcPr>
            <w:tcW w:w="920" w:type="dxa"/>
            <w:vAlign w:val="bottom"/>
            <w:tcBorders>
              <w:top w:val="single" w:sz="8" w:color="3C5896"/>
              <w:right w:val="single" w:sz="8" w:color="9EACCA"/>
            </w:tcBorders>
            <w:shd w:val="clear" w:color="auto" w:fill="3C5896"/>
          </w:tcPr>
          <w:p>
            <w:pPr>
              <w:spacing w:after="0"/>
              <w:rPr>
                <w:sz w:val="14"/>
                <w:szCs w:val="14"/>
                <w:color w:val="auto"/>
              </w:rPr>
            </w:pPr>
          </w:p>
        </w:tc>
        <w:tc>
          <w:tcPr>
            <w:tcW w:w="1160" w:type="dxa"/>
            <w:vAlign w:val="bottom"/>
            <w:tcBorders>
              <w:top w:val="single" w:sz="8" w:color="3C5896"/>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Change in</w:t>
            </w:r>
          </w:p>
        </w:tc>
        <w:tc>
          <w:tcPr>
            <w:tcW w:w="320" w:type="dxa"/>
            <w:vAlign w:val="bottom"/>
            <w:tcBorders>
              <w:top w:val="single" w:sz="8" w:color="3C5896"/>
            </w:tcBorders>
            <w:shd w:val="clear" w:color="auto" w:fill="3C5896"/>
          </w:tcPr>
          <w:p>
            <w:pPr>
              <w:spacing w:after="0"/>
              <w:rPr>
                <w:sz w:val="14"/>
                <w:szCs w:val="14"/>
                <w:color w:val="auto"/>
              </w:rPr>
            </w:pPr>
          </w:p>
        </w:tc>
        <w:tc>
          <w:tcPr>
            <w:tcW w:w="840" w:type="dxa"/>
            <w:vAlign w:val="bottom"/>
            <w:tcBorders>
              <w:top w:val="single" w:sz="8" w:color="3C5896"/>
              <w:right w:val="single" w:sz="8" w:color="9EACCA"/>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720" w:type="dxa"/>
            <w:vAlign w:val="bottom"/>
            <w:tcBorders>
              <w:top w:val="single" w:sz="8" w:color="3C5896"/>
              <w:right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40" w:type="dxa"/>
            <w:vAlign w:val="bottom"/>
            <w:tcBorders>
              <w:right w:val="single" w:sz="8" w:color="9EACCA"/>
            </w:tcBorders>
            <w:shd w:val="clear" w:color="auto" w:fill="3C5896"/>
          </w:tcPr>
          <w:p>
            <w:pPr>
              <w:spacing w:after="0"/>
              <w:rPr>
                <w:sz w:val="10"/>
                <w:szCs w:val="10"/>
                <w:color w:val="auto"/>
              </w:rPr>
            </w:pPr>
          </w:p>
        </w:tc>
        <w:tc>
          <w:tcPr>
            <w:tcW w:w="100" w:type="dxa"/>
            <w:vAlign w:val="bottom"/>
            <w:shd w:val="clear" w:color="auto" w:fill="3C5896"/>
          </w:tcPr>
          <w:p>
            <w:pPr>
              <w:spacing w:after="0"/>
              <w:rPr>
                <w:sz w:val="10"/>
                <w:szCs w:val="10"/>
                <w:color w:val="auto"/>
              </w:rPr>
            </w:pPr>
          </w:p>
        </w:tc>
        <w:tc>
          <w:tcPr>
            <w:tcW w:w="600" w:type="dxa"/>
            <w:vAlign w:val="bottom"/>
            <w:tcBorders>
              <w:right w:val="single" w:sz="8" w:color="9EACCA"/>
            </w:tcBorders>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spacing w:after="0"/>
              <w:rPr>
                <w:sz w:val="10"/>
                <w:szCs w:val="10"/>
                <w:color w:val="auto"/>
              </w:rPr>
            </w:pPr>
          </w:p>
        </w:tc>
        <w:tc>
          <w:tcPr>
            <w:tcW w:w="240" w:type="dxa"/>
            <w:vAlign w:val="bottom"/>
            <w:shd w:val="clear" w:color="auto" w:fill="3C5896"/>
          </w:tcPr>
          <w:p>
            <w:pPr>
              <w:spacing w:after="0"/>
              <w:rPr>
                <w:sz w:val="10"/>
                <w:szCs w:val="10"/>
                <w:color w:val="auto"/>
              </w:rPr>
            </w:pPr>
          </w:p>
        </w:tc>
        <w:tc>
          <w:tcPr>
            <w:tcW w:w="920" w:type="dxa"/>
            <w:vAlign w:val="bottom"/>
            <w:tcBorders>
              <w:right w:val="single" w:sz="8" w:color="9EACCA"/>
            </w:tcBorders>
            <w:shd w:val="clear" w:color="auto" w:fill="3C5896"/>
          </w:tcPr>
          <w:p>
            <w:pPr>
              <w:spacing w:after="0"/>
              <w:rPr>
                <w:sz w:val="10"/>
                <w:szCs w:val="10"/>
                <w:color w:val="auto"/>
              </w:rPr>
            </w:pP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Pension Value</w:t>
            </w:r>
          </w:p>
        </w:tc>
        <w:tc>
          <w:tcPr>
            <w:tcW w:w="320" w:type="dxa"/>
            <w:vAlign w:val="bottom"/>
            <w:shd w:val="clear" w:color="auto" w:fill="3C5896"/>
          </w:tcPr>
          <w:p>
            <w:pPr>
              <w:spacing w:after="0"/>
              <w:rPr>
                <w:sz w:val="10"/>
                <w:szCs w:val="10"/>
                <w:color w:val="auto"/>
              </w:rPr>
            </w:pPr>
          </w:p>
        </w:tc>
        <w:tc>
          <w:tcPr>
            <w:tcW w:w="840" w:type="dxa"/>
            <w:vAlign w:val="bottom"/>
            <w:tcBorders>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40" w:type="dxa"/>
            <w:vAlign w:val="bottom"/>
            <w:tcBorders>
              <w:right w:val="single" w:sz="8" w:color="9EACCA"/>
            </w:tcBorders>
            <w:shd w:val="clear" w:color="auto" w:fill="3C5896"/>
          </w:tcPr>
          <w:p>
            <w:pPr>
              <w:spacing w:after="0"/>
              <w:rPr>
                <w:sz w:val="10"/>
                <w:szCs w:val="10"/>
                <w:color w:val="auto"/>
              </w:rPr>
            </w:pPr>
          </w:p>
        </w:tc>
        <w:tc>
          <w:tcPr>
            <w:tcW w:w="100" w:type="dxa"/>
            <w:vAlign w:val="bottom"/>
            <w:shd w:val="clear" w:color="auto" w:fill="3C5896"/>
          </w:tcPr>
          <w:p>
            <w:pPr>
              <w:spacing w:after="0"/>
              <w:rPr>
                <w:sz w:val="10"/>
                <w:szCs w:val="10"/>
                <w:color w:val="auto"/>
              </w:rPr>
            </w:pPr>
          </w:p>
        </w:tc>
        <w:tc>
          <w:tcPr>
            <w:tcW w:w="600" w:type="dxa"/>
            <w:vAlign w:val="bottom"/>
            <w:tcBorders>
              <w:right w:val="single" w:sz="8" w:color="9EACCA"/>
            </w:tcBorders>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spacing w:after="0"/>
              <w:rPr>
                <w:sz w:val="10"/>
                <w:szCs w:val="10"/>
                <w:color w:val="auto"/>
              </w:rPr>
            </w:pPr>
          </w:p>
        </w:tc>
        <w:tc>
          <w:tcPr>
            <w:tcW w:w="1160" w:type="dxa"/>
            <w:vAlign w:val="bottom"/>
            <w:tcBorders>
              <w:right w:val="single" w:sz="8" w:color="9EACCA"/>
            </w:tcBorders>
            <w:gridSpan w:val="2"/>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Non-Equity</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and Nonqualified</w:t>
            </w:r>
          </w:p>
        </w:tc>
        <w:tc>
          <w:tcPr>
            <w:tcW w:w="320" w:type="dxa"/>
            <w:vAlign w:val="bottom"/>
            <w:shd w:val="clear" w:color="auto" w:fill="3C5896"/>
          </w:tcPr>
          <w:p>
            <w:pPr>
              <w:spacing w:after="0"/>
              <w:rPr>
                <w:sz w:val="10"/>
                <w:szCs w:val="10"/>
                <w:color w:val="auto"/>
              </w:rPr>
            </w:pPr>
          </w:p>
        </w:tc>
        <w:tc>
          <w:tcPr>
            <w:tcW w:w="840" w:type="dxa"/>
            <w:vAlign w:val="bottom"/>
            <w:tcBorders>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40" w:type="dxa"/>
            <w:vAlign w:val="bottom"/>
            <w:tcBorders>
              <w:right w:val="single" w:sz="8" w:color="9EACCA"/>
            </w:tcBorders>
            <w:shd w:val="clear" w:color="auto" w:fill="3C5896"/>
          </w:tcPr>
          <w:p>
            <w:pPr>
              <w:spacing w:after="0"/>
              <w:rPr>
                <w:sz w:val="10"/>
                <w:szCs w:val="10"/>
                <w:color w:val="auto"/>
              </w:rPr>
            </w:pPr>
          </w:p>
        </w:tc>
        <w:tc>
          <w:tcPr>
            <w:tcW w:w="100" w:type="dxa"/>
            <w:vAlign w:val="bottom"/>
            <w:shd w:val="clear" w:color="auto" w:fill="3C5896"/>
          </w:tcPr>
          <w:p>
            <w:pPr>
              <w:spacing w:after="0"/>
              <w:rPr>
                <w:sz w:val="10"/>
                <w:szCs w:val="10"/>
                <w:color w:val="auto"/>
              </w:rPr>
            </w:pPr>
          </w:p>
        </w:tc>
        <w:tc>
          <w:tcPr>
            <w:tcW w:w="600" w:type="dxa"/>
            <w:vAlign w:val="bottom"/>
            <w:tcBorders>
              <w:right w:val="single" w:sz="8" w:color="9EACCA"/>
            </w:tcBorders>
            <w:shd w:val="clear" w:color="auto" w:fill="3C5896"/>
          </w:tcPr>
          <w:p>
            <w:pPr>
              <w:spacing w:after="0"/>
              <w:rPr>
                <w:sz w:val="10"/>
                <w:szCs w:val="10"/>
                <w:color w:val="auto"/>
              </w:rPr>
            </w:pPr>
          </w:p>
        </w:tc>
        <w:tc>
          <w:tcPr>
            <w:tcW w:w="70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rPr>
              <w:t>Stock</w:t>
            </w:r>
          </w:p>
        </w:tc>
        <w:tc>
          <w:tcPr>
            <w:tcW w:w="60" w:type="dxa"/>
            <w:vAlign w:val="bottom"/>
            <w:shd w:val="clear" w:color="auto" w:fill="3C5896"/>
          </w:tcPr>
          <w:p>
            <w:pPr>
              <w:spacing w:after="0"/>
              <w:rPr>
                <w:sz w:val="10"/>
                <w:szCs w:val="10"/>
                <w:color w:val="auto"/>
              </w:rPr>
            </w:pPr>
          </w:p>
        </w:tc>
        <w:tc>
          <w:tcPr>
            <w:tcW w:w="740" w:type="dxa"/>
            <w:vAlign w:val="bottom"/>
            <w:tcBorders>
              <w:right w:val="single" w:sz="8" w:color="9EACCA"/>
            </w:tcBorders>
            <w:vMerge w:val="restart"/>
            <w:shd w:val="clear" w:color="auto" w:fill="3C5896"/>
          </w:tcPr>
          <w:p>
            <w:pPr>
              <w:jc w:val="center"/>
              <w:ind w:right="70"/>
              <w:spacing w:after="0"/>
              <w:rPr>
                <w:sz w:val="20"/>
                <w:szCs w:val="20"/>
                <w:color w:val="auto"/>
              </w:rPr>
            </w:pPr>
            <w:r>
              <w:rPr>
                <w:rFonts w:ascii="Arial" w:cs="Arial" w:eastAsia="Arial" w:hAnsi="Arial"/>
                <w:sz w:val="13"/>
                <w:szCs w:val="13"/>
                <w:b w:val="1"/>
                <w:bCs w:val="1"/>
                <w:color w:val="FFFFFF"/>
                <w:w w:val="95"/>
              </w:rPr>
              <w:t>Option</w:t>
            </w:r>
          </w:p>
        </w:tc>
        <w:tc>
          <w:tcPr>
            <w:tcW w:w="1160" w:type="dxa"/>
            <w:vAlign w:val="bottom"/>
            <w:tcBorders>
              <w:right w:val="single" w:sz="8" w:color="9EACCA"/>
            </w:tcBorders>
            <w:gridSpan w:val="2"/>
            <w:vMerge w:val="continue"/>
            <w:shd w:val="clear" w:color="auto" w:fill="3C5896"/>
          </w:tcPr>
          <w:p>
            <w:pPr>
              <w:spacing w:after="0"/>
              <w:rPr>
                <w:sz w:val="10"/>
                <w:szCs w:val="10"/>
                <w:color w:val="auto"/>
              </w:rPr>
            </w:pP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Deferred</w:t>
            </w:r>
          </w:p>
        </w:tc>
        <w:tc>
          <w:tcPr>
            <w:tcW w:w="1160" w:type="dxa"/>
            <w:vAlign w:val="bottom"/>
            <w:tcBorders>
              <w:right w:val="single" w:sz="8" w:color="9EACCA"/>
            </w:tcBorders>
            <w:gridSpan w:val="2"/>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3C5896"/>
              <w:right w:val="single" w:sz="8" w:color="9EACCA"/>
            </w:tcBorders>
            <w:vMerge w:val="restart"/>
            <w:shd w:val="clear" w:color="auto" w:fill="3C5896"/>
          </w:tcPr>
          <w:p>
            <w:pPr>
              <w:ind w:left="180"/>
              <w:spacing w:after="0"/>
              <w:rPr>
                <w:sz w:val="20"/>
                <w:szCs w:val="20"/>
                <w:color w:val="auto"/>
              </w:rPr>
            </w:pPr>
            <w:r>
              <w:rPr>
                <w:rFonts w:ascii="Arial" w:cs="Arial" w:eastAsia="Arial" w:hAnsi="Arial"/>
                <w:sz w:val="13"/>
                <w:szCs w:val="13"/>
                <w:b w:val="1"/>
                <w:bCs w:val="1"/>
                <w:color w:val="FFFFFF"/>
              </w:rPr>
              <w:t>Name and Principal</w:t>
            </w: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40" w:type="dxa"/>
            <w:vAlign w:val="bottom"/>
            <w:tcBorders>
              <w:right w:val="single" w:sz="8" w:color="9EACCA"/>
            </w:tcBorders>
            <w:vMerge w:val="restart"/>
            <w:shd w:val="clear" w:color="auto" w:fill="3C5896"/>
          </w:tcPr>
          <w:p>
            <w:pPr>
              <w:ind w:left="80"/>
              <w:spacing w:after="0"/>
              <w:rPr>
                <w:sz w:val="20"/>
                <w:szCs w:val="20"/>
                <w:color w:val="auto"/>
              </w:rPr>
            </w:pPr>
            <w:r>
              <w:rPr>
                <w:rFonts w:ascii="Arial" w:cs="Arial" w:eastAsia="Arial" w:hAnsi="Arial"/>
                <w:sz w:val="13"/>
                <w:szCs w:val="13"/>
                <w:b w:val="1"/>
                <w:bCs w:val="1"/>
                <w:color w:val="FFFFFF"/>
              </w:rPr>
              <w:t>Salary</w:t>
            </w:r>
          </w:p>
        </w:tc>
        <w:tc>
          <w:tcPr>
            <w:tcW w:w="100" w:type="dxa"/>
            <w:vAlign w:val="bottom"/>
            <w:shd w:val="clear" w:color="auto" w:fill="3C5896"/>
          </w:tcPr>
          <w:p>
            <w:pPr>
              <w:spacing w:after="0"/>
              <w:rPr>
                <w:sz w:val="10"/>
                <w:szCs w:val="10"/>
                <w:color w:val="auto"/>
              </w:rPr>
            </w:pPr>
          </w:p>
        </w:tc>
        <w:tc>
          <w:tcPr>
            <w:tcW w:w="600" w:type="dxa"/>
            <w:vAlign w:val="bottom"/>
            <w:tcBorders>
              <w:right w:val="single" w:sz="8" w:color="9EACCA"/>
            </w:tcBorders>
            <w:vMerge w:val="restart"/>
            <w:shd w:val="clear" w:color="auto" w:fill="3C5896"/>
          </w:tcPr>
          <w:p>
            <w:pPr>
              <w:jc w:val="right"/>
              <w:ind w:right="109"/>
              <w:spacing w:after="0"/>
              <w:rPr>
                <w:sz w:val="20"/>
                <w:szCs w:val="20"/>
                <w:color w:val="auto"/>
              </w:rPr>
            </w:pPr>
            <w:r>
              <w:rPr>
                <w:rFonts w:ascii="Arial" w:cs="Arial" w:eastAsia="Arial" w:hAnsi="Arial"/>
                <w:sz w:val="13"/>
                <w:szCs w:val="13"/>
                <w:b w:val="1"/>
                <w:bCs w:val="1"/>
                <w:color w:val="FFFFFF"/>
                <w:w w:val="98"/>
              </w:rPr>
              <w:t>Bonus</w:t>
            </w:r>
          </w:p>
        </w:tc>
        <w:tc>
          <w:tcPr>
            <w:tcW w:w="700" w:type="dxa"/>
            <w:vAlign w:val="bottom"/>
            <w:tcBorders>
              <w:right w:val="single" w:sz="8" w:color="9EACCA"/>
            </w:tcBorders>
            <w:vMerge w:val="continue"/>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40" w:type="dxa"/>
            <w:vAlign w:val="bottom"/>
            <w:tcBorders>
              <w:right w:val="single" w:sz="8" w:color="9EACCA"/>
            </w:tcBorders>
            <w:vMerge w:val="continue"/>
            <w:shd w:val="clear" w:color="auto" w:fill="3C5896"/>
          </w:tcPr>
          <w:p>
            <w:pPr>
              <w:spacing w:after="0"/>
              <w:rPr>
                <w:sz w:val="10"/>
                <w:szCs w:val="10"/>
                <w:color w:val="auto"/>
              </w:rPr>
            </w:pP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8"/>
              </w:rPr>
              <w:t>Incentive Plan</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Compensation</w:t>
            </w:r>
          </w:p>
        </w:tc>
        <w:tc>
          <w:tcPr>
            <w:tcW w:w="1160" w:type="dxa"/>
            <w:vAlign w:val="bottom"/>
            <w:tcBorders>
              <w:right w:val="single" w:sz="8" w:color="9EACCA"/>
            </w:tcBorders>
            <w:gridSpan w:val="2"/>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vMerge w:val="restart"/>
            <w:shd w:val="clear" w:color="auto" w:fill="3C5896"/>
          </w:tcPr>
          <w:p>
            <w:pPr>
              <w:jc w:val="right"/>
              <w:ind w:right="17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21"/>
        </w:trPr>
        <w:tc>
          <w:tcPr>
            <w:tcW w:w="1540" w:type="dxa"/>
            <w:vAlign w:val="bottom"/>
            <w:tcBorders>
              <w:left w:val="single" w:sz="8" w:color="3C5896"/>
              <w:right w:val="single" w:sz="8" w:color="9EACCA"/>
            </w:tcBorders>
            <w:vMerge w:val="continue"/>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w w:val="92"/>
              </w:rPr>
              <w:t>Year</w:t>
            </w:r>
          </w:p>
        </w:tc>
        <w:tc>
          <w:tcPr>
            <w:tcW w:w="80" w:type="dxa"/>
            <w:vAlign w:val="bottom"/>
            <w:shd w:val="clear" w:color="auto" w:fill="3C5896"/>
          </w:tcPr>
          <w:p>
            <w:pPr>
              <w:spacing w:after="0"/>
              <w:rPr>
                <w:sz w:val="10"/>
                <w:szCs w:val="10"/>
                <w:color w:val="auto"/>
              </w:rPr>
            </w:pPr>
          </w:p>
        </w:tc>
        <w:tc>
          <w:tcPr>
            <w:tcW w:w="640" w:type="dxa"/>
            <w:vAlign w:val="bottom"/>
            <w:tcBorders>
              <w:right w:val="single" w:sz="8" w:color="9EACCA"/>
            </w:tcBorders>
            <w:vMerge w:val="continue"/>
            <w:shd w:val="clear" w:color="auto" w:fill="3C5896"/>
          </w:tcPr>
          <w:p>
            <w:pPr>
              <w:spacing w:after="0"/>
              <w:rPr>
                <w:sz w:val="10"/>
                <w:szCs w:val="10"/>
                <w:color w:val="auto"/>
              </w:rPr>
            </w:pPr>
          </w:p>
        </w:tc>
        <w:tc>
          <w:tcPr>
            <w:tcW w:w="100" w:type="dxa"/>
            <w:vAlign w:val="bottom"/>
            <w:shd w:val="clear" w:color="auto" w:fill="3C5896"/>
          </w:tcPr>
          <w:p>
            <w:pPr>
              <w:spacing w:after="0"/>
              <w:rPr>
                <w:sz w:val="10"/>
                <w:szCs w:val="10"/>
                <w:color w:val="auto"/>
              </w:rPr>
            </w:pPr>
          </w:p>
        </w:tc>
        <w:tc>
          <w:tcPr>
            <w:tcW w:w="600" w:type="dxa"/>
            <w:vAlign w:val="bottom"/>
            <w:tcBorders>
              <w:right w:val="single" w:sz="8" w:color="9EACCA"/>
            </w:tcBorders>
            <w:vMerge w:val="continue"/>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3"/>
              </w:rPr>
              <w:t>Awards</w:t>
            </w:r>
          </w:p>
        </w:tc>
        <w:tc>
          <w:tcPr>
            <w:tcW w:w="60" w:type="dxa"/>
            <w:vAlign w:val="bottom"/>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ind w:right="30"/>
              <w:spacing w:after="0" w:line="122" w:lineRule="exact"/>
              <w:rPr>
                <w:sz w:val="20"/>
                <w:szCs w:val="20"/>
                <w:color w:val="auto"/>
              </w:rPr>
            </w:pPr>
            <w:r>
              <w:rPr>
                <w:rFonts w:ascii="Arial" w:cs="Arial" w:eastAsia="Arial" w:hAnsi="Arial"/>
                <w:sz w:val="13"/>
                <w:szCs w:val="13"/>
                <w:b w:val="1"/>
                <w:bCs w:val="1"/>
                <w:color w:val="FFFFFF"/>
                <w:w w:val="93"/>
              </w:rPr>
              <w:t>Awards</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Compensation</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Earnings</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Compensation</w:t>
            </w: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vMerge w:val="continue"/>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540" w:type="dxa"/>
            <w:vAlign w:val="bottom"/>
            <w:tcBorders>
              <w:left w:val="single" w:sz="8" w:color="3C5896"/>
              <w:bottom w:val="single" w:sz="8" w:color="auto"/>
              <w:right w:val="single" w:sz="8" w:color="9EACCA"/>
            </w:tcBorders>
            <w:shd w:val="clear" w:color="auto" w:fill="3C5896"/>
          </w:tcPr>
          <w:p>
            <w:pPr>
              <w:ind w:left="540"/>
              <w:spacing w:after="0"/>
              <w:rPr>
                <w:sz w:val="20"/>
                <w:szCs w:val="20"/>
                <w:color w:val="auto"/>
              </w:rPr>
            </w:pPr>
            <w:r>
              <w:rPr>
                <w:rFonts w:ascii="Arial" w:cs="Arial" w:eastAsia="Arial" w:hAnsi="Arial"/>
                <w:sz w:val="13"/>
                <w:szCs w:val="13"/>
                <w:b w:val="1"/>
                <w:bCs w:val="1"/>
                <w:color w:val="FFFFFF"/>
              </w:rPr>
              <w:t>Position</w:t>
            </w:r>
          </w:p>
        </w:tc>
        <w:tc>
          <w:tcPr>
            <w:tcW w:w="80" w:type="dxa"/>
            <w:vAlign w:val="bottom"/>
            <w:tcBorders>
              <w:bottom w:val="single" w:sz="8" w:color="auto"/>
            </w:tcBorders>
            <w:shd w:val="clear" w:color="auto" w:fill="3C5896"/>
          </w:tcPr>
          <w:p>
            <w:pPr>
              <w:spacing w:after="0"/>
              <w:rPr>
                <w:sz w:val="17"/>
                <w:szCs w:val="17"/>
                <w:color w:val="auto"/>
              </w:rPr>
            </w:pPr>
          </w:p>
        </w:tc>
        <w:tc>
          <w:tcPr>
            <w:tcW w:w="420" w:type="dxa"/>
            <w:vAlign w:val="bottom"/>
            <w:tcBorders>
              <w:bottom w:val="single" w:sz="8" w:color="auto"/>
              <w:right w:val="single" w:sz="8" w:color="9EACCA"/>
            </w:tcBorders>
            <w:vMerge w:val="continue"/>
            <w:shd w:val="clear" w:color="auto" w:fill="3C5896"/>
          </w:tcPr>
          <w:p>
            <w:pPr>
              <w:spacing w:after="0"/>
              <w:rPr>
                <w:sz w:val="17"/>
                <w:szCs w:val="17"/>
                <w:color w:val="auto"/>
              </w:rPr>
            </w:pPr>
          </w:p>
        </w:tc>
        <w:tc>
          <w:tcPr>
            <w:tcW w:w="720" w:type="dxa"/>
            <w:vAlign w:val="bottom"/>
            <w:tcBorders>
              <w:bottom w:val="single" w:sz="8" w:color="auto"/>
              <w:right w:val="single" w:sz="8" w:color="9EACCA"/>
            </w:tcBorders>
            <w:gridSpan w:val="2"/>
            <w:shd w:val="clear" w:color="auto" w:fill="3C5896"/>
          </w:tcPr>
          <w:p>
            <w:pPr>
              <w:jc w:val="center"/>
              <w:spacing w:after="0" w:line="202" w:lineRule="exact"/>
              <w:rPr>
                <w:sz w:val="20"/>
                <w:szCs w:val="20"/>
                <w:color w:val="auto"/>
              </w:rPr>
            </w:pPr>
            <w:r>
              <w:rPr>
                <w:rFonts w:ascii="Arial" w:cs="Arial" w:eastAsia="Arial" w:hAnsi="Arial"/>
                <w:sz w:val="23"/>
                <w:szCs w:val="23"/>
                <w:b w:val="1"/>
                <w:bCs w:val="1"/>
                <w:color w:val="FFFFFF"/>
                <w:w w:val="93"/>
                <w:vertAlign w:val="subscript"/>
              </w:rPr>
              <w:t>($)</w:t>
            </w:r>
            <w:r>
              <w:rPr>
                <w:rFonts w:ascii="Arial" w:cs="Arial" w:eastAsia="Arial" w:hAnsi="Arial"/>
                <w:sz w:val="9"/>
                <w:szCs w:val="9"/>
                <w:b w:val="1"/>
                <w:bCs w:val="1"/>
                <w:color w:val="FFFFFF"/>
                <w:w w:val="93"/>
              </w:rPr>
              <w:t>(4)</w:t>
            </w:r>
          </w:p>
        </w:tc>
        <w:tc>
          <w:tcPr>
            <w:tcW w:w="700" w:type="dxa"/>
            <w:vAlign w:val="bottom"/>
            <w:tcBorders>
              <w:bottom w:val="single" w:sz="8" w:color="auto"/>
              <w:right w:val="single" w:sz="8" w:color="9EACCA"/>
            </w:tcBorders>
            <w:gridSpan w:val="2"/>
            <w:shd w:val="clear" w:color="auto" w:fill="3C5896"/>
          </w:tcPr>
          <w:p>
            <w:pPr>
              <w:jc w:val="right"/>
              <w:ind w:right="169"/>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9"/>
                <w:szCs w:val="9"/>
                <w:b w:val="1"/>
                <w:bCs w:val="1"/>
                <w:color w:val="FFFFFF"/>
              </w:rPr>
              <w:t>(5)</w:t>
            </w:r>
          </w:p>
        </w:tc>
        <w:tc>
          <w:tcPr>
            <w:tcW w:w="700" w:type="dxa"/>
            <w:vAlign w:val="bottom"/>
            <w:tcBorders>
              <w:bottom w:val="single" w:sz="8" w:color="auto"/>
              <w:right w:val="single" w:sz="8" w:color="9EACCA"/>
            </w:tcBorders>
            <w:shd w:val="clear" w:color="auto" w:fill="3C5896"/>
          </w:tcPr>
          <w:p>
            <w:pPr>
              <w:jc w:val="center"/>
              <w:spacing w:after="0" w:line="202" w:lineRule="exact"/>
              <w:rPr>
                <w:sz w:val="20"/>
                <w:szCs w:val="20"/>
                <w:color w:val="auto"/>
              </w:rPr>
            </w:pPr>
            <w:r>
              <w:rPr>
                <w:rFonts w:ascii="Arial" w:cs="Arial" w:eastAsia="Arial" w:hAnsi="Arial"/>
                <w:sz w:val="23"/>
                <w:szCs w:val="23"/>
                <w:b w:val="1"/>
                <w:bCs w:val="1"/>
                <w:color w:val="FFFFFF"/>
                <w:w w:val="93"/>
                <w:vertAlign w:val="subscript"/>
              </w:rPr>
              <w:t>($)</w:t>
            </w:r>
            <w:r>
              <w:rPr>
                <w:rFonts w:ascii="Arial" w:cs="Arial" w:eastAsia="Arial" w:hAnsi="Arial"/>
                <w:sz w:val="9"/>
                <w:szCs w:val="9"/>
                <w:b w:val="1"/>
                <w:bCs w:val="1"/>
                <w:color w:val="FFFFFF"/>
                <w:w w:val="93"/>
              </w:rPr>
              <w:t>(6)</w:t>
            </w:r>
          </w:p>
        </w:tc>
        <w:tc>
          <w:tcPr>
            <w:tcW w:w="800" w:type="dxa"/>
            <w:vAlign w:val="bottom"/>
            <w:tcBorders>
              <w:bottom w:val="single" w:sz="8" w:color="auto"/>
              <w:right w:val="single" w:sz="8" w:color="9EACCA"/>
            </w:tcBorders>
            <w:gridSpan w:val="2"/>
            <w:shd w:val="clear" w:color="auto" w:fill="3C5896"/>
          </w:tcPr>
          <w:p>
            <w:pPr>
              <w:jc w:val="center"/>
              <w:spacing w:after="0" w:line="202" w:lineRule="exact"/>
              <w:rPr>
                <w:sz w:val="20"/>
                <w:szCs w:val="20"/>
                <w:color w:val="auto"/>
              </w:rPr>
            </w:pPr>
            <w:r>
              <w:rPr>
                <w:rFonts w:ascii="Arial" w:cs="Arial" w:eastAsia="Arial" w:hAnsi="Arial"/>
                <w:sz w:val="23"/>
                <w:szCs w:val="23"/>
                <w:b w:val="1"/>
                <w:bCs w:val="1"/>
                <w:color w:val="FFFFFF"/>
                <w:w w:val="93"/>
                <w:vertAlign w:val="subscript"/>
              </w:rPr>
              <w:t>($)</w:t>
            </w:r>
            <w:r>
              <w:rPr>
                <w:rFonts w:ascii="Arial" w:cs="Arial" w:eastAsia="Arial" w:hAnsi="Arial"/>
                <w:sz w:val="9"/>
                <w:szCs w:val="9"/>
                <w:b w:val="1"/>
                <w:bCs w:val="1"/>
                <w:color w:val="FFFFFF"/>
                <w:w w:val="93"/>
              </w:rPr>
              <w:t>(7)</w:t>
            </w:r>
          </w:p>
        </w:tc>
        <w:tc>
          <w:tcPr>
            <w:tcW w:w="1160" w:type="dxa"/>
            <w:vAlign w:val="bottom"/>
            <w:tcBorders>
              <w:bottom w:val="single" w:sz="8" w:color="auto"/>
              <w:right w:val="single" w:sz="8" w:color="9EACCA"/>
            </w:tcBorders>
            <w:gridSpan w:val="2"/>
            <w:shd w:val="clear" w:color="auto" w:fill="3C5896"/>
          </w:tcPr>
          <w:p>
            <w:pPr>
              <w:jc w:val="center"/>
              <w:spacing w:after="0" w:line="202" w:lineRule="exact"/>
              <w:rPr>
                <w:sz w:val="20"/>
                <w:szCs w:val="20"/>
                <w:color w:val="auto"/>
              </w:rPr>
            </w:pPr>
            <w:r>
              <w:rPr>
                <w:rFonts w:ascii="Arial" w:cs="Arial" w:eastAsia="Arial" w:hAnsi="Arial"/>
                <w:sz w:val="23"/>
                <w:szCs w:val="23"/>
                <w:b w:val="1"/>
                <w:bCs w:val="1"/>
                <w:color w:val="FFFFFF"/>
                <w:w w:val="93"/>
                <w:vertAlign w:val="subscript"/>
              </w:rPr>
              <w:t>($)</w:t>
            </w:r>
            <w:r>
              <w:rPr>
                <w:rFonts w:ascii="Arial" w:cs="Arial" w:eastAsia="Arial" w:hAnsi="Arial"/>
                <w:sz w:val="9"/>
                <w:szCs w:val="9"/>
                <w:b w:val="1"/>
                <w:bCs w:val="1"/>
                <w:color w:val="FFFFFF"/>
                <w:w w:val="93"/>
              </w:rPr>
              <w:t>(8)</w:t>
            </w:r>
          </w:p>
        </w:tc>
        <w:tc>
          <w:tcPr>
            <w:tcW w:w="1160" w:type="dxa"/>
            <w:vAlign w:val="bottom"/>
            <w:tcBorders>
              <w:bottom w:val="single" w:sz="8" w:color="auto"/>
              <w:right w:val="single" w:sz="8" w:color="9EACCA"/>
            </w:tcBorders>
            <w:gridSpan w:val="2"/>
            <w:shd w:val="clear" w:color="auto" w:fill="3C5896"/>
          </w:tcPr>
          <w:p>
            <w:pPr>
              <w:jc w:val="right"/>
              <w:ind w:right="428"/>
              <w:spacing w:after="0"/>
              <w:rPr>
                <w:sz w:val="20"/>
                <w:szCs w:val="20"/>
                <w:color w:val="auto"/>
              </w:rPr>
            </w:pPr>
            <w:r>
              <w:rPr>
                <w:rFonts w:ascii="Arial" w:cs="Arial" w:eastAsia="Arial" w:hAnsi="Arial"/>
                <w:sz w:val="13"/>
                <w:szCs w:val="13"/>
                <w:b w:val="1"/>
                <w:bCs w:val="1"/>
                <w:color w:val="FFFFFF"/>
              </w:rPr>
              <w:t>($)</w:t>
            </w:r>
          </w:p>
        </w:tc>
        <w:tc>
          <w:tcPr>
            <w:tcW w:w="1160" w:type="dxa"/>
            <w:vAlign w:val="bottom"/>
            <w:tcBorders>
              <w:bottom w:val="single" w:sz="8" w:color="auto"/>
              <w:right w:val="single" w:sz="8" w:color="9EACCA"/>
            </w:tcBorders>
            <w:gridSpan w:val="2"/>
            <w:shd w:val="clear" w:color="auto" w:fill="3C5896"/>
          </w:tcPr>
          <w:p>
            <w:pPr>
              <w:jc w:val="center"/>
              <w:spacing w:after="0" w:line="202" w:lineRule="exact"/>
              <w:rPr>
                <w:sz w:val="20"/>
                <w:szCs w:val="20"/>
                <w:color w:val="auto"/>
              </w:rPr>
            </w:pPr>
            <w:r>
              <w:rPr>
                <w:rFonts w:ascii="Arial" w:cs="Arial" w:eastAsia="Arial" w:hAnsi="Arial"/>
                <w:sz w:val="23"/>
                <w:szCs w:val="23"/>
                <w:b w:val="1"/>
                <w:bCs w:val="1"/>
                <w:color w:val="FFFFFF"/>
                <w:w w:val="93"/>
                <w:vertAlign w:val="subscript"/>
              </w:rPr>
              <w:t>($)</w:t>
            </w:r>
            <w:r>
              <w:rPr>
                <w:rFonts w:ascii="Arial" w:cs="Arial" w:eastAsia="Arial" w:hAnsi="Arial"/>
                <w:sz w:val="9"/>
                <w:szCs w:val="9"/>
                <w:b w:val="1"/>
                <w:bCs w:val="1"/>
                <w:color w:val="FFFFFF"/>
                <w:w w:val="93"/>
              </w:rPr>
              <w:t>(9)</w:t>
            </w:r>
          </w:p>
        </w:tc>
        <w:tc>
          <w:tcPr>
            <w:tcW w:w="760" w:type="dxa"/>
            <w:vAlign w:val="bottom"/>
            <w:tcBorders>
              <w:bottom w:val="single" w:sz="8" w:color="auto"/>
              <w:right w:val="single" w:sz="8" w:color="3C5896"/>
            </w:tcBorders>
            <w:gridSpan w:val="2"/>
            <w:shd w:val="clear" w:color="auto" w:fill="3C5896"/>
          </w:tcPr>
          <w:p>
            <w:pPr>
              <w:jc w:val="right"/>
              <w:ind w:right="25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1"/>
        </w:trPr>
        <w:tc>
          <w:tcPr>
            <w:tcW w:w="154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L. Reade Fahs</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2019</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919,211</w:t>
            </w:r>
          </w:p>
        </w:tc>
        <w:tc>
          <w:tcPr>
            <w:tcW w:w="100" w:type="dxa"/>
            <w:vAlign w:val="bottom"/>
          </w:tcPr>
          <w:p>
            <w:pPr>
              <w:spacing w:after="0"/>
              <w:rPr>
                <w:sz w:val="17"/>
                <w:szCs w:val="17"/>
                <w:color w:val="auto"/>
              </w:rPr>
            </w:pPr>
          </w:p>
        </w:tc>
        <w:tc>
          <w:tcPr>
            <w:tcW w:w="600" w:type="dxa"/>
            <w:vAlign w:val="bottom"/>
            <w:tcBorders>
              <w:right w:val="single" w:sz="8" w:color="9EACCA"/>
            </w:tcBorders>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1,125,024</w:t>
            </w:r>
          </w:p>
        </w:tc>
        <w:tc>
          <w:tcPr>
            <w:tcW w:w="800" w:type="dxa"/>
            <w:vAlign w:val="bottom"/>
            <w:tcBorders>
              <w:right w:val="single" w:sz="8" w:color="9EACCA"/>
            </w:tcBorders>
            <w:gridSpan w:val="2"/>
          </w:tcPr>
          <w:p>
            <w:pPr>
              <w:jc w:val="right"/>
              <w:ind w:right="30"/>
              <w:spacing w:after="0"/>
              <w:rPr>
                <w:sz w:val="20"/>
                <w:szCs w:val="20"/>
                <w:color w:val="auto"/>
              </w:rPr>
            </w:pPr>
            <w:r>
              <w:rPr>
                <w:rFonts w:ascii="Arial" w:cs="Arial" w:eastAsia="Arial" w:hAnsi="Arial"/>
                <w:sz w:val="14"/>
                <w:szCs w:val="14"/>
                <w:color w:val="auto"/>
              </w:rPr>
              <w:t>1,125,001</w:t>
            </w:r>
          </w:p>
        </w:tc>
        <w:tc>
          <w:tcPr>
            <w:tcW w:w="116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1,281,776</w:t>
            </w:r>
          </w:p>
        </w:tc>
        <w:tc>
          <w:tcPr>
            <w:tcW w:w="500" w:type="dxa"/>
            <w:vAlign w:val="bottom"/>
          </w:tcPr>
          <w:p>
            <w:pPr>
              <w:spacing w:after="0"/>
              <w:rPr>
                <w:sz w:val="17"/>
                <w:szCs w:val="17"/>
                <w:color w:val="auto"/>
              </w:rPr>
            </w:pPr>
          </w:p>
        </w:tc>
        <w:tc>
          <w:tcPr>
            <w:tcW w:w="660" w:type="dxa"/>
            <w:vAlign w:val="bottom"/>
            <w:tcBorders>
              <w:right w:val="single" w:sz="8" w:color="9EACCA"/>
            </w:tcBorders>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36,815</w:t>
            </w:r>
          </w:p>
        </w:tc>
        <w:tc>
          <w:tcPr>
            <w:tcW w:w="76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4,487,827</w:t>
            </w: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Chief Executive</w:t>
            </w: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2018</w:t>
            </w:r>
          </w:p>
        </w:tc>
        <w:tc>
          <w:tcPr>
            <w:tcW w:w="72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4"/>
                <w:szCs w:val="14"/>
                <w:color w:val="auto"/>
              </w:rPr>
            </w:pPr>
          </w:p>
        </w:tc>
        <w:tc>
          <w:tcPr>
            <w:tcW w:w="600" w:type="dxa"/>
            <w:vAlign w:val="bottom"/>
            <w:tcBorders>
              <w:right w:val="single" w:sz="8" w:color="9EACCA"/>
            </w:tcBorders>
            <w:vMerge w:val="restart"/>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tcBorders>
              <w:right w:val="single" w:sz="8" w:color="9EACCA"/>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gridSpan w:val="2"/>
            <w:vMerge w:val="restart"/>
          </w:tcPr>
          <w:p>
            <w:pPr>
              <w:jc w:val="right"/>
              <w:ind w:right="208"/>
              <w:spacing w:after="0"/>
              <w:rPr>
                <w:sz w:val="20"/>
                <w:szCs w:val="20"/>
                <w:color w:val="auto"/>
              </w:rPr>
            </w:pPr>
            <w:r>
              <w:rPr>
                <w:rFonts w:ascii="Arial" w:cs="Arial" w:eastAsia="Arial" w:hAnsi="Arial"/>
                <w:sz w:val="14"/>
                <w:szCs w:val="14"/>
                <w:color w:val="auto"/>
              </w:rPr>
              <w:t>688,635</w:t>
            </w:r>
          </w:p>
        </w:tc>
        <w:tc>
          <w:tcPr>
            <w:tcW w:w="500" w:type="dxa"/>
            <w:vAlign w:val="bottom"/>
          </w:tcPr>
          <w:p>
            <w:pPr>
              <w:spacing w:after="0"/>
              <w:rPr>
                <w:sz w:val="14"/>
                <w:szCs w:val="14"/>
                <w:color w:val="auto"/>
              </w:rPr>
            </w:pPr>
          </w:p>
        </w:tc>
        <w:tc>
          <w:tcPr>
            <w:tcW w:w="660" w:type="dxa"/>
            <w:vAlign w:val="bottom"/>
            <w:tcBorders>
              <w:right w:val="single" w:sz="8" w:color="9EACCA"/>
            </w:tcBorders>
            <w:vMerge w:val="restart"/>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vMerge w:val="restart"/>
          </w:tcPr>
          <w:p>
            <w:pPr>
              <w:jc w:val="right"/>
              <w:ind w:right="248"/>
              <w:spacing w:after="0"/>
              <w:rPr>
                <w:sz w:val="20"/>
                <w:szCs w:val="20"/>
                <w:color w:val="auto"/>
              </w:rPr>
            </w:pPr>
            <w:r>
              <w:rPr>
                <w:rFonts w:ascii="Arial" w:cs="Arial" w:eastAsia="Arial" w:hAnsi="Arial"/>
                <w:sz w:val="14"/>
                <w:szCs w:val="14"/>
                <w:color w:val="auto"/>
              </w:rPr>
              <w:t>14,035</w:t>
            </w:r>
          </w:p>
        </w:tc>
        <w:tc>
          <w:tcPr>
            <w:tcW w:w="760" w:type="dxa"/>
            <w:vAlign w:val="bottom"/>
            <w:tcBorders>
              <w:right w:val="single" w:sz="8" w:color="3C5896"/>
            </w:tcBorders>
            <w:gridSpan w:val="2"/>
            <w:vMerge w:val="restart"/>
          </w:tcPr>
          <w:p>
            <w:pPr>
              <w:jc w:val="right"/>
              <w:spacing w:after="0"/>
              <w:rPr>
                <w:sz w:val="20"/>
                <w:szCs w:val="20"/>
                <w:color w:val="auto"/>
              </w:rPr>
            </w:pPr>
            <w:r>
              <w:rPr>
                <w:rFonts w:ascii="Arial" w:cs="Arial" w:eastAsia="Arial" w:hAnsi="Arial"/>
                <w:sz w:val="14"/>
                <w:szCs w:val="14"/>
                <w:color w:val="auto"/>
              </w:rPr>
              <w:t>1,602,670</w:t>
            </w:r>
          </w:p>
        </w:tc>
        <w:tc>
          <w:tcPr>
            <w:tcW w:w="0" w:type="dxa"/>
            <w:vAlign w:val="bottom"/>
          </w:tcPr>
          <w:p>
            <w:pPr>
              <w:spacing w:after="0"/>
              <w:rPr>
                <w:sz w:val="1"/>
                <w:szCs w:val="1"/>
                <w:color w:val="auto"/>
              </w:rPr>
            </w:pPr>
          </w:p>
        </w:tc>
      </w:tr>
      <w:tr>
        <w:trPr>
          <w:trHeight w:val="78"/>
        </w:trPr>
        <w:tc>
          <w:tcPr>
            <w:tcW w:w="1540" w:type="dxa"/>
            <w:vAlign w:val="bottom"/>
            <w:tcBorders>
              <w:left w:val="single" w:sz="8" w:color="3C5896"/>
              <w:right w:val="single" w:sz="8" w:color="9EACCA"/>
            </w:tcBorders>
            <w:vMerge w:val="restart"/>
          </w:tcPr>
          <w:p>
            <w:pPr>
              <w:ind w:left="180"/>
              <w:spacing w:after="0"/>
              <w:rPr>
                <w:sz w:val="20"/>
                <w:szCs w:val="20"/>
                <w:color w:val="auto"/>
              </w:rPr>
            </w:pPr>
            <w:r>
              <w:rPr>
                <w:rFonts w:ascii="Arial" w:cs="Arial" w:eastAsia="Arial" w:hAnsi="Arial"/>
                <w:sz w:val="14"/>
                <w:szCs w:val="14"/>
                <w:color w:val="auto"/>
              </w:rPr>
              <w:t>Officer</w:t>
            </w:r>
          </w:p>
        </w:tc>
        <w:tc>
          <w:tcPr>
            <w:tcW w:w="500" w:type="dxa"/>
            <w:vAlign w:val="bottom"/>
            <w:tcBorders>
              <w:right w:val="single" w:sz="8" w:color="9EACCA"/>
            </w:tcBorders>
            <w:gridSpan w:val="2"/>
            <w:vMerge w:val="continue"/>
          </w:tcPr>
          <w:p>
            <w:pPr>
              <w:spacing w:after="0"/>
              <w:rPr>
                <w:sz w:val="6"/>
                <w:szCs w:val="6"/>
                <w:color w:val="auto"/>
              </w:rPr>
            </w:pPr>
          </w:p>
        </w:tc>
        <w:tc>
          <w:tcPr>
            <w:tcW w:w="720" w:type="dxa"/>
            <w:vAlign w:val="bottom"/>
            <w:tcBorders>
              <w:right w:val="single" w:sz="8" w:color="9EACCA"/>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right w:val="single" w:sz="8" w:color="9EACCA"/>
            </w:tcBorders>
            <w:vMerge w:val="continue"/>
          </w:tcPr>
          <w:p>
            <w:pPr>
              <w:spacing w:after="0"/>
              <w:rPr>
                <w:sz w:val="6"/>
                <w:szCs w:val="6"/>
                <w:color w:val="auto"/>
              </w:rPr>
            </w:pPr>
          </w:p>
        </w:tc>
        <w:tc>
          <w:tcPr>
            <w:tcW w:w="700" w:type="dxa"/>
            <w:vAlign w:val="bottom"/>
            <w:tcBorders>
              <w:right w:val="single" w:sz="8" w:color="9EACCA"/>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9EACCA"/>
            </w:tcBorders>
            <w:vMerge w:val="continue"/>
          </w:tcPr>
          <w:p>
            <w:pPr>
              <w:spacing w:after="0"/>
              <w:rPr>
                <w:sz w:val="6"/>
                <w:szCs w:val="6"/>
                <w:color w:val="auto"/>
              </w:rPr>
            </w:pPr>
          </w:p>
        </w:tc>
        <w:tc>
          <w:tcPr>
            <w:tcW w:w="1160" w:type="dxa"/>
            <w:vAlign w:val="bottom"/>
            <w:tcBorders>
              <w:right w:val="single" w:sz="8" w:color="9EACCA"/>
            </w:tcBorders>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Borders>
              <w:right w:val="single" w:sz="8" w:color="9EACCA"/>
            </w:tcBorders>
            <w:vMerge w:val="continue"/>
          </w:tcPr>
          <w:p>
            <w:pPr>
              <w:spacing w:after="0"/>
              <w:rPr>
                <w:sz w:val="6"/>
                <w:szCs w:val="6"/>
                <w:color w:val="auto"/>
              </w:rPr>
            </w:pPr>
          </w:p>
        </w:tc>
        <w:tc>
          <w:tcPr>
            <w:tcW w:w="1160" w:type="dxa"/>
            <w:vAlign w:val="bottom"/>
            <w:tcBorders>
              <w:right w:val="single" w:sz="8" w:color="9EACCA"/>
            </w:tcBorders>
            <w:gridSpan w:val="2"/>
            <w:vMerge w:val="continue"/>
          </w:tcPr>
          <w:p>
            <w:pPr>
              <w:spacing w:after="0"/>
              <w:rPr>
                <w:sz w:val="6"/>
                <w:szCs w:val="6"/>
                <w:color w:val="auto"/>
              </w:rPr>
            </w:pPr>
          </w:p>
        </w:tc>
        <w:tc>
          <w:tcPr>
            <w:tcW w:w="760" w:type="dxa"/>
            <w:vAlign w:val="bottom"/>
            <w:tcBorders>
              <w:right w:val="single" w:sz="8" w:color="3C58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3C5896"/>
              <w:right w:val="single" w:sz="8" w:color="9EACCA"/>
            </w:tcBorders>
            <w:vMerge w:val="continue"/>
          </w:tcPr>
          <w:p>
            <w:pPr>
              <w:spacing w:after="0"/>
              <w:rPr>
                <w:sz w:val="8"/>
                <w:szCs w:val="8"/>
                <w:color w:val="auto"/>
              </w:rPr>
            </w:pP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2017</w:t>
            </w:r>
          </w:p>
        </w:tc>
        <w:tc>
          <w:tcPr>
            <w:tcW w:w="72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700,346</w:t>
            </w:r>
          </w:p>
        </w:tc>
        <w:tc>
          <w:tcPr>
            <w:tcW w:w="100" w:type="dxa"/>
            <w:vAlign w:val="bottom"/>
          </w:tcPr>
          <w:p>
            <w:pPr>
              <w:spacing w:after="0"/>
              <w:rPr>
                <w:sz w:val="8"/>
                <w:szCs w:val="8"/>
                <w:color w:val="auto"/>
              </w:rPr>
            </w:pPr>
          </w:p>
        </w:tc>
        <w:tc>
          <w:tcPr>
            <w:tcW w:w="600" w:type="dxa"/>
            <w:vAlign w:val="bottom"/>
            <w:tcBorders>
              <w:right w:val="single" w:sz="8" w:color="9EACCA"/>
            </w:tcBorders>
            <w:vMerge w:val="restart"/>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8"/>
                <w:szCs w:val="8"/>
                <w:color w:val="auto"/>
              </w:rPr>
            </w:pPr>
          </w:p>
        </w:tc>
        <w:tc>
          <w:tcPr>
            <w:tcW w:w="740" w:type="dxa"/>
            <w:vAlign w:val="bottom"/>
            <w:tcBorders>
              <w:right w:val="single" w:sz="8" w:color="9EACCA"/>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gridSpan w:val="2"/>
            <w:vMerge w:val="restart"/>
          </w:tcPr>
          <w:p>
            <w:pPr>
              <w:jc w:val="right"/>
              <w:ind w:right="208"/>
              <w:spacing w:after="0"/>
              <w:rPr>
                <w:sz w:val="20"/>
                <w:szCs w:val="20"/>
                <w:color w:val="auto"/>
              </w:rPr>
            </w:pPr>
            <w:r>
              <w:rPr>
                <w:rFonts w:ascii="Arial" w:cs="Arial" w:eastAsia="Arial" w:hAnsi="Arial"/>
                <w:sz w:val="14"/>
                <w:szCs w:val="14"/>
                <w:color w:val="auto"/>
              </w:rPr>
              <w:t>574,249</w:t>
            </w:r>
          </w:p>
        </w:tc>
        <w:tc>
          <w:tcPr>
            <w:tcW w:w="500" w:type="dxa"/>
            <w:vAlign w:val="bottom"/>
          </w:tcPr>
          <w:p>
            <w:pPr>
              <w:spacing w:after="0"/>
              <w:rPr>
                <w:sz w:val="8"/>
                <w:szCs w:val="8"/>
                <w:color w:val="auto"/>
              </w:rPr>
            </w:pPr>
          </w:p>
        </w:tc>
        <w:tc>
          <w:tcPr>
            <w:tcW w:w="660" w:type="dxa"/>
            <w:vAlign w:val="bottom"/>
            <w:tcBorders>
              <w:right w:val="single" w:sz="8" w:color="9EACCA"/>
            </w:tcBorders>
            <w:vMerge w:val="restart"/>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vMerge w:val="restart"/>
          </w:tcPr>
          <w:p>
            <w:pPr>
              <w:jc w:val="right"/>
              <w:ind w:right="248"/>
              <w:spacing w:after="0"/>
              <w:rPr>
                <w:sz w:val="20"/>
                <w:szCs w:val="20"/>
                <w:color w:val="auto"/>
              </w:rPr>
            </w:pPr>
            <w:r>
              <w:rPr>
                <w:rFonts w:ascii="Arial" w:cs="Arial" w:eastAsia="Arial" w:hAnsi="Arial"/>
                <w:sz w:val="14"/>
                <w:szCs w:val="14"/>
                <w:color w:val="auto"/>
              </w:rPr>
              <w:t>23,240</w:t>
            </w:r>
          </w:p>
        </w:tc>
        <w:tc>
          <w:tcPr>
            <w:tcW w:w="760" w:type="dxa"/>
            <w:vAlign w:val="bottom"/>
            <w:tcBorders>
              <w:right w:val="single" w:sz="8" w:color="3C5896"/>
            </w:tcBorders>
            <w:gridSpan w:val="2"/>
            <w:vMerge w:val="restart"/>
          </w:tcPr>
          <w:p>
            <w:pPr>
              <w:jc w:val="right"/>
              <w:spacing w:after="0"/>
              <w:rPr>
                <w:sz w:val="20"/>
                <w:szCs w:val="20"/>
                <w:color w:val="auto"/>
              </w:rPr>
            </w:pPr>
            <w:r>
              <w:rPr>
                <w:rFonts w:ascii="Arial" w:cs="Arial" w:eastAsia="Arial" w:hAnsi="Arial"/>
                <w:sz w:val="14"/>
                <w:szCs w:val="14"/>
                <w:color w:val="auto"/>
              </w:rPr>
              <w:t>1,297,835</w:t>
            </w:r>
          </w:p>
        </w:tc>
        <w:tc>
          <w:tcPr>
            <w:tcW w:w="0" w:type="dxa"/>
            <w:vAlign w:val="bottom"/>
          </w:tcPr>
          <w:p>
            <w:pPr>
              <w:spacing w:after="0"/>
              <w:rPr>
                <w:sz w:val="1"/>
                <w:szCs w:val="1"/>
                <w:color w:val="auto"/>
              </w:rPr>
            </w:pPr>
          </w:p>
        </w:tc>
      </w:tr>
      <w:tr>
        <w:trPr>
          <w:trHeight w:val="135"/>
        </w:trPr>
        <w:tc>
          <w:tcPr>
            <w:tcW w:w="1540" w:type="dxa"/>
            <w:vAlign w:val="bottom"/>
            <w:tcBorders>
              <w:left w:val="single" w:sz="8" w:color="3C5896"/>
              <w:right w:val="single" w:sz="8" w:color="9EACCA"/>
            </w:tcBorders>
          </w:tcPr>
          <w:p>
            <w:pPr>
              <w:spacing w:after="0"/>
              <w:rPr>
                <w:sz w:val="11"/>
                <w:szCs w:val="11"/>
                <w:color w:val="auto"/>
              </w:rPr>
            </w:pPr>
          </w:p>
        </w:tc>
        <w:tc>
          <w:tcPr>
            <w:tcW w:w="500" w:type="dxa"/>
            <w:vAlign w:val="bottom"/>
            <w:tcBorders>
              <w:right w:val="single" w:sz="8" w:color="9EACCA"/>
            </w:tcBorders>
            <w:gridSpan w:val="2"/>
            <w:vMerge w:val="continue"/>
          </w:tcPr>
          <w:p>
            <w:pPr>
              <w:spacing w:after="0"/>
              <w:rPr>
                <w:sz w:val="11"/>
                <w:szCs w:val="11"/>
                <w:color w:val="auto"/>
              </w:rPr>
            </w:pPr>
          </w:p>
        </w:tc>
        <w:tc>
          <w:tcPr>
            <w:tcW w:w="720" w:type="dxa"/>
            <w:vAlign w:val="bottom"/>
            <w:tcBorders>
              <w:right w:val="single" w:sz="8" w:color="9EACCA"/>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right w:val="single" w:sz="8" w:color="9EACCA"/>
            </w:tcBorders>
            <w:vMerge w:val="continue"/>
          </w:tcPr>
          <w:p>
            <w:pPr>
              <w:spacing w:after="0"/>
              <w:rPr>
                <w:sz w:val="11"/>
                <w:szCs w:val="11"/>
                <w:color w:val="auto"/>
              </w:rPr>
            </w:pPr>
          </w:p>
        </w:tc>
        <w:tc>
          <w:tcPr>
            <w:tcW w:w="700" w:type="dxa"/>
            <w:vAlign w:val="bottom"/>
            <w:tcBorders>
              <w:right w:val="single" w:sz="8" w:color="9EACCA"/>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right w:val="single" w:sz="8" w:color="9EACCA"/>
            </w:tcBorders>
            <w:vMerge w:val="continue"/>
          </w:tcPr>
          <w:p>
            <w:pPr>
              <w:spacing w:after="0"/>
              <w:rPr>
                <w:sz w:val="11"/>
                <w:szCs w:val="11"/>
                <w:color w:val="auto"/>
              </w:rPr>
            </w:pPr>
          </w:p>
        </w:tc>
        <w:tc>
          <w:tcPr>
            <w:tcW w:w="1160" w:type="dxa"/>
            <w:vAlign w:val="bottom"/>
            <w:tcBorders>
              <w:right w:val="single" w:sz="8" w:color="9EACCA"/>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Borders>
              <w:right w:val="single" w:sz="8" w:color="9EACCA"/>
            </w:tcBorders>
            <w:vMerge w:val="continue"/>
          </w:tcPr>
          <w:p>
            <w:pPr>
              <w:spacing w:after="0"/>
              <w:rPr>
                <w:sz w:val="11"/>
                <w:szCs w:val="11"/>
                <w:color w:val="auto"/>
              </w:rPr>
            </w:pPr>
          </w:p>
        </w:tc>
        <w:tc>
          <w:tcPr>
            <w:tcW w:w="1160" w:type="dxa"/>
            <w:vAlign w:val="bottom"/>
            <w:tcBorders>
              <w:right w:val="single" w:sz="8" w:color="9EACCA"/>
            </w:tcBorders>
            <w:gridSpan w:val="2"/>
            <w:vMerge w:val="continue"/>
          </w:tcPr>
          <w:p>
            <w:pPr>
              <w:spacing w:after="0"/>
              <w:rPr>
                <w:sz w:val="11"/>
                <w:szCs w:val="11"/>
                <w:color w:val="auto"/>
              </w:rPr>
            </w:pPr>
          </w:p>
        </w:tc>
        <w:tc>
          <w:tcPr>
            <w:tcW w:w="760" w:type="dxa"/>
            <w:vAlign w:val="bottom"/>
            <w:tcBorders>
              <w:right w:val="single" w:sz="8" w:color="3C5896"/>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540" w:type="dxa"/>
            <w:vAlign w:val="bottom"/>
            <w:tcBorders>
              <w:left w:val="single" w:sz="8" w:color="3C5896"/>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right w:val="single" w:sz="8" w:color="9EACCA"/>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700" w:type="dxa"/>
            <w:vAlign w:val="bottom"/>
            <w:tcBorders>
              <w:right w:val="single" w:sz="8" w:color="9EACCA"/>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right w:val="single" w:sz="8" w:color="9EACCA"/>
            </w:tcBorders>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Borders>
              <w:right w:val="single" w:sz="8" w:color="9EACCA"/>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54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Patrick R. Moore</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2019</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444,231</w:t>
            </w:r>
          </w:p>
        </w:tc>
        <w:tc>
          <w:tcPr>
            <w:tcW w:w="100" w:type="dxa"/>
            <w:vAlign w:val="bottom"/>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600,031</w:t>
            </w:r>
          </w:p>
        </w:tc>
        <w:tc>
          <w:tcPr>
            <w:tcW w:w="80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4"/>
                <w:szCs w:val="14"/>
                <w:color w:val="auto"/>
              </w:rPr>
              <w:t>300,014</w:t>
            </w:r>
          </w:p>
        </w:tc>
        <w:tc>
          <w:tcPr>
            <w:tcW w:w="1160" w:type="dxa"/>
            <w:vAlign w:val="bottom"/>
            <w:tcBorders>
              <w:right w:val="single" w:sz="8" w:color="9EACCA"/>
            </w:tcBorders>
            <w:gridSpan w:val="2"/>
            <w:shd w:val="clear" w:color="auto" w:fill="CCCCCC"/>
          </w:tcPr>
          <w:p>
            <w:pPr>
              <w:jc w:val="right"/>
              <w:ind w:right="208"/>
              <w:spacing w:after="0"/>
              <w:rPr>
                <w:sz w:val="20"/>
                <w:szCs w:val="20"/>
                <w:color w:val="auto"/>
              </w:rPr>
            </w:pPr>
            <w:r>
              <w:rPr>
                <w:rFonts w:ascii="Arial" w:cs="Arial" w:eastAsia="Arial" w:hAnsi="Arial"/>
                <w:sz w:val="14"/>
                <w:szCs w:val="14"/>
                <w:color w:val="auto"/>
              </w:rPr>
              <w:t>371,669</w:t>
            </w:r>
          </w:p>
        </w:tc>
        <w:tc>
          <w:tcPr>
            <w:tcW w:w="500" w:type="dxa"/>
            <w:vAlign w:val="bottom"/>
            <w:shd w:val="clear" w:color="auto" w:fill="CCCCCC"/>
          </w:tcPr>
          <w:p>
            <w:pPr>
              <w:spacing w:after="0"/>
              <w:rPr>
                <w:sz w:val="18"/>
                <w:szCs w:val="18"/>
                <w:color w:val="auto"/>
              </w:rPr>
            </w:pPr>
          </w:p>
        </w:tc>
        <w:tc>
          <w:tcPr>
            <w:tcW w:w="660" w:type="dxa"/>
            <w:vAlign w:val="bottom"/>
            <w:tcBorders>
              <w:right w:val="single" w:sz="8" w:color="9EACCA"/>
            </w:tcBorders>
            <w:shd w:val="clear" w:color="auto" w:fill="CCCCCC"/>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shd w:val="clear" w:color="auto" w:fill="CCCCCC"/>
          </w:tcPr>
          <w:p>
            <w:pPr>
              <w:jc w:val="right"/>
              <w:ind w:right="248"/>
              <w:spacing w:after="0"/>
              <w:rPr>
                <w:sz w:val="20"/>
                <w:szCs w:val="20"/>
                <w:color w:val="auto"/>
              </w:rPr>
            </w:pPr>
            <w:r>
              <w:rPr>
                <w:rFonts w:ascii="Arial" w:cs="Arial" w:eastAsia="Arial" w:hAnsi="Arial"/>
                <w:sz w:val="14"/>
                <w:szCs w:val="14"/>
                <w:color w:val="auto"/>
              </w:rPr>
              <w:t>8,153</w:t>
            </w:r>
          </w:p>
        </w:tc>
        <w:tc>
          <w:tcPr>
            <w:tcW w:w="760" w:type="dxa"/>
            <w:vAlign w:val="bottom"/>
            <w:tcBorders>
              <w:right w:val="single" w:sz="8" w:color="3C5896"/>
            </w:tcBorders>
            <w:gridSpan w:val="2"/>
            <w:shd w:val="clear" w:color="auto" w:fill="CCCCCC"/>
          </w:tcPr>
          <w:p>
            <w:pPr>
              <w:jc w:val="right"/>
              <w:spacing w:after="0"/>
              <w:rPr>
                <w:sz w:val="20"/>
                <w:szCs w:val="20"/>
                <w:color w:val="auto"/>
              </w:rPr>
            </w:pPr>
            <w:r>
              <w:rPr>
                <w:rFonts w:ascii="Arial" w:cs="Arial" w:eastAsia="Arial" w:hAnsi="Arial"/>
                <w:sz w:val="14"/>
                <w:szCs w:val="14"/>
                <w:color w:val="auto"/>
                <w:highlight w:val="lightGray"/>
              </w:rPr>
              <w:t>1,724,098</w:t>
            </w: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CCCCC"/>
          </w:tcPr>
          <w:p>
            <w:pPr>
              <w:spacing w:after="0"/>
              <w:rPr>
                <w:sz w:val="14"/>
                <w:szCs w:val="14"/>
                <w:color w:val="auto"/>
              </w:rPr>
            </w:pPr>
          </w:p>
        </w:tc>
        <w:tc>
          <w:tcPr>
            <w:tcW w:w="640" w:type="dxa"/>
            <w:vAlign w:val="bottom"/>
            <w:tcBorders>
              <w:right w:val="single" w:sz="8" w:color="9EACCA"/>
            </w:tcBorders>
            <w:vMerge w:val="restart"/>
            <w:shd w:val="clear" w:color="auto" w:fill="CCCCCC"/>
          </w:tcPr>
          <w:p>
            <w:pPr>
              <w:jc w:val="center"/>
              <w:ind w:right="10"/>
              <w:spacing w:after="0"/>
              <w:rPr>
                <w:sz w:val="20"/>
                <w:szCs w:val="20"/>
                <w:color w:val="auto"/>
              </w:rPr>
            </w:pPr>
            <w:r>
              <w:rPr>
                <w:rFonts w:ascii="Arial" w:cs="Arial" w:eastAsia="Arial" w:hAnsi="Arial"/>
                <w:sz w:val="14"/>
                <w:szCs w:val="14"/>
                <w:color w:val="auto"/>
              </w:rPr>
              <w:t>421,923</w:t>
            </w:r>
          </w:p>
        </w:tc>
        <w:tc>
          <w:tcPr>
            <w:tcW w:w="100" w:type="dxa"/>
            <w:vAlign w:val="bottom"/>
            <w:shd w:val="clear" w:color="auto" w:fill="CCCCCC"/>
          </w:tcPr>
          <w:p>
            <w:pPr>
              <w:spacing w:after="0"/>
              <w:rPr>
                <w:sz w:val="14"/>
                <w:szCs w:val="14"/>
                <w:color w:val="auto"/>
              </w:rPr>
            </w:pPr>
          </w:p>
        </w:tc>
        <w:tc>
          <w:tcPr>
            <w:tcW w:w="600" w:type="dxa"/>
            <w:vAlign w:val="bottom"/>
            <w:tcBorders>
              <w:right w:val="single" w:sz="8" w:color="9EACCA"/>
            </w:tcBorders>
            <w:vMerge w:val="restart"/>
            <w:shd w:val="clear" w:color="auto" w:fill="CCCCCC"/>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14"/>
                <w:szCs w:val="14"/>
                <w:color w:val="auto"/>
              </w:rPr>
            </w:pPr>
          </w:p>
        </w:tc>
        <w:tc>
          <w:tcPr>
            <w:tcW w:w="740" w:type="dxa"/>
            <w:vAlign w:val="bottom"/>
            <w:tcBorders>
              <w:right w:val="single" w:sz="8" w:color="9EACCA"/>
            </w:tcBorders>
            <w:vMerge w:val="restart"/>
            <w:shd w:val="clear" w:color="auto" w:fill="CCCCC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4"/>
                <w:szCs w:val="14"/>
                <w:color w:val="auto"/>
              </w:rPr>
            </w:pPr>
          </w:p>
        </w:tc>
        <w:tc>
          <w:tcPr>
            <w:tcW w:w="9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rPr>
              <w:t>161,418</w:t>
            </w: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vMerge w:val="restart"/>
            <w:shd w:val="clear" w:color="auto" w:fill="CCCCCC"/>
          </w:tcPr>
          <w:p>
            <w:pPr>
              <w:jc w:val="right"/>
              <w:ind w:right="448"/>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CCCC"/>
          </w:tcPr>
          <w:p>
            <w:pPr>
              <w:spacing w:after="0"/>
              <w:rPr>
                <w:sz w:val="14"/>
                <w:szCs w:val="14"/>
                <w:color w:val="auto"/>
              </w:rPr>
            </w:pPr>
          </w:p>
        </w:tc>
        <w:tc>
          <w:tcPr>
            <w:tcW w:w="840" w:type="dxa"/>
            <w:vAlign w:val="bottom"/>
            <w:tcBorders>
              <w:right w:val="single" w:sz="8" w:color="9EACCA"/>
            </w:tcBorders>
            <w:vMerge w:val="restart"/>
            <w:shd w:val="clear" w:color="auto" w:fill="CCCCCC"/>
          </w:tcPr>
          <w:p>
            <w:pPr>
              <w:jc w:val="right"/>
              <w:ind w:right="248"/>
              <w:spacing w:after="0"/>
              <w:rPr>
                <w:sz w:val="20"/>
                <w:szCs w:val="20"/>
                <w:color w:val="auto"/>
              </w:rPr>
            </w:pPr>
            <w:r>
              <w:rPr>
                <w:rFonts w:ascii="Arial" w:cs="Arial" w:eastAsia="Arial" w:hAnsi="Arial"/>
                <w:sz w:val="14"/>
                <w:szCs w:val="14"/>
                <w:color w:val="auto"/>
              </w:rPr>
              <w:t>7,404</w:t>
            </w: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vMerge w:val="restart"/>
            <w:shd w:val="clear" w:color="auto" w:fill="CCCCCC"/>
          </w:tcPr>
          <w:p>
            <w:pPr>
              <w:jc w:val="right"/>
              <w:spacing w:after="0"/>
              <w:rPr>
                <w:sz w:val="20"/>
                <w:szCs w:val="20"/>
                <w:color w:val="auto"/>
              </w:rPr>
            </w:pPr>
            <w:r>
              <w:rPr>
                <w:rFonts w:ascii="Arial" w:cs="Arial" w:eastAsia="Arial" w:hAnsi="Arial"/>
                <w:sz w:val="14"/>
                <w:szCs w:val="14"/>
                <w:color w:val="auto"/>
              </w:rPr>
              <w:t>590,745</w:t>
            </w:r>
          </w:p>
        </w:tc>
        <w:tc>
          <w:tcPr>
            <w:tcW w:w="0" w:type="dxa"/>
            <w:vAlign w:val="bottom"/>
          </w:tcPr>
          <w:p>
            <w:pPr>
              <w:spacing w:after="0"/>
              <w:rPr>
                <w:sz w:val="1"/>
                <w:szCs w:val="1"/>
                <w:color w:val="auto"/>
              </w:rPr>
            </w:pPr>
          </w:p>
        </w:tc>
      </w:tr>
      <w:tr>
        <w:trPr>
          <w:trHeight w:val="78"/>
        </w:trPr>
        <w:tc>
          <w:tcPr>
            <w:tcW w:w="1540" w:type="dxa"/>
            <w:vAlign w:val="bottom"/>
            <w:tcBorders>
              <w:left w:val="single" w:sz="8" w:color="3C5896"/>
              <w:right w:val="single" w:sz="8" w:color="9EACCA"/>
            </w:tcBorders>
            <w:vMerge w:val="restart"/>
            <w:shd w:val="clear" w:color="auto" w:fill="CCCCCC"/>
          </w:tcPr>
          <w:p>
            <w:pPr>
              <w:ind w:left="180"/>
              <w:spacing w:after="0"/>
              <w:rPr>
                <w:sz w:val="20"/>
                <w:szCs w:val="20"/>
                <w:color w:val="auto"/>
              </w:rPr>
            </w:pPr>
            <w:r>
              <w:rPr>
                <w:rFonts w:ascii="Arial" w:cs="Arial" w:eastAsia="Arial" w:hAnsi="Arial"/>
                <w:sz w:val="14"/>
                <w:szCs w:val="14"/>
                <w:color w:val="auto"/>
              </w:rPr>
              <w:t>President and</w:t>
            </w:r>
          </w:p>
        </w:tc>
        <w:tc>
          <w:tcPr>
            <w:tcW w:w="80" w:type="dxa"/>
            <w:vAlign w:val="bottom"/>
            <w:shd w:val="clear" w:color="auto" w:fill="CCCCCC"/>
          </w:tcPr>
          <w:p>
            <w:pPr>
              <w:spacing w:after="0"/>
              <w:rPr>
                <w:sz w:val="6"/>
                <w:szCs w:val="6"/>
                <w:color w:val="auto"/>
              </w:rPr>
            </w:pPr>
          </w:p>
        </w:tc>
        <w:tc>
          <w:tcPr>
            <w:tcW w:w="420" w:type="dxa"/>
            <w:vAlign w:val="bottom"/>
            <w:tcBorders>
              <w:right w:val="single" w:sz="8" w:color="9EACCA"/>
            </w:tcBorders>
            <w:vMerge w:val="continue"/>
            <w:shd w:val="clear" w:color="auto" w:fill="CCCCCC"/>
          </w:tcPr>
          <w:p>
            <w:pPr>
              <w:spacing w:after="0"/>
              <w:rPr>
                <w:sz w:val="6"/>
                <w:szCs w:val="6"/>
                <w:color w:val="auto"/>
              </w:rPr>
            </w:pPr>
          </w:p>
        </w:tc>
        <w:tc>
          <w:tcPr>
            <w:tcW w:w="80" w:type="dxa"/>
            <w:vAlign w:val="bottom"/>
            <w:shd w:val="clear" w:color="auto" w:fill="CCCCCC"/>
          </w:tcPr>
          <w:p>
            <w:pPr>
              <w:spacing w:after="0"/>
              <w:rPr>
                <w:sz w:val="6"/>
                <w:szCs w:val="6"/>
                <w:color w:val="auto"/>
              </w:rPr>
            </w:pPr>
          </w:p>
        </w:tc>
        <w:tc>
          <w:tcPr>
            <w:tcW w:w="640" w:type="dxa"/>
            <w:vAlign w:val="bottom"/>
            <w:tcBorders>
              <w:right w:val="single" w:sz="8" w:color="9EACCA"/>
            </w:tcBorders>
            <w:vMerge w:val="continue"/>
            <w:shd w:val="clear" w:color="auto" w:fill="CCCCCC"/>
          </w:tcPr>
          <w:p>
            <w:pPr>
              <w:spacing w:after="0"/>
              <w:rPr>
                <w:sz w:val="6"/>
                <w:szCs w:val="6"/>
                <w:color w:val="auto"/>
              </w:rPr>
            </w:pPr>
          </w:p>
        </w:tc>
        <w:tc>
          <w:tcPr>
            <w:tcW w:w="100" w:type="dxa"/>
            <w:vAlign w:val="bottom"/>
            <w:shd w:val="clear" w:color="auto" w:fill="CCCCCC"/>
          </w:tcPr>
          <w:p>
            <w:pPr>
              <w:spacing w:after="0"/>
              <w:rPr>
                <w:sz w:val="6"/>
                <w:szCs w:val="6"/>
                <w:color w:val="auto"/>
              </w:rPr>
            </w:pPr>
          </w:p>
        </w:tc>
        <w:tc>
          <w:tcPr>
            <w:tcW w:w="600" w:type="dxa"/>
            <w:vAlign w:val="bottom"/>
            <w:tcBorders>
              <w:right w:val="single" w:sz="8" w:color="9EACCA"/>
            </w:tcBorders>
            <w:vMerge w:val="continue"/>
            <w:shd w:val="clear" w:color="auto" w:fill="CCCCCC"/>
          </w:tcPr>
          <w:p>
            <w:pPr>
              <w:spacing w:after="0"/>
              <w:rPr>
                <w:sz w:val="6"/>
                <w:szCs w:val="6"/>
                <w:color w:val="auto"/>
              </w:rPr>
            </w:pPr>
          </w:p>
        </w:tc>
        <w:tc>
          <w:tcPr>
            <w:tcW w:w="700" w:type="dxa"/>
            <w:vAlign w:val="bottom"/>
            <w:tcBorders>
              <w:right w:val="single" w:sz="8" w:color="9EACCA"/>
            </w:tcBorders>
            <w:vMerge w:val="continue"/>
            <w:shd w:val="clear" w:color="auto" w:fill="CCCCCC"/>
          </w:tcPr>
          <w:p>
            <w:pPr>
              <w:spacing w:after="0"/>
              <w:rPr>
                <w:sz w:val="6"/>
                <w:szCs w:val="6"/>
                <w:color w:val="auto"/>
              </w:rPr>
            </w:pPr>
          </w:p>
        </w:tc>
        <w:tc>
          <w:tcPr>
            <w:tcW w:w="60" w:type="dxa"/>
            <w:vAlign w:val="bottom"/>
            <w:shd w:val="clear" w:color="auto" w:fill="CCCCCC"/>
          </w:tcPr>
          <w:p>
            <w:pPr>
              <w:spacing w:after="0"/>
              <w:rPr>
                <w:sz w:val="6"/>
                <w:szCs w:val="6"/>
                <w:color w:val="auto"/>
              </w:rPr>
            </w:pPr>
          </w:p>
        </w:tc>
        <w:tc>
          <w:tcPr>
            <w:tcW w:w="740" w:type="dxa"/>
            <w:vAlign w:val="bottom"/>
            <w:tcBorders>
              <w:right w:val="single" w:sz="8" w:color="9EACCA"/>
            </w:tcBorders>
            <w:vMerge w:val="continue"/>
            <w:shd w:val="clear" w:color="auto" w:fill="CCCCCC"/>
          </w:tcPr>
          <w:p>
            <w:pPr>
              <w:spacing w:after="0"/>
              <w:rPr>
                <w:sz w:val="6"/>
                <w:szCs w:val="6"/>
                <w:color w:val="auto"/>
              </w:rPr>
            </w:pPr>
          </w:p>
        </w:tc>
        <w:tc>
          <w:tcPr>
            <w:tcW w:w="240" w:type="dxa"/>
            <w:vAlign w:val="bottom"/>
            <w:shd w:val="clear" w:color="auto" w:fill="CCCCCC"/>
          </w:tcPr>
          <w:p>
            <w:pPr>
              <w:spacing w:after="0"/>
              <w:rPr>
                <w:sz w:val="6"/>
                <w:szCs w:val="6"/>
                <w:color w:val="auto"/>
              </w:rPr>
            </w:pPr>
          </w:p>
        </w:tc>
        <w:tc>
          <w:tcPr>
            <w:tcW w:w="920" w:type="dxa"/>
            <w:vAlign w:val="bottom"/>
            <w:tcBorders>
              <w:right w:val="single" w:sz="8" w:color="9EACCA"/>
            </w:tcBorders>
            <w:vMerge w:val="continue"/>
            <w:shd w:val="clear" w:color="auto" w:fill="CCCCCC"/>
          </w:tcPr>
          <w:p>
            <w:pPr>
              <w:spacing w:after="0"/>
              <w:rPr>
                <w:sz w:val="6"/>
                <w:szCs w:val="6"/>
                <w:color w:val="auto"/>
              </w:rPr>
            </w:pPr>
          </w:p>
        </w:tc>
        <w:tc>
          <w:tcPr>
            <w:tcW w:w="500" w:type="dxa"/>
            <w:vAlign w:val="bottom"/>
            <w:shd w:val="clear" w:color="auto" w:fill="CCCCCC"/>
          </w:tcPr>
          <w:p>
            <w:pPr>
              <w:spacing w:after="0"/>
              <w:rPr>
                <w:sz w:val="6"/>
                <w:szCs w:val="6"/>
                <w:color w:val="auto"/>
              </w:rPr>
            </w:pPr>
          </w:p>
        </w:tc>
        <w:tc>
          <w:tcPr>
            <w:tcW w:w="660" w:type="dxa"/>
            <w:vAlign w:val="bottom"/>
            <w:tcBorders>
              <w:right w:val="single" w:sz="8" w:color="9EACCA"/>
            </w:tcBorders>
            <w:vMerge w:val="continue"/>
            <w:shd w:val="clear" w:color="auto" w:fill="CCCCCC"/>
          </w:tcPr>
          <w:p>
            <w:pPr>
              <w:spacing w:after="0"/>
              <w:rPr>
                <w:sz w:val="6"/>
                <w:szCs w:val="6"/>
                <w:color w:val="auto"/>
              </w:rPr>
            </w:pPr>
          </w:p>
        </w:tc>
        <w:tc>
          <w:tcPr>
            <w:tcW w:w="320" w:type="dxa"/>
            <w:vAlign w:val="bottom"/>
            <w:shd w:val="clear" w:color="auto" w:fill="CCCCCC"/>
          </w:tcPr>
          <w:p>
            <w:pPr>
              <w:spacing w:after="0"/>
              <w:rPr>
                <w:sz w:val="6"/>
                <w:szCs w:val="6"/>
                <w:color w:val="auto"/>
              </w:rPr>
            </w:pPr>
          </w:p>
        </w:tc>
        <w:tc>
          <w:tcPr>
            <w:tcW w:w="840" w:type="dxa"/>
            <w:vAlign w:val="bottom"/>
            <w:tcBorders>
              <w:right w:val="single" w:sz="8" w:color="9EACCA"/>
            </w:tcBorders>
            <w:vMerge w:val="continue"/>
            <w:shd w:val="clear" w:color="auto" w:fill="CCCCCC"/>
          </w:tcPr>
          <w:p>
            <w:pPr>
              <w:spacing w:after="0"/>
              <w:rPr>
                <w:sz w:val="6"/>
                <w:szCs w:val="6"/>
                <w:color w:val="auto"/>
              </w:rPr>
            </w:pPr>
          </w:p>
        </w:tc>
        <w:tc>
          <w:tcPr>
            <w:tcW w:w="40" w:type="dxa"/>
            <w:vAlign w:val="bottom"/>
            <w:shd w:val="clear" w:color="auto" w:fill="CCCCCC"/>
          </w:tcPr>
          <w:p>
            <w:pPr>
              <w:spacing w:after="0"/>
              <w:rPr>
                <w:sz w:val="6"/>
                <w:szCs w:val="6"/>
                <w:color w:val="auto"/>
              </w:rPr>
            </w:pPr>
          </w:p>
        </w:tc>
        <w:tc>
          <w:tcPr>
            <w:tcW w:w="720" w:type="dxa"/>
            <w:vAlign w:val="bottom"/>
            <w:tcBorders>
              <w:right w:val="single" w:sz="8" w:color="3C5896"/>
            </w:tcBorders>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540" w:type="dxa"/>
            <w:vAlign w:val="bottom"/>
            <w:tcBorders>
              <w:left w:val="single" w:sz="8" w:color="3C5896"/>
              <w:right w:val="single" w:sz="8" w:color="9EACCA"/>
            </w:tcBorders>
            <w:vMerge w:val="continue"/>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2017</w:t>
            </w:r>
          </w:p>
        </w:tc>
        <w:tc>
          <w:tcPr>
            <w:tcW w:w="80" w:type="dxa"/>
            <w:vAlign w:val="bottom"/>
            <w:shd w:val="clear" w:color="auto" w:fill="CCCCCC"/>
          </w:tcPr>
          <w:p>
            <w:pPr>
              <w:spacing w:after="0"/>
              <w:rPr>
                <w:sz w:val="7"/>
                <w:szCs w:val="7"/>
                <w:color w:val="auto"/>
              </w:rPr>
            </w:pPr>
          </w:p>
        </w:tc>
        <w:tc>
          <w:tcPr>
            <w:tcW w:w="640" w:type="dxa"/>
            <w:vAlign w:val="bottom"/>
            <w:tcBorders>
              <w:right w:val="single" w:sz="8" w:color="9EACCA"/>
            </w:tcBorders>
            <w:vMerge w:val="restart"/>
            <w:shd w:val="clear" w:color="auto" w:fill="CCCCCC"/>
          </w:tcPr>
          <w:p>
            <w:pPr>
              <w:jc w:val="center"/>
              <w:ind w:right="10"/>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CCCC"/>
          </w:tcPr>
          <w:p>
            <w:pPr>
              <w:spacing w:after="0"/>
              <w:rPr>
                <w:sz w:val="7"/>
                <w:szCs w:val="7"/>
                <w:color w:val="auto"/>
              </w:rPr>
            </w:pPr>
          </w:p>
        </w:tc>
        <w:tc>
          <w:tcPr>
            <w:tcW w:w="600" w:type="dxa"/>
            <w:vAlign w:val="bottom"/>
            <w:tcBorders>
              <w:right w:val="single" w:sz="8" w:color="9EACCA"/>
            </w:tcBorders>
            <w:vMerge w:val="restart"/>
            <w:shd w:val="clear" w:color="auto" w:fill="CCCCCC"/>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7"/>
                <w:szCs w:val="7"/>
                <w:color w:val="auto"/>
              </w:rPr>
            </w:pPr>
          </w:p>
        </w:tc>
        <w:tc>
          <w:tcPr>
            <w:tcW w:w="740" w:type="dxa"/>
            <w:vAlign w:val="bottom"/>
            <w:tcBorders>
              <w:right w:val="single" w:sz="8" w:color="9EACCA"/>
            </w:tcBorders>
            <w:vMerge w:val="restart"/>
            <w:shd w:val="clear" w:color="auto" w:fill="CCCCCC"/>
          </w:tcPr>
          <w:p>
            <w:pPr>
              <w:jc w:val="right"/>
              <w:ind w:right="30"/>
              <w:spacing w:after="0"/>
              <w:rPr>
                <w:sz w:val="20"/>
                <w:szCs w:val="20"/>
                <w:color w:val="auto"/>
              </w:rPr>
            </w:pPr>
            <w:r>
              <w:rPr>
                <w:rFonts w:ascii="Arial" w:cs="Arial" w:eastAsia="Arial" w:hAnsi="Arial"/>
                <w:sz w:val="14"/>
                <w:szCs w:val="14"/>
                <w:color w:val="auto"/>
              </w:rPr>
              <w:t>848,442</w:t>
            </w:r>
          </w:p>
        </w:tc>
        <w:tc>
          <w:tcPr>
            <w:tcW w:w="240" w:type="dxa"/>
            <w:vAlign w:val="bottom"/>
            <w:shd w:val="clear" w:color="auto" w:fill="CCCCCC"/>
          </w:tcPr>
          <w:p>
            <w:pPr>
              <w:spacing w:after="0"/>
              <w:rPr>
                <w:sz w:val="7"/>
                <w:szCs w:val="7"/>
                <w:color w:val="auto"/>
              </w:rPr>
            </w:pPr>
          </w:p>
        </w:tc>
        <w:tc>
          <w:tcPr>
            <w:tcW w:w="9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rPr>
              <w:t>221,403</w:t>
            </w:r>
          </w:p>
        </w:tc>
        <w:tc>
          <w:tcPr>
            <w:tcW w:w="500" w:type="dxa"/>
            <w:vAlign w:val="bottom"/>
            <w:shd w:val="clear" w:color="auto" w:fill="CCCCCC"/>
          </w:tcPr>
          <w:p>
            <w:pPr>
              <w:spacing w:after="0"/>
              <w:rPr>
                <w:sz w:val="7"/>
                <w:szCs w:val="7"/>
                <w:color w:val="auto"/>
              </w:rPr>
            </w:pPr>
          </w:p>
        </w:tc>
        <w:tc>
          <w:tcPr>
            <w:tcW w:w="660" w:type="dxa"/>
            <w:vAlign w:val="bottom"/>
            <w:tcBorders>
              <w:right w:val="single" w:sz="8" w:color="9EACCA"/>
            </w:tcBorders>
            <w:vMerge w:val="restart"/>
            <w:shd w:val="clear" w:color="auto" w:fill="CCCCCC"/>
          </w:tcPr>
          <w:p>
            <w:pPr>
              <w:jc w:val="right"/>
              <w:ind w:right="448"/>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CCCC"/>
          </w:tcPr>
          <w:p>
            <w:pPr>
              <w:spacing w:after="0"/>
              <w:rPr>
                <w:sz w:val="7"/>
                <w:szCs w:val="7"/>
                <w:color w:val="auto"/>
              </w:rPr>
            </w:pPr>
          </w:p>
        </w:tc>
        <w:tc>
          <w:tcPr>
            <w:tcW w:w="840" w:type="dxa"/>
            <w:vAlign w:val="bottom"/>
            <w:tcBorders>
              <w:right w:val="single" w:sz="8" w:color="9EACCA"/>
            </w:tcBorders>
            <w:vMerge w:val="restart"/>
            <w:shd w:val="clear" w:color="auto" w:fill="CCCCCC"/>
          </w:tcPr>
          <w:p>
            <w:pPr>
              <w:jc w:val="right"/>
              <w:ind w:right="248"/>
              <w:spacing w:after="0"/>
              <w:rPr>
                <w:sz w:val="20"/>
                <w:szCs w:val="20"/>
                <w:color w:val="auto"/>
              </w:rPr>
            </w:pPr>
            <w:r>
              <w:rPr>
                <w:rFonts w:ascii="Arial" w:cs="Arial" w:eastAsia="Arial" w:hAnsi="Arial"/>
                <w:sz w:val="14"/>
                <w:szCs w:val="14"/>
                <w:color w:val="auto"/>
              </w:rPr>
              <w:t>93,882</w:t>
            </w:r>
          </w:p>
        </w:tc>
        <w:tc>
          <w:tcPr>
            <w:tcW w:w="40" w:type="dxa"/>
            <w:vAlign w:val="bottom"/>
            <w:shd w:val="clear" w:color="auto" w:fill="CCCCCC"/>
          </w:tcPr>
          <w:p>
            <w:pPr>
              <w:spacing w:after="0"/>
              <w:rPr>
                <w:sz w:val="7"/>
                <w:szCs w:val="7"/>
                <w:color w:val="auto"/>
              </w:rPr>
            </w:pPr>
          </w:p>
        </w:tc>
        <w:tc>
          <w:tcPr>
            <w:tcW w:w="720" w:type="dxa"/>
            <w:vAlign w:val="bottom"/>
            <w:tcBorders>
              <w:right w:val="single" w:sz="8" w:color="3C5896"/>
            </w:tcBorders>
            <w:vMerge w:val="restart"/>
            <w:shd w:val="clear" w:color="auto" w:fill="CCCCCC"/>
          </w:tcPr>
          <w:p>
            <w:pPr>
              <w:jc w:val="right"/>
              <w:spacing w:after="0"/>
              <w:rPr>
                <w:sz w:val="20"/>
                <w:szCs w:val="20"/>
                <w:color w:val="auto"/>
              </w:rPr>
            </w:pPr>
            <w:r>
              <w:rPr>
                <w:rFonts w:ascii="Arial" w:cs="Arial" w:eastAsia="Arial" w:hAnsi="Arial"/>
                <w:sz w:val="14"/>
                <w:szCs w:val="14"/>
                <w:color w:val="auto"/>
              </w:rPr>
              <w:t>1,563,727</w:t>
            </w: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Chief Financial</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vMerge w:val="continue"/>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640" w:type="dxa"/>
            <w:vAlign w:val="bottom"/>
            <w:tcBorders>
              <w:right w:val="single" w:sz="8" w:color="9EACCA"/>
            </w:tcBorders>
            <w:vMerge w:val="continue"/>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600" w:type="dxa"/>
            <w:vAlign w:val="bottom"/>
            <w:tcBorders>
              <w:right w:val="single" w:sz="8" w:color="9EACCA"/>
            </w:tcBorders>
            <w:vMerge w:val="continue"/>
            <w:shd w:val="clear" w:color="auto" w:fill="CCCCCC"/>
          </w:tcPr>
          <w:p>
            <w:pPr>
              <w:spacing w:after="0"/>
              <w:rPr>
                <w:sz w:val="14"/>
                <w:szCs w:val="14"/>
                <w:color w:val="auto"/>
              </w:rPr>
            </w:pPr>
          </w:p>
        </w:tc>
        <w:tc>
          <w:tcPr>
            <w:tcW w:w="700" w:type="dxa"/>
            <w:vAlign w:val="bottom"/>
            <w:tcBorders>
              <w:right w:val="single" w:sz="8" w:color="9EACCA"/>
            </w:tcBorders>
            <w:vMerge w:val="continue"/>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40" w:type="dxa"/>
            <w:vAlign w:val="bottom"/>
            <w:tcBorders>
              <w:right w:val="single" w:sz="8" w:color="9EACCA"/>
            </w:tcBorders>
            <w:vMerge w:val="continue"/>
            <w:shd w:val="clear" w:color="auto" w:fill="CCCCCC"/>
          </w:tcPr>
          <w:p>
            <w:pPr>
              <w:spacing w:after="0"/>
              <w:rPr>
                <w:sz w:val="14"/>
                <w:szCs w:val="14"/>
                <w:color w:val="auto"/>
              </w:rPr>
            </w:pPr>
          </w:p>
        </w:tc>
        <w:tc>
          <w:tcPr>
            <w:tcW w:w="240" w:type="dxa"/>
            <w:vAlign w:val="bottom"/>
            <w:shd w:val="clear" w:color="auto" w:fill="CCCCCC"/>
          </w:tcPr>
          <w:p>
            <w:pPr>
              <w:spacing w:after="0"/>
              <w:rPr>
                <w:sz w:val="14"/>
                <w:szCs w:val="14"/>
                <w:color w:val="auto"/>
              </w:rPr>
            </w:pPr>
          </w:p>
        </w:tc>
        <w:tc>
          <w:tcPr>
            <w:tcW w:w="920" w:type="dxa"/>
            <w:vAlign w:val="bottom"/>
            <w:tcBorders>
              <w:right w:val="single" w:sz="8" w:color="9EACCA"/>
            </w:tcBorders>
            <w:vMerge w:val="continue"/>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vMerge w:val="continue"/>
            <w:shd w:val="clear" w:color="auto" w:fill="CCCCCC"/>
          </w:tcPr>
          <w:p>
            <w:pPr>
              <w:spacing w:after="0"/>
              <w:rPr>
                <w:sz w:val="14"/>
                <w:szCs w:val="14"/>
                <w:color w:val="auto"/>
              </w:rPr>
            </w:pPr>
          </w:p>
        </w:tc>
        <w:tc>
          <w:tcPr>
            <w:tcW w:w="320" w:type="dxa"/>
            <w:vAlign w:val="bottom"/>
            <w:shd w:val="clear" w:color="auto" w:fill="CCCCCC"/>
          </w:tcPr>
          <w:p>
            <w:pPr>
              <w:spacing w:after="0"/>
              <w:rPr>
                <w:sz w:val="14"/>
                <w:szCs w:val="14"/>
                <w:color w:val="auto"/>
              </w:rPr>
            </w:pPr>
          </w:p>
        </w:tc>
        <w:tc>
          <w:tcPr>
            <w:tcW w:w="840" w:type="dxa"/>
            <w:vAlign w:val="bottom"/>
            <w:tcBorders>
              <w:right w:val="single" w:sz="8" w:color="9EACCA"/>
            </w:tcBorders>
            <w:vMerge w:val="continue"/>
            <w:shd w:val="clear" w:color="auto" w:fill="CCCCCC"/>
          </w:tcPr>
          <w:p>
            <w:pPr>
              <w:spacing w:after="0"/>
              <w:rPr>
                <w:sz w:val="14"/>
                <w:szCs w:val="14"/>
                <w:color w:val="auto"/>
              </w:rPr>
            </w:pP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vMerge w:val="continue"/>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3C5896"/>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Officer</w:t>
            </w:r>
          </w:p>
        </w:tc>
        <w:tc>
          <w:tcPr>
            <w:tcW w:w="80" w:type="dxa"/>
            <w:vAlign w:val="bottom"/>
            <w:tcBorders>
              <w:bottom w:val="single" w:sz="8" w:color="CCCCCC"/>
            </w:tcBorders>
            <w:shd w:val="clear" w:color="auto" w:fill="CCCCCC"/>
          </w:tcPr>
          <w:p>
            <w:pPr>
              <w:spacing w:after="0"/>
              <w:rPr>
                <w:sz w:val="16"/>
                <w:szCs w:val="16"/>
                <w:color w:val="auto"/>
              </w:rPr>
            </w:pPr>
          </w:p>
        </w:tc>
        <w:tc>
          <w:tcPr>
            <w:tcW w:w="420" w:type="dxa"/>
            <w:vAlign w:val="bottom"/>
            <w:tcBorders>
              <w:bottom w:val="single" w:sz="8" w:color="CCCCCC"/>
              <w:right w:val="single" w:sz="8" w:color="9EACCA"/>
            </w:tcBorders>
            <w:shd w:val="clear" w:color="auto" w:fill="CCCCCC"/>
          </w:tcPr>
          <w:p>
            <w:pPr>
              <w:spacing w:after="0"/>
              <w:rPr>
                <w:sz w:val="16"/>
                <w:szCs w:val="16"/>
                <w:color w:val="auto"/>
              </w:rPr>
            </w:pPr>
          </w:p>
        </w:tc>
        <w:tc>
          <w:tcPr>
            <w:tcW w:w="80" w:type="dxa"/>
            <w:vAlign w:val="bottom"/>
            <w:tcBorders>
              <w:bottom w:val="single" w:sz="8" w:color="CCCCCC"/>
            </w:tcBorders>
            <w:shd w:val="clear" w:color="auto" w:fill="CCCCCC"/>
          </w:tcPr>
          <w:p>
            <w:pPr>
              <w:spacing w:after="0"/>
              <w:rPr>
                <w:sz w:val="16"/>
                <w:szCs w:val="16"/>
                <w:color w:val="auto"/>
              </w:rPr>
            </w:pPr>
          </w:p>
        </w:tc>
        <w:tc>
          <w:tcPr>
            <w:tcW w:w="640" w:type="dxa"/>
            <w:vAlign w:val="bottom"/>
            <w:tcBorders>
              <w:bottom w:val="single" w:sz="8" w:color="CCCCCC"/>
              <w:right w:val="single" w:sz="8" w:color="9EACCA"/>
            </w:tcBorders>
            <w:shd w:val="clear" w:color="auto" w:fill="CCCCCC"/>
          </w:tcPr>
          <w:p>
            <w:pPr>
              <w:spacing w:after="0"/>
              <w:rPr>
                <w:sz w:val="16"/>
                <w:szCs w:val="16"/>
                <w:color w:val="auto"/>
              </w:rPr>
            </w:pPr>
          </w:p>
        </w:tc>
        <w:tc>
          <w:tcPr>
            <w:tcW w:w="100" w:type="dxa"/>
            <w:vAlign w:val="bottom"/>
            <w:tcBorders>
              <w:bottom w:val="single" w:sz="8" w:color="CCCCCC"/>
            </w:tcBorders>
            <w:shd w:val="clear" w:color="auto" w:fill="CCCCCC"/>
          </w:tcPr>
          <w:p>
            <w:pPr>
              <w:spacing w:after="0"/>
              <w:rPr>
                <w:sz w:val="16"/>
                <w:szCs w:val="16"/>
                <w:color w:val="auto"/>
              </w:rPr>
            </w:pPr>
          </w:p>
        </w:tc>
        <w:tc>
          <w:tcPr>
            <w:tcW w:w="600" w:type="dxa"/>
            <w:vAlign w:val="bottom"/>
            <w:tcBorders>
              <w:bottom w:val="single" w:sz="8" w:color="CCCCCC"/>
              <w:right w:val="single" w:sz="8" w:color="9EACCA"/>
            </w:tcBorders>
            <w:shd w:val="clear" w:color="auto" w:fill="CCCCCC"/>
          </w:tcPr>
          <w:p>
            <w:pPr>
              <w:spacing w:after="0"/>
              <w:rPr>
                <w:sz w:val="16"/>
                <w:szCs w:val="16"/>
                <w:color w:val="auto"/>
              </w:rPr>
            </w:pPr>
          </w:p>
        </w:tc>
        <w:tc>
          <w:tcPr>
            <w:tcW w:w="700" w:type="dxa"/>
            <w:vAlign w:val="bottom"/>
            <w:tcBorders>
              <w:bottom w:val="single" w:sz="8" w:color="CCCCCC"/>
              <w:right w:val="single" w:sz="8" w:color="9EACCA"/>
            </w:tcBorders>
            <w:shd w:val="clear" w:color="auto" w:fill="CCCCCC"/>
          </w:tcPr>
          <w:p>
            <w:pPr>
              <w:spacing w:after="0"/>
              <w:rPr>
                <w:sz w:val="16"/>
                <w:szCs w:val="16"/>
                <w:color w:val="auto"/>
              </w:rPr>
            </w:pPr>
          </w:p>
        </w:tc>
        <w:tc>
          <w:tcPr>
            <w:tcW w:w="60" w:type="dxa"/>
            <w:vAlign w:val="bottom"/>
            <w:tcBorders>
              <w:bottom w:val="single" w:sz="8" w:color="CCCCCC"/>
            </w:tcBorders>
            <w:shd w:val="clear" w:color="auto" w:fill="CCCCCC"/>
          </w:tcPr>
          <w:p>
            <w:pPr>
              <w:spacing w:after="0"/>
              <w:rPr>
                <w:sz w:val="16"/>
                <w:szCs w:val="16"/>
                <w:color w:val="auto"/>
              </w:rPr>
            </w:pPr>
          </w:p>
        </w:tc>
        <w:tc>
          <w:tcPr>
            <w:tcW w:w="740" w:type="dxa"/>
            <w:vAlign w:val="bottom"/>
            <w:tcBorders>
              <w:bottom w:val="single" w:sz="8" w:color="CCCCCC"/>
              <w:right w:val="single" w:sz="8" w:color="9EACCA"/>
            </w:tcBorders>
            <w:shd w:val="clear" w:color="auto" w:fill="CCCCCC"/>
          </w:tcPr>
          <w:p>
            <w:pPr>
              <w:spacing w:after="0"/>
              <w:rPr>
                <w:sz w:val="16"/>
                <w:szCs w:val="16"/>
                <w:color w:val="auto"/>
              </w:rPr>
            </w:pPr>
          </w:p>
        </w:tc>
        <w:tc>
          <w:tcPr>
            <w:tcW w:w="240" w:type="dxa"/>
            <w:vAlign w:val="bottom"/>
            <w:tcBorders>
              <w:bottom w:val="single" w:sz="8" w:color="CCCCCC"/>
            </w:tcBorders>
            <w:shd w:val="clear" w:color="auto" w:fill="CCCCCC"/>
          </w:tcPr>
          <w:p>
            <w:pPr>
              <w:spacing w:after="0"/>
              <w:rPr>
                <w:sz w:val="16"/>
                <w:szCs w:val="16"/>
                <w:color w:val="auto"/>
              </w:rPr>
            </w:pPr>
          </w:p>
        </w:tc>
        <w:tc>
          <w:tcPr>
            <w:tcW w:w="920" w:type="dxa"/>
            <w:vAlign w:val="bottom"/>
            <w:tcBorders>
              <w:bottom w:val="single" w:sz="8" w:color="CCCCCC"/>
              <w:right w:val="single" w:sz="8" w:color="9EACCA"/>
            </w:tcBorders>
            <w:shd w:val="clear" w:color="auto" w:fill="CCCCCC"/>
          </w:tcPr>
          <w:p>
            <w:pPr>
              <w:spacing w:after="0"/>
              <w:rPr>
                <w:sz w:val="16"/>
                <w:szCs w:val="16"/>
                <w:color w:val="auto"/>
              </w:rPr>
            </w:pPr>
          </w:p>
        </w:tc>
        <w:tc>
          <w:tcPr>
            <w:tcW w:w="500" w:type="dxa"/>
            <w:vAlign w:val="bottom"/>
            <w:tcBorders>
              <w:bottom w:val="single" w:sz="8" w:color="CCCCCC"/>
            </w:tcBorders>
            <w:shd w:val="clear" w:color="auto" w:fill="CCCCCC"/>
          </w:tcPr>
          <w:p>
            <w:pPr>
              <w:spacing w:after="0"/>
              <w:rPr>
                <w:sz w:val="16"/>
                <w:szCs w:val="16"/>
                <w:color w:val="auto"/>
              </w:rPr>
            </w:pPr>
          </w:p>
        </w:tc>
        <w:tc>
          <w:tcPr>
            <w:tcW w:w="660" w:type="dxa"/>
            <w:vAlign w:val="bottom"/>
            <w:tcBorders>
              <w:bottom w:val="single" w:sz="8" w:color="CCCCCC"/>
              <w:right w:val="single" w:sz="8" w:color="9EACCA"/>
            </w:tcBorders>
            <w:shd w:val="clear" w:color="auto" w:fill="CCCCCC"/>
          </w:tcPr>
          <w:p>
            <w:pPr>
              <w:spacing w:after="0"/>
              <w:rPr>
                <w:sz w:val="16"/>
                <w:szCs w:val="16"/>
                <w:color w:val="auto"/>
              </w:rPr>
            </w:pPr>
          </w:p>
        </w:tc>
        <w:tc>
          <w:tcPr>
            <w:tcW w:w="320" w:type="dxa"/>
            <w:vAlign w:val="bottom"/>
            <w:tcBorders>
              <w:bottom w:val="single" w:sz="8" w:color="CCCCCC"/>
            </w:tcBorders>
            <w:shd w:val="clear" w:color="auto" w:fill="CCCCCC"/>
          </w:tcPr>
          <w:p>
            <w:pPr>
              <w:spacing w:after="0"/>
              <w:rPr>
                <w:sz w:val="16"/>
                <w:szCs w:val="16"/>
                <w:color w:val="auto"/>
              </w:rPr>
            </w:pPr>
          </w:p>
        </w:tc>
        <w:tc>
          <w:tcPr>
            <w:tcW w:w="840" w:type="dxa"/>
            <w:vAlign w:val="bottom"/>
            <w:tcBorders>
              <w:bottom w:val="single" w:sz="8" w:color="CCCCCC"/>
              <w:right w:val="single" w:sz="8" w:color="9EACCA"/>
            </w:tcBorders>
            <w:shd w:val="clear" w:color="auto" w:fill="CCCCCC"/>
          </w:tcPr>
          <w:p>
            <w:pPr>
              <w:spacing w:after="0"/>
              <w:rPr>
                <w:sz w:val="16"/>
                <w:szCs w:val="16"/>
                <w:color w:val="auto"/>
              </w:rPr>
            </w:pPr>
          </w:p>
        </w:tc>
        <w:tc>
          <w:tcPr>
            <w:tcW w:w="40" w:type="dxa"/>
            <w:vAlign w:val="bottom"/>
            <w:tcBorders>
              <w:bottom w:val="single" w:sz="8" w:color="CCCCCC"/>
            </w:tcBorders>
            <w:shd w:val="clear" w:color="auto" w:fill="CCCCCC"/>
          </w:tcPr>
          <w:p>
            <w:pPr>
              <w:spacing w:after="0"/>
              <w:rPr>
                <w:sz w:val="16"/>
                <w:szCs w:val="16"/>
                <w:color w:val="auto"/>
              </w:rPr>
            </w:pPr>
          </w:p>
        </w:tc>
        <w:tc>
          <w:tcPr>
            <w:tcW w:w="720" w:type="dxa"/>
            <w:vAlign w:val="bottom"/>
            <w:tcBorders>
              <w:bottom w:val="single" w:sz="8" w:color="CCCCCC"/>
              <w:right w:val="single" w:sz="8" w:color="3C5896"/>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540" w:type="dxa"/>
            <w:vAlign w:val="bottom"/>
            <w:tcBorders>
              <w:left w:val="single" w:sz="8" w:color="3C5896"/>
              <w:right w:val="single" w:sz="8" w:color="9EACCA"/>
            </w:tcBorders>
          </w:tcPr>
          <w:p>
            <w:pPr>
              <w:ind w:left="40"/>
              <w:spacing w:after="0" w:line="221" w:lineRule="exact"/>
              <w:rPr>
                <w:sz w:val="20"/>
                <w:szCs w:val="20"/>
                <w:color w:val="auto"/>
              </w:rPr>
            </w:pPr>
            <w:r>
              <w:rPr>
                <w:rFonts w:ascii="Arial" w:cs="Arial" w:eastAsia="Arial" w:hAnsi="Arial"/>
                <w:sz w:val="14"/>
                <w:szCs w:val="14"/>
                <w:color w:val="auto"/>
              </w:rPr>
              <w:t>Jared Brandman</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2019</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298,915</w:t>
            </w:r>
          </w:p>
        </w:tc>
        <w:tc>
          <w:tcPr>
            <w:tcW w:w="100" w:type="dxa"/>
            <w:vAlign w:val="bottom"/>
          </w:tcPr>
          <w:p>
            <w:pPr>
              <w:spacing w:after="0"/>
              <w:rPr>
                <w:sz w:val="19"/>
                <w:szCs w:val="19"/>
                <w:color w:val="auto"/>
              </w:rPr>
            </w:pPr>
          </w:p>
        </w:tc>
        <w:tc>
          <w:tcPr>
            <w:tcW w:w="600" w:type="dxa"/>
            <w:vAlign w:val="bottom"/>
            <w:tcBorders>
              <w:right w:val="single" w:sz="8" w:color="9EACCA"/>
            </w:tcBorders>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425,031</w:t>
            </w:r>
          </w:p>
        </w:tc>
        <w:tc>
          <w:tcPr>
            <w:tcW w:w="800" w:type="dxa"/>
            <w:vAlign w:val="bottom"/>
            <w:tcBorders>
              <w:right w:val="single" w:sz="8" w:color="9EACCA"/>
            </w:tcBorders>
            <w:gridSpan w:val="2"/>
          </w:tcPr>
          <w:p>
            <w:pPr>
              <w:jc w:val="right"/>
              <w:ind w:right="30"/>
              <w:spacing w:after="0"/>
              <w:rPr>
                <w:sz w:val="20"/>
                <w:szCs w:val="20"/>
                <w:color w:val="auto"/>
              </w:rPr>
            </w:pPr>
            <w:r>
              <w:rPr>
                <w:rFonts w:ascii="Arial" w:cs="Arial" w:eastAsia="Arial" w:hAnsi="Arial"/>
                <w:sz w:val="14"/>
                <w:szCs w:val="14"/>
                <w:color w:val="auto"/>
              </w:rPr>
              <w:t>125,008</w:t>
            </w:r>
          </w:p>
        </w:tc>
        <w:tc>
          <w:tcPr>
            <w:tcW w:w="116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208,409</w:t>
            </w:r>
          </w:p>
        </w:tc>
        <w:tc>
          <w:tcPr>
            <w:tcW w:w="500" w:type="dxa"/>
            <w:vAlign w:val="bottom"/>
          </w:tcPr>
          <w:p>
            <w:pPr>
              <w:spacing w:after="0"/>
              <w:rPr>
                <w:sz w:val="19"/>
                <w:szCs w:val="19"/>
                <w:color w:val="auto"/>
              </w:rPr>
            </w:pPr>
          </w:p>
        </w:tc>
        <w:tc>
          <w:tcPr>
            <w:tcW w:w="660" w:type="dxa"/>
            <w:vAlign w:val="bottom"/>
            <w:tcBorders>
              <w:right w:val="single" w:sz="8" w:color="9EACCA"/>
            </w:tcBorders>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5,550</w:t>
            </w:r>
          </w:p>
        </w:tc>
        <w:tc>
          <w:tcPr>
            <w:tcW w:w="76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1,062,913</w:t>
            </w: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9EACC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9EACCA"/>
            </w:tcBorders>
          </w:tcPr>
          <w:p>
            <w:pPr>
              <w:spacing w:after="0"/>
              <w:rPr>
                <w:sz w:val="14"/>
                <w:szCs w:val="14"/>
                <w:color w:val="auto"/>
              </w:rPr>
            </w:pPr>
          </w:p>
        </w:tc>
        <w:tc>
          <w:tcPr>
            <w:tcW w:w="70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President, General</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9EACC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9EACCA"/>
            </w:tcBorders>
          </w:tcPr>
          <w:p>
            <w:pPr>
              <w:spacing w:after="0"/>
              <w:rPr>
                <w:sz w:val="14"/>
                <w:szCs w:val="14"/>
                <w:color w:val="auto"/>
              </w:rPr>
            </w:pPr>
          </w:p>
        </w:tc>
        <w:tc>
          <w:tcPr>
            <w:tcW w:w="70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Counsel and</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9EACC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9EACCA"/>
            </w:tcBorders>
          </w:tcPr>
          <w:p>
            <w:pPr>
              <w:spacing w:after="0"/>
              <w:rPr>
                <w:sz w:val="14"/>
                <w:szCs w:val="14"/>
                <w:color w:val="auto"/>
              </w:rPr>
            </w:pPr>
          </w:p>
        </w:tc>
        <w:tc>
          <w:tcPr>
            <w:tcW w:w="70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Secretary</w:t>
            </w:r>
          </w:p>
        </w:tc>
        <w:tc>
          <w:tcPr>
            <w:tcW w:w="80" w:type="dxa"/>
            <w:vAlign w:val="bottom"/>
          </w:tcPr>
          <w:p>
            <w:pPr>
              <w:spacing w:after="0"/>
              <w:rPr>
                <w:sz w:val="15"/>
                <w:szCs w:val="15"/>
                <w:color w:val="auto"/>
              </w:rPr>
            </w:pPr>
          </w:p>
        </w:tc>
        <w:tc>
          <w:tcPr>
            <w:tcW w:w="420" w:type="dxa"/>
            <w:vAlign w:val="bottom"/>
            <w:tcBorders>
              <w:right w:val="single" w:sz="8" w:color="9EACCA"/>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9EACCA"/>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right w:val="single" w:sz="8" w:color="9EACCA"/>
            </w:tcBorders>
          </w:tcPr>
          <w:p>
            <w:pPr>
              <w:spacing w:after="0"/>
              <w:rPr>
                <w:sz w:val="15"/>
                <w:szCs w:val="15"/>
                <w:color w:val="auto"/>
              </w:rPr>
            </w:pPr>
          </w:p>
        </w:tc>
        <w:tc>
          <w:tcPr>
            <w:tcW w:w="700" w:type="dxa"/>
            <w:vAlign w:val="bottom"/>
            <w:tcBorders>
              <w:right w:val="single" w:sz="8" w:color="9EACCA"/>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9EACCA"/>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right w:val="single" w:sz="8" w:color="9EACCA"/>
            </w:tcBorders>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Borders>
              <w:right w:val="single" w:sz="8" w:color="9EACCA"/>
            </w:tcBorders>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right w:val="single" w:sz="8" w:color="9EACCA"/>
            </w:tcBorders>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right w:val="single" w:sz="8" w:color="3C5896"/>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540" w:type="dxa"/>
            <w:vAlign w:val="bottom"/>
            <w:tcBorders>
              <w:left w:val="single" w:sz="8" w:color="3C5896"/>
              <w:right w:val="single" w:sz="8" w:color="9EACCA"/>
            </w:tcBorders>
            <w:shd w:val="clear" w:color="auto" w:fill="CCCCCC"/>
          </w:tcPr>
          <w:p>
            <w:pPr>
              <w:ind w:left="40"/>
              <w:spacing w:after="0" w:line="227" w:lineRule="exact"/>
              <w:rPr>
                <w:sz w:val="20"/>
                <w:szCs w:val="20"/>
                <w:color w:val="auto"/>
              </w:rPr>
            </w:pPr>
            <w:r>
              <w:rPr>
                <w:rFonts w:ascii="Arial" w:cs="Arial" w:eastAsia="Arial" w:hAnsi="Arial"/>
                <w:sz w:val="14"/>
                <w:szCs w:val="14"/>
                <w:color w:val="auto"/>
              </w:rPr>
              <w:t>Bill Clark</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2019</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171,077</w:t>
            </w:r>
          </w:p>
        </w:tc>
        <w:tc>
          <w:tcPr>
            <w:tcW w:w="700" w:type="dxa"/>
            <w:vAlign w:val="bottom"/>
            <w:tcBorders>
              <w:right w:val="single" w:sz="8" w:color="9EACCA"/>
            </w:tcBorders>
            <w:gridSpan w:val="2"/>
            <w:shd w:val="clear" w:color="auto" w:fill="CCCCCC"/>
          </w:tcPr>
          <w:p>
            <w:pPr>
              <w:jc w:val="right"/>
              <w:ind w:right="69"/>
              <w:spacing w:after="0"/>
              <w:rPr>
                <w:sz w:val="20"/>
                <w:szCs w:val="20"/>
                <w:color w:val="auto"/>
              </w:rPr>
            </w:pPr>
            <w:r>
              <w:rPr>
                <w:rFonts w:ascii="Arial" w:cs="Arial" w:eastAsia="Arial" w:hAnsi="Arial"/>
                <w:sz w:val="14"/>
                <w:szCs w:val="14"/>
                <w:color w:val="auto"/>
              </w:rPr>
              <w:t>50,000</w:t>
            </w:r>
          </w:p>
        </w:tc>
        <w:tc>
          <w:tcPr>
            <w:tcW w:w="7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550,027</w:t>
            </w:r>
          </w:p>
        </w:tc>
        <w:tc>
          <w:tcPr>
            <w:tcW w:w="80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4"/>
                <w:szCs w:val="14"/>
                <w:color w:val="auto"/>
              </w:rPr>
              <w:t>250,005</w:t>
            </w:r>
          </w:p>
        </w:tc>
        <w:tc>
          <w:tcPr>
            <w:tcW w:w="1160" w:type="dxa"/>
            <w:vAlign w:val="bottom"/>
            <w:tcBorders>
              <w:right w:val="single" w:sz="8" w:color="9EACCA"/>
            </w:tcBorders>
            <w:gridSpan w:val="2"/>
            <w:shd w:val="clear" w:color="auto" w:fill="CCCCCC"/>
          </w:tcPr>
          <w:p>
            <w:pPr>
              <w:jc w:val="right"/>
              <w:ind w:right="208"/>
              <w:spacing w:after="0"/>
              <w:rPr>
                <w:sz w:val="20"/>
                <w:szCs w:val="20"/>
                <w:color w:val="auto"/>
              </w:rPr>
            </w:pPr>
            <w:r>
              <w:rPr>
                <w:rFonts w:ascii="Arial" w:cs="Arial" w:eastAsia="Arial" w:hAnsi="Arial"/>
                <w:sz w:val="14"/>
                <w:szCs w:val="14"/>
                <w:color w:val="auto"/>
              </w:rPr>
              <w:t>119,278</w:t>
            </w:r>
          </w:p>
        </w:tc>
        <w:tc>
          <w:tcPr>
            <w:tcW w:w="50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shd w:val="clear" w:color="auto" w:fill="CCCCCC"/>
          </w:tcPr>
          <w:p>
            <w:pPr>
              <w:jc w:val="right"/>
              <w:ind w:right="248"/>
              <w:spacing w:after="0"/>
              <w:rPr>
                <w:sz w:val="20"/>
                <w:szCs w:val="20"/>
                <w:color w:val="auto"/>
              </w:rPr>
            </w:pPr>
            <w:r>
              <w:rPr>
                <w:rFonts w:ascii="Arial" w:cs="Arial" w:eastAsia="Arial" w:hAnsi="Arial"/>
                <w:sz w:val="14"/>
                <w:szCs w:val="14"/>
                <w:color w:val="auto"/>
              </w:rPr>
              <w:t>162,646</w:t>
            </w:r>
          </w:p>
        </w:tc>
        <w:tc>
          <w:tcPr>
            <w:tcW w:w="760" w:type="dxa"/>
            <w:vAlign w:val="bottom"/>
            <w:tcBorders>
              <w:right w:val="single" w:sz="8" w:color="3C5896"/>
            </w:tcBorders>
            <w:gridSpan w:val="2"/>
            <w:shd w:val="clear" w:color="auto" w:fill="CCCCCC"/>
          </w:tcPr>
          <w:p>
            <w:pPr>
              <w:jc w:val="right"/>
              <w:spacing w:after="0"/>
              <w:rPr>
                <w:sz w:val="20"/>
                <w:szCs w:val="20"/>
                <w:color w:val="auto"/>
              </w:rPr>
            </w:pPr>
            <w:r>
              <w:rPr>
                <w:rFonts w:ascii="Arial" w:cs="Arial" w:eastAsia="Arial" w:hAnsi="Arial"/>
                <w:sz w:val="14"/>
                <w:szCs w:val="14"/>
                <w:color w:val="auto"/>
              </w:rPr>
              <w:t>1,303,033</w:t>
            </w: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640" w:type="dxa"/>
            <w:vAlign w:val="bottom"/>
            <w:tcBorders>
              <w:right w:val="single" w:sz="8" w:color="9EACCA"/>
            </w:tcBorders>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600" w:type="dxa"/>
            <w:vAlign w:val="bottom"/>
            <w:tcBorders>
              <w:right w:val="single" w:sz="8" w:color="9EACCA"/>
            </w:tcBorders>
            <w:shd w:val="clear" w:color="auto" w:fill="CCCCCC"/>
          </w:tcPr>
          <w:p>
            <w:pPr>
              <w:spacing w:after="0"/>
              <w:rPr>
                <w:sz w:val="14"/>
                <w:szCs w:val="14"/>
                <w:color w:val="auto"/>
              </w:rPr>
            </w:pPr>
          </w:p>
        </w:tc>
        <w:tc>
          <w:tcPr>
            <w:tcW w:w="700" w:type="dxa"/>
            <w:vAlign w:val="bottom"/>
            <w:tcBorders>
              <w:right w:val="single" w:sz="8" w:color="9EACCA"/>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40" w:type="dxa"/>
            <w:vAlign w:val="bottom"/>
            <w:tcBorders>
              <w:right w:val="single" w:sz="8" w:color="9EACCA"/>
            </w:tcBorders>
            <w:shd w:val="clear" w:color="auto" w:fill="CCCCCC"/>
          </w:tcPr>
          <w:p>
            <w:pPr>
              <w:spacing w:after="0"/>
              <w:rPr>
                <w:sz w:val="14"/>
                <w:szCs w:val="14"/>
                <w:color w:val="auto"/>
              </w:rPr>
            </w:pPr>
          </w:p>
        </w:tc>
        <w:tc>
          <w:tcPr>
            <w:tcW w:w="24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spacing w:after="0"/>
              <w:rPr>
                <w:sz w:val="14"/>
                <w:szCs w:val="14"/>
                <w:color w:val="auto"/>
              </w:rPr>
            </w:pPr>
          </w:p>
        </w:tc>
        <w:tc>
          <w:tcPr>
            <w:tcW w:w="320" w:type="dxa"/>
            <w:vAlign w:val="bottom"/>
            <w:shd w:val="clear" w:color="auto" w:fill="CCCCCC"/>
          </w:tcPr>
          <w:p>
            <w:pPr>
              <w:spacing w:after="0"/>
              <w:rPr>
                <w:sz w:val="14"/>
                <w:szCs w:val="14"/>
                <w:color w:val="auto"/>
              </w:rPr>
            </w:pPr>
          </w:p>
        </w:tc>
        <w:tc>
          <w:tcPr>
            <w:tcW w:w="840" w:type="dxa"/>
            <w:vAlign w:val="bottom"/>
            <w:tcBorders>
              <w:right w:val="single" w:sz="8" w:color="9EACCA"/>
            </w:tcBorders>
            <w:shd w:val="clear" w:color="auto" w:fill="CCCCCC"/>
          </w:tcPr>
          <w:p>
            <w:pPr>
              <w:spacing w:after="0"/>
              <w:rPr>
                <w:sz w:val="14"/>
                <w:szCs w:val="14"/>
                <w:color w:val="auto"/>
              </w:rPr>
            </w:pP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President, Chief</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640" w:type="dxa"/>
            <w:vAlign w:val="bottom"/>
            <w:tcBorders>
              <w:right w:val="single" w:sz="8" w:color="9EACCA"/>
            </w:tcBorders>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600" w:type="dxa"/>
            <w:vAlign w:val="bottom"/>
            <w:tcBorders>
              <w:right w:val="single" w:sz="8" w:color="9EACCA"/>
            </w:tcBorders>
            <w:shd w:val="clear" w:color="auto" w:fill="CCCCCC"/>
          </w:tcPr>
          <w:p>
            <w:pPr>
              <w:spacing w:after="0"/>
              <w:rPr>
                <w:sz w:val="14"/>
                <w:szCs w:val="14"/>
                <w:color w:val="auto"/>
              </w:rPr>
            </w:pPr>
          </w:p>
        </w:tc>
        <w:tc>
          <w:tcPr>
            <w:tcW w:w="700" w:type="dxa"/>
            <w:vAlign w:val="bottom"/>
            <w:tcBorders>
              <w:right w:val="single" w:sz="8" w:color="9EACCA"/>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40" w:type="dxa"/>
            <w:vAlign w:val="bottom"/>
            <w:tcBorders>
              <w:right w:val="single" w:sz="8" w:color="9EACCA"/>
            </w:tcBorders>
            <w:shd w:val="clear" w:color="auto" w:fill="CCCCCC"/>
          </w:tcPr>
          <w:p>
            <w:pPr>
              <w:spacing w:after="0"/>
              <w:rPr>
                <w:sz w:val="14"/>
                <w:szCs w:val="14"/>
                <w:color w:val="auto"/>
              </w:rPr>
            </w:pPr>
          </w:p>
        </w:tc>
        <w:tc>
          <w:tcPr>
            <w:tcW w:w="24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spacing w:after="0"/>
              <w:rPr>
                <w:sz w:val="14"/>
                <w:szCs w:val="14"/>
                <w:color w:val="auto"/>
              </w:rPr>
            </w:pPr>
          </w:p>
        </w:tc>
        <w:tc>
          <w:tcPr>
            <w:tcW w:w="320" w:type="dxa"/>
            <w:vAlign w:val="bottom"/>
            <w:shd w:val="clear" w:color="auto" w:fill="CCCCCC"/>
          </w:tcPr>
          <w:p>
            <w:pPr>
              <w:spacing w:after="0"/>
              <w:rPr>
                <w:sz w:val="14"/>
                <w:szCs w:val="14"/>
                <w:color w:val="auto"/>
              </w:rPr>
            </w:pPr>
          </w:p>
        </w:tc>
        <w:tc>
          <w:tcPr>
            <w:tcW w:w="840" w:type="dxa"/>
            <w:vAlign w:val="bottom"/>
            <w:tcBorders>
              <w:right w:val="single" w:sz="8" w:color="9EACCA"/>
            </w:tcBorders>
            <w:shd w:val="clear" w:color="auto" w:fill="CCCCCC"/>
          </w:tcPr>
          <w:p>
            <w:pPr>
              <w:spacing w:after="0"/>
              <w:rPr>
                <w:sz w:val="14"/>
                <w:szCs w:val="14"/>
                <w:color w:val="auto"/>
              </w:rPr>
            </w:pP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4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People Officer</w:t>
            </w:r>
          </w:p>
        </w:tc>
        <w:tc>
          <w:tcPr>
            <w:tcW w:w="80" w:type="dxa"/>
            <w:vAlign w:val="bottom"/>
            <w:shd w:val="clear" w:color="auto" w:fill="CCCCCC"/>
          </w:tcPr>
          <w:p>
            <w:pPr>
              <w:spacing w:after="0"/>
              <w:rPr>
                <w:sz w:val="16"/>
                <w:szCs w:val="16"/>
                <w:color w:val="auto"/>
              </w:rPr>
            </w:pPr>
          </w:p>
        </w:tc>
        <w:tc>
          <w:tcPr>
            <w:tcW w:w="420" w:type="dxa"/>
            <w:vAlign w:val="bottom"/>
            <w:tcBorders>
              <w:right w:val="single" w:sz="8" w:color="9EACCA"/>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640" w:type="dxa"/>
            <w:vAlign w:val="bottom"/>
            <w:tcBorders>
              <w:right w:val="single" w:sz="8" w:color="9EACCA"/>
            </w:tcBorders>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00" w:type="dxa"/>
            <w:vAlign w:val="bottom"/>
            <w:tcBorders>
              <w:right w:val="single" w:sz="8" w:color="9EACCA"/>
            </w:tcBorders>
            <w:shd w:val="clear" w:color="auto" w:fill="CCCCCC"/>
          </w:tcPr>
          <w:p>
            <w:pPr>
              <w:spacing w:after="0"/>
              <w:rPr>
                <w:sz w:val="16"/>
                <w:szCs w:val="16"/>
                <w:color w:val="auto"/>
              </w:rPr>
            </w:pPr>
          </w:p>
        </w:tc>
        <w:tc>
          <w:tcPr>
            <w:tcW w:w="700" w:type="dxa"/>
            <w:vAlign w:val="bottom"/>
            <w:tcBorders>
              <w:right w:val="single" w:sz="8" w:color="9EACCA"/>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40" w:type="dxa"/>
            <w:vAlign w:val="bottom"/>
            <w:tcBorders>
              <w:right w:val="single" w:sz="8" w:color="9EACCA"/>
            </w:tcBorders>
            <w:shd w:val="clear" w:color="auto" w:fill="CCCCCC"/>
          </w:tcPr>
          <w:p>
            <w:pPr>
              <w:spacing w:after="0"/>
              <w:rPr>
                <w:sz w:val="16"/>
                <w:szCs w:val="16"/>
                <w:color w:val="auto"/>
              </w:rPr>
            </w:pPr>
          </w:p>
        </w:tc>
        <w:tc>
          <w:tcPr>
            <w:tcW w:w="240" w:type="dxa"/>
            <w:vAlign w:val="bottom"/>
            <w:shd w:val="clear" w:color="auto" w:fill="CCCCCC"/>
          </w:tcPr>
          <w:p>
            <w:pPr>
              <w:spacing w:after="0"/>
              <w:rPr>
                <w:sz w:val="16"/>
                <w:szCs w:val="16"/>
                <w:color w:val="auto"/>
              </w:rPr>
            </w:pPr>
          </w:p>
        </w:tc>
        <w:tc>
          <w:tcPr>
            <w:tcW w:w="920" w:type="dxa"/>
            <w:vAlign w:val="bottom"/>
            <w:tcBorders>
              <w:right w:val="single" w:sz="8" w:color="9EACCA"/>
            </w:tcBorders>
            <w:shd w:val="clear" w:color="auto" w:fill="CCCCCC"/>
          </w:tcPr>
          <w:p>
            <w:pPr>
              <w:spacing w:after="0"/>
              <w:rPr>
                <w:sz w:val="16"/>
                <w:szCs w:val="16"/>
                <w:color w:val="auto"/>
              </w:rPr>
            </w:pPr>
          </w:p>
        </w:tc>
        <w:tc>
          <w:tcPr>
            <w:tcW w:w="500" w:type="dxa"/>
            <w:vAlign w:val="bottom"/>
            <w:shd w:val="clear" w:color="auto" w:fill="CCCCCC"/>
          </w:tcPr>
          <w:p>
            <w:pPr>
              <w:spacing w:after="0"/>
              <w:rPr>
                <w:sz w:val="16"/>
                <w:szCs w:val="16"/>
                <w:color w:val="auto"/>
              </w:rPr>
            </w:pPr>
          </w:p>
        </w:tc>
        <w:tc>
          <w:tcPr>
            <w:tcW w:w="660" w:type="dxa"/>
            <w:vAlign w:val="bottom"/>
            <w:tcBorders>
              <w:right w:val="single" w:sz="8" w:color="9EACCA"/>
            </w:tcBorders>
            <w:shd w:val="clear" w:color="auto" w:fill="CCCCCC"/>
          </w:tcPr>
          <w:p>
            <w:pPr>
              <w:spacing w:after="0"/>
              <w:rPr>
                <w:sz w:val="16"/>
                <w:szCs w:val="16"/>
                <w:color w:val="auto"/>
              </w:rPr>
            </w:pPr>
          </w:p>
        </w:tc>
        <w:tc>
          <w:tcPr>
            <w:tcW w:w="320" w:type="dxa"/>
            <w:vAlign w:val="bottom"/>
            <w:shd w:val="clear" w:color="auto" w:fill="CCCCCC"/>
          </w:tcPr>
          <w:p>
            <w:pPr>
              <w:spacing w:after="0"/>
              <w:rPr>
                <w:sz w:val="16"/>
                <w:szCs w:val="16"/>
                <w:color w:val="auto"/>
              </w:rPr>
            </w:pPr>
          </w:p>
        </w:tc>
        <w:tc>
          <w:tcPr>
            <w:tcW w:w="840" w:type="dxa"/>
            <w:vAlign w:val="bottom"/>
            <w:tcBorders>
              <w:right w:val="single" w:sz="8" w:color="9EACCA"/>
            </w:tcBorders>
            <w:shd w:val="clear" w:color="auto" w:fill="CCCCCC"/>
          </w:tcPr>
          <w:p>
            <w:pPr>
              <w:spacing w:after="0"/>
              <w:rPr>
                <w:sz w:val="16"/>
                <w:szCs w:val="16"/>
                <w:color w:val="auto"/>
              </w:rPr>
            </w:pPr>
          </w:p>
        </w:tc>
        <w:tc>
          <w:tcPr>
            <w:tcW w:w="40" w:type="dxa"/>
            <w:vAlign w:val="bottom"/>
            <w:shd w:val="clear" w:color="auto" w:fill="CCCCCC"/>
          </w:tcPr>
          <w:p>
            <w:pPr>
              <w:spacing w:after="0"/>
              <w:rPr>
                <w:sz w:val="16"/>
                <w:szCs w:val="16"/>
                <w:color w:val="auto"/>
              </w:rPr>
            </w:pPr>
          </w:p>
        </w:tc>
        <w:tc>
          <w:tcPr>
            <w:tcW w:w="720" w:type="dxa"/>
            <w:vAlign w:val="bottom"/>
            <w:tcBorders>
              <w:right w:val="single" w:sz="8" w:color="3C5896"/>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540" w:type="dxa"/>
            <w:vAlign w:val="bottom"/>
            <w:tcBorders>
              <w:left w:val="single" w:sz="8" w:color="3C5896"/>
              <w:right w:val="single" w:sz="8" w:color="9EACCA"/>
            </w:tcBorders>
          </w:tcPr>
          <w:p>
            <w:pPr>
              <w:ind w:left="40"/>
              <w:spacing w:after="0" w:line="221" w:lineRule="exact"/>
              <w:rPr>
                <w:sz w:val="20"/>
                <w:szCs w:val="20"/>
                <w:color w:val="auto"/>
              </w:rPr>
            </w:pPr>
            <w:r>
              <w:rPr>
                <w:rFonts w:ascii="Arial" w:cs="Arial" w:eastAsia="Arial" w:hAnsi="Arial"/>
                <w:sz w:val="14"/>
                <w:szCs w:val="14"/>
                <w:color w:val="auto"/>
              </w:rPr>
              <w:t>Melissa Rasmussen</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2019</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109,039</w:t>
            </w:r>
          </w:p>
        </w:tc>
        <w:tc>
          <w:tcPr>
            <w:tcW w:w="700" w:type="dxa"/>
            <w:vAlign w:val="bottom"/>
            <w:tcBorders>
              <w:right w:val="single" w:sz="8" w:color="9EACCA"/>
            </w:tcBorders>
            <w:gridSpan w:val="2"/>
          </w:tcPr>
          <w:p>
            <w:pPr>
              <w:jc w:val="right"/>
              <w:ind w:right="69"/>
              <w:spacing w:after="0"/>
              <w:rPr>
                <w:sz w:val="20"/>
                <w:szCs w:val="20"/>
                <w:color w:val="auto"/>
              </w:rPr>
            </w:pPr>
            <w:r>
              <w:rPr>
                <w:rFonts w:ascii="Arial" w:cs="Arial" w:eastAsia="Arial" w:hAnsi="Arial"/>
                <w:sz w:val="14"/>
                <w:szCs w:val="14"/>
                <w:color w:val="auto"/>
              </w:rPr>
              <w:t>25,000</w:t>
            </w:r>
          </w:p>
        </w:tc>
        <w:tc>
          <w:tcPr>
            <w:tcW w:w="7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380,024</w:t>
            </w:r>
          </w:p>
        </w:tc>
        <w:tc>
          <w:tcPr>
            <w:tcW w:w="800" w:type="dxa"/>
            <w:vAlign w:val="bottom"/>
            <w:tcBorders>
              <w:right w:val="single" w:sz="8" w:color="9EACCA"/>
            </w:tcBorders>
            <w:gridSpan w:val="2"/>
          </w:tcPr>
          <w:p>
            <w:pPr>
              <w:jc w:val="right"/>
              <w:ind w:right="30"/>
              <w:spacing w:after="0"/>
              <w:rPr>
                <w:sz w:val="20"/>
                <w:szCs w:val="20"/>
                <w:color w:val="auto"/>
              </w:rPr>
            </w:pPr>
            <w:r>
              <w:rPr>
                <w:rFonts w:ascii="Arial" w:cs="Arial" w:eastAsia="Arial" w:hAnsi="Arial"/>
                <w:sz w:val="14"/>
                <w:szCs w:val="14"/>
                <w:color w:val="auto"/>
              </w:rPr>
              <w:t>80,003</w:t>
            </w:r>
          </w:p>
        </w:tc>
        <w:tc>
          <w:tcPr>
            <w:tcW w:w="116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57,017</w:t>
            </w:r>
          </w:p>
        </w:tc>
        <w:tc>
          <w:tcPr>
            <w:tcW w:w="500" w:type="dxa"/>
            <w:vAlign w:val="bottom"/>
          </w:tcPr>
          <w:p>
            <w:pPr>
              <w:spacing w:after="0"/>
              <w:rPr>
                <w:sz w:val="19"/>
                <w:szCs w:val="19"/>
                <w:color w:val="auto"/>
              </w:rPr>
            </w:pPr>
          </w:p>
        </w:tc>
        <w:tc>
          <w:tcPr>
            <w:tcW w:w="660" w:type="dxa"/>
            <w:vAlign w:val="bottom"/>
            <w:tcBorders>
              <w:right w:val="single" w:sz="8" w:color="9EACCA"/>
            </w:tcBorders>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16,996</w:t>
            </w:r>
          </w:p>
        </w:tc>
        <w:tc>
          <w:tcPr>
            <w:tcW w:w="76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668,079</w:t>
            </w: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9EACC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9EACCA"/>
            </w:tcBorders>
          </w:tcPr>
          <w:p>
            <w:pPr>
              <w:spacing w:after="0"/>
              <w:rPr>
                <w:sz w:val="14"/>
                <w:szCs w:val="14"/>
                <w:color w:val="auto"/>
              </w:rPr>
            </w:pPr>
          </w:p>
        </w:tc>
        <w:tc>
          <w:tcPr>
            <w:tcW w:w="70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President, Chief</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9EACC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9EACCA"/>
            </w:tcBorders>
          </w:tcPr>
          <w:p>
            <w:pPr>
              <w:spacing w:after="0"/>
              <w:rPr>
                <w:sz w:val="14"/>
                <w:szCs w:val="14"/>
                <w:color w:val="auto"/>
              </w:rPr>
            </w:pPr>
          </w:p>
        </w:tc>
        <w:tc>
          <w:tcPr>
            <w:tcW w:w="70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Accounting Officer</w:t>
            </w:r>
          </w:p>
        </w:tc>
        <w:tc>
          <w:tcPr>
            <w:tcW w:w="80" w:type="dxa"/>
            <w:vAlign w:val="bottom"/>
          </w:tcPr>
          <w:p>
            <w:pPr>
              <w:spacing w:after="0"/>
              <w:rPr>
                <w:sz w:val="15"/>
                <w:szCs w:val="15"/>
                <w:color w:val="auto"/>
              </w:rPr>
            </w:pPr>
          </w:p>
        </w:tc>
        <w:tc>
          <w:tcPr>
            <w:tcW w:w="420" w:type="dxa"/>
            <w:vAlign w:val="bottom"/>
            <w:tcBorders>
              <w:right w:val="single" w:sz="8" w:color="9EACCA"/>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9EACCA"/>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right w:val="single" w:sz="8" w:color="9EACCA"/>
            </w:tcBorders>
          </w:tcPr>
          <w:p>
            <w:pPr>
              <w:spacing w:after="0"/>
              <w:rPr>
                <w:sz w:val="15"/>
                <w:szCs w:val="15"/>
                <w:color w:val="auto"/>
              </w:rPr>
            </w:pPr>
          </w:p>
        </w:tc>
        <w:tc>
          <w:tcPr>
            <w:tcW w:w="700" w:type="dxa"/>
            <w:vAlign w:val="bottom"/>
            <w:tcBorders>
              <w:right w:val="single" w:sz="8" w:color="9EACCA"/>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9EACCA"/>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right w:val="single" w:sz="8" w:color="9EACCA"/>
            </w:tcBorders>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Borders>
              <w:right w:val="single" w:sz="8" w:color="9EACCA"/>
            </w:tcBorders>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right w:val="single" w:sz="8" w:color="9EACCA"/>
            </w:tcBorders>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right w:val="single" w:sz="8" w:color="3C5896"/>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540" w:type="dxa"/>
            <w:vAlign w:val="bottom"/>
            <w:tcBorders>
              <w:left w:val="single" w:sz="8" w:color="3C5896"/>
              <w:right w:val="single" w:sz="8" w:color="9EACCA"/>
            </w:tcBorders>
            <w:shd w:val="clear" w:color="auto" w:fill="CCCCCC"/>
          </w:tcPr>
          <w:p>
            <w:pPr>
              <w:ind w:left="40"/>
              <w:spacing w:after="0" w:line="240" w:lineRule="exact"/>
              <w:rPr>
                <w:sz w:val="20"/>
                <w:szCs w:val="20"/>
                <w:color w:val="auto"/>
              </w:rPr>
            </w:pPr>
            <w:r>
              <w:rPr>
                <w:rFonts w:ascii="Arial" w:cs="Arial" w:eastAsia="Arial" w:hAnsi="Arial"/>
                <w:sz w:val="14"/>
                <w:szCs w:val="14"/>
                <w:color w:val="auto"/>
              </w:rPr>
              <w:t>Jeff McAllister</w:t>
            </w:r>
            <w:r>
              <w:rPr>
                <w:rFonts w:ascii="Arial" w:cs="Arial" w:eastAsia="Arial" w:hAnsi="Arial"/>
                <w:sz w:val="21"/>
                <w:szCs w:val="21"/>
                <w:color w:val="auto"/>
                <w:vertAlign w:val="superscript"/>
              </w:rPr>
              <w:t>(2)</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2019</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590,342</w:t>
            </w:r>
          </w:p>
        </w:tc>
        <w:tc>
          <w:tcPr>
            <w:tcW w:w="100" w:type="dxa"/>
            <w:vAlign w:val="bottom"/>
            <w:shd w:val="clear" w:color="auto" w:fill="CCCCCC"/>
          </w:tcPr>
          <w:p>
            <w:pPr>
              <w:spacing w:after="0"/>
              <w:rPr>
                <w:sz w:val="20"/>
                <w:szCs w:val="20"/>
                <w:color w:val="auto"/>
              </w:rPr>
            </w:pPr>
          </w:p>
        </w:tc>
        <w:tc>
          <w:tcPr>
            <w:tcW w:w="600" w:type="dxa"/>
            <w:vAlign w:val="bottom"/>
            <w:tcBorders>
              <w:right w:val="single" w:sz="8" w:color="9EACCA"/>
            </w:tcBorders>
            <w:shd w:val="clear" w:color="auto" w:fill="CCCCCC"/>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740" w:type="dxa"/>
            <w:vAlign w:val="bottom"/>
            <w:tcBorders>
              <w:right w:val="single" w:sz="8" w:color="9EACCA"/>
            </w:tcBorders>
            <w:shd w:val="clear" w:color="auto" w:fill="CCCCCC"/>
          </w:tcPr>
          <w:p>
            <w:pPr>
              <w:spacing w:after="0"/>
              <w:rPr>
                <w:sz w:val="20"/>
                <w:szCs w:val="20"/>
                <w:color w:val="auto"/>
              </w:rPr>
            </w:pPr>
          </w:p>
        </w:tc>
        <w:tc>
          <w:tcPr>
            <w:tcW w:w="1160" w:type="dxa"/>
            <w:vAlign w:val="bottom"/>
            <w:tcBorders>
              <w:right w:val="single" w:sz="8" w:color="9EACCA"/>
            </w:tcBorders>
            <w:gridSpan w:val="2"/>
            <w:shd w:val="clear" w:color="auto" w:fill="CCCCCC"/>
          </w:tcPr>
          <w:p>
            <w:pPr>
              <w:jc w:val="right"/>
              <w:ind w:right="208"/>
              <w:spacing w:after="0"/>
              <w:rPr>
                <w:sz w:val="20"/>
                <w:szCs w:val="20"/>
                <w:color w:val="auto"/>
              </w:rPr>
            </w:pPr>
            <w:r>
              <w:rPr>
                <w:rFonts w:ascii="Arial" w:cs="Arial" w:eastAsia="Arial" w:hAnsi="Arial"/>
                <w:sz w:val="14"/>
                <w:szCs w:val="14"/>
                <w:color w:val="auto"/>
              </w:rPr>
              <w:t>493,904</w:t>
            </w:r>
          </w:p>
        </w:tc>
        <w:tc>
          <w:tcPr>
            <w:tcW w:w="500" w:type="dxa"/>
            <w:vAlign w:val="bottom"/>
            <w:shd w:val="clear" w:color="auto" w:fill="CCCCCC"/>
          </w:tcPr>
          <w:p>
            <w:pPr>
              <w:spacing w:after="0"/>
              <w:rPr>
                <w:sz w:val="20"/>
                <w:szCs w:val="20"/>
                <w:color w:val="auto"/>
              </w:rPr>
            </w:pPr>
          </w:p>
        </w:tc>
        <w:tc>
          <w:tcPr>
            <w:tcW w:w="660" w:type="dxa"/>
            <w:vAlign w:val="bottom"/>
            <w:tcBorders>
              <w:right w:val="single" w:sz="8" w:color="9EACCA"/>
            </w:tcBorders>
            <w:shd w:val="clear" w:color="auto" w:fill="CCCCCC"/>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shd w:val="clear" w:color="auto" w:fill="CCCCCC"/>
          </w:tcPr>
          <w:p>
            <w:pPr>
              <w:jc w:val="right"/>
              <w:ind w:right="248"/>
              <w:spacing w:after="0"/>
              <w:rPr>
                <w:sz w:val="20"/>
                <w:szCs w:val="20"/>
                <w:color w:val="auto"/>
              </w:rPr>
            </w:pPr>
            <w:r>
              <w:rPr>
                <w:rFonts w:ascii="Arial" w:cs="Arial" w:eastAsia="Arial" w:hAnsi="Arial"/>
                <w:sz w:val="14"/>
                <w:szCs w:val="14"/>
                <w:color w:val="auto"/>
              </w:rPr>
              <w:t>6,857</w:t>
            </w:r>
          </w:p>
        </w:tc>
        <w:tc>
          <w:tcPr>
            <w:tcW w:w="760" w:type="dxa"/>
            <w:vAlign w:val="bottom"/>
            <w:tcBorders>
              <w:right w:val="single" w:sz="8" w:color="3C5896"/>
            </w:tcBorders>
            <w:gridSpan w:val="2"/>
            <w:shd w:val="clear" w:color="auto" w:fill="CCCCCC"/>
          </w:tcPr>
          <w:p>
            <w:pPr>
              <w:jc w:val="right"/>
              <w:spacing w:after="0"/>
              <w:rPr>
                <w:sz w:val="20"/>
                <w:szCs w:val="20"/>
                <w:color w:val="auto"/>
              </w:rPr>
            </w:pPr>
            <w:r>
              <w:rPr>
                <w:rFonts w:ascii="Arial" w:cs="Arial" w:eastAsia="Arial" w:hAnsi="Arial"/>
                <w:sz w:val="14"/>
                <w:szCs w:val="14"/>
                <w:color w:val="auto"/>
                <w:highlight w:val="lightGray"/>
              </w:rPr>
              <w:t>1,091,103</w:t>
            </w:r>
          </w:p>
        </w:tc>
        <w:tc>
          <w:tcPr>
            <w:tcW w:w="0" w:type="dxa"/>
            <w:vAlign w:val="bottom"/>
          </w:tcPr>
          <w:p>
            <w:pPr>
              <w:spacing w:after="0"/>
              <w:rPr>
                <w:sz w:val="1"/>
                <w:szCs w:val="1"/>
                <w:color w:val="auto"/>
              </w:rPr>
            </w:pPr>
          </w:p>
        </w:tc>
      </w:tr>
      <w:tr>
        <w:trPr>
          <w:trHeight w:val="171"/>
        </w:trPr>
        <w:tc>
          <w:tcPr>
            <w:tcW w:w="154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Special Advisor to</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jc w:val="center"/>
              <w:ind w:right="3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CCCCC"/>
          </w:tcPr>
          <w:p>
            <w:pPr>
              <w:spacing w:after="0"/>
              <w:rPr>
                <w:sz w:val="14"/>
                <w:szCs w:val="14"/>
                <w:color w:val="auto"/>
              </w:rPr>
            </w:pPr>
          </w:p>
        </w:tc>
        <w:tc>
          <w:tcPr>
            <w:tcW w:w="640" w:type="dxa"/>
            <w:vAlign w:val="bottom"/>
            <w:tcBorders>
              <w:right w:val="single" w:sz="8" w:color="9EACCA"/>
            </w:tcBorders>
            <w:shd w:val="clear" w:color="auto" w:fill="CCCCCC"/>
          </w:tcPr>
          <w:p>
            <w:pPr>
              <w:jc w:val="center"/>
              <w:ind w:right="10"/>
              <w:spacing w:after="0"/>
              <w:rPr>
                <w:sz w:val="20"/>
                <w:szCs w:val="20"/>
                <w:color w:val="auto"/>
              </w:rPr>
            </w:pPr>
            <w:r>
              <w:rPr>
                <w:rFonts w:ascii="Arial" w:cs="Arial" w:eastAsia="Arial" w:hAnsi="Arial"/>
                <w:sz w:val="14"/>
                <w:szCs w:val="14"/>
                <w:color w:val="auto"/>
              </w:rPr>
              <w:t>562,500</w:t>
            </w:r>
          </w:p>
        </w:tc>
        <w:tc>
          <w:tcPr>
            <w:tcW w:w="100" w:type="dxa"/>
            <w:vAlign w:val="bottom"/>
            <w:shd w:val="clear" w:color="auto" w:fill="CCCCCC"/>
          </w:tcPr>
          <w:p>
            <w:pPr>
              <w:spacing w:after="0"/>
              <w:rPr>
                <w:sz w:val="14"/>
                <w:szCs w:val="14"/>
                <w:color w:val="auto"/>
              </w:rPr>
            </w:pPr>
          </w:p>
        </w:tc>
        <w:tc>
          <w:tcPr>
            <w:tcW w:w="600" w:type="dxa"/>
            <w:vAlign w:val="bottom"/>
            <w:tcBorders>
              <w:right w:val="single" w:sz="8" w:color="9EACCA"/>
            </w:tcBorders>
            <w:shd w:val="clear" w:color="auto" w:fill="CCCCCC"/>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14"/>
                <w:szCs w:val="14"/>
                <w:color w:val="auto"/>
              </w:rPr>
            </w:pPr>
          </w:p>
        </w:tc>
        <w:tc>
          <w:tcPr>
            <w:tcW w:w="740" w:type="dxa"/>
            <w:vAlign w:val="bottom"/>
            <w:tcBorders>
              <w:right w:val="single" w:sz="8" w:color="9EACCA"/>
            </w:tcBorders>
            <w:shd w:val="clear" w:color="auto" w:fill="CCCCCC"/>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jc w:val="right"/>
              <w:ind w:right="208"/>
              <w:spacing w:after="0"/>
              <w:rPr>
                <w:sz w:val="20"/>
                <w:szCs w:val="20"/>
                <w:color w:val="auto"/>
              </w:rPr>
            </w:pPr>
            <w:r>
              <w:rPr>
                <w:rFonts w:ascii="Arial" w:cs="Arial" w:eastAsia="Arial" w:hAnsi="Arial"/>
                <w:sz w:val="14"/>
                <w:szCs w:val="14"/>
                <w:color w:val="auto"/>
              </w:rPr>
              <w:t>258,238</w:t>
            </w: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jc w:val="right"/>
              <w:ind w:right="448"/>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CCCC"/>
          </w:tcPr>
          <w:p>
            <w:pPr>
              <w:spacing w:after="0"/>
              <w:rPr>
                <w:sz w:val="14"/>
                <w:szCs w:val="14"/>
                <w:color w:val="auto"/>
              </w:rPr>
            </w:pPr>
          </w:p>
        </w:tc>
        <w:tc>
          <w:tcPr>
            <w:tcW w:w="840" w:type="dxa"/>
            <w:vAlign w:val="bottom"/>
            <w:tcBorders>
              <w:right w:val="single" w:sz="8" w:color="9EACCA"/>
            </w:tcBorders>
            <w:shd w:val="clear" w:color="auto" w:fill="CCCCCC"/>
          </w:tcPr>
          <w:p>
            <w:pPr>
              <w:jc w:val="right"/>
              <w:ind w:right="248"/>
              <w:spacing w:after="0"/>
              <w:rPr>
                <w:sz w:val="20"/>
                <w:szCs w:val="20"/>
                <w:color w:val="auto"/>
              </w:rPr>
            </w:pPr>
            <w:r>
              <w:rPr>
                <w:rFonts w:ascii="Arial" w:cs="Arial" w:eastAsia="Arial" w:hAnsi="Arial"/>
                <w:sz w:val="14"/>
                <w:szCs w:val="14"/>
                <w:color w:val="auto"/>
              </w:rPr>
              <w:t>18,883</w:t>
            </w: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839,621</w:t>
            </w:r>
          </w:p>
        </w:tc>
        <w:tc>
          <w:tcPr>
            <w:tcW w:w="0" w:type="dxa"/>
            <w:vAlign w:val="bottom"/>
          </w:tcPr>
          <w:p>
            <w:pPr>
              <w:spacing w:after="0"/>
              <w:rPr>
                <w:sz w:val="1"/>
                <w:szCs w:val="1"/>
                <w:color w:val="auto"/>
              </w:rPr>
            </w:pPr>
          </w:p>
        </w:tc>
      </w:tr>
      <w:tr>
        <w:trPr>
          <w:trHeight w:val="172"/>
        </w:trPr>
        <w:tc>
          <w:tcPr>
            <w:tcW w:w="154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the Board</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2017</w:t>
            </w:r>
          </w:p>
        </w:tc>
        <w:tc>
          <w:tcPr>
            <w:tcW w:w="80" w:type="dxa"/>
            <w:vAlign w:val="bottom"/>
            <w:shd w:val="clear" w:color="auto" w:fill="CCCCCC"/>
          </w:tcPr>
          <w:p>
            <w:pPr>
              <w:spacing w:after="0"/>
              <w:rPr>
                <w:sz w:val="14"/>
                <w:szCs w:val="14"/>
                <w:color w:val="auto"/>
              </w:rPr>
            </w:pPr>
          </w:p>
        </w:tc>
        <w:tc>
          <w:tcPr>
            <w:tcW w:w="640" w:type="dxa"/>
            <w:vAlign w:val="bottom"/>
            <w:tcBorders>
              <w:right w:val="single" w:sz="8" w:color="9EACCA"/>
            </w:tcBorders>
            <w:vMerge w:val="restart"/>
            <w:shd w:val="clear" w:color="auto" w:fill="CCCCCC"/>
          </w:tcPr>
          <w:p>
            <w:pPr>
              <w:jc w:val="center"/>
              <w:ind w:right="10"/>
              <w:spacing w:after="0"/>
              <w:rPr>
                <w:sz w:val="20"/>
                <w:szCs w:val="20"/>
                <w:color w:val="auto"/>
              </w:rPr>
            </w:pPr>
            <w:r>
              <w:rPr>
                <w:rFonts w:ascii="Arial" w:cs="Arial" w:eastAsia="Arial" w:hAnsi="Arial"/>
                <w:sz w:val="14"/>
                <w:szCs w:val="14"/>
                <w:color w:val="auto"/>
              </w:rPr>
              <w:t>227,164</w:t>
            </w:r>
          </w:p>
        </w:tc>
        <w:tc>
          <w:tcPr>
            <w:tcW w:w="100" w:type="dxa"/>
            <w:vAlign w:val="bottom"/>
            <w:shd w:val="clear" w:color="auto" w:fill="CCCCCC"/>
          </w:tcPr>
          <w:p>
            <w:pPr>
              <w:spacing w:after="0"/>
              <w:rPr>
                <w:sz w:val="14"/>
                <w:szCs w:val="14"/>
                <w:color w:val="auto"/>
              </w:rPr>
            </w:pPr>
          </w:p>
        </w:tc>
        <w:tc>
          <w:tcPr>
            <w:tcW w:w="600" w:type="dxa"/>
            <w:vAlign w:val="bottom"/>
            <w:tcBorders>
              <w:right w:val="single" w:sz="8" w:color="9EACCA"/>
            </w:tcBorders>
            <w:vMerge w:val="restart"/>
            <w:shd w:val="clear" w:color="auto" w:fill="CCCCCC"/>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14"/>
                <w:szCs w:val="14"/>
                <w:color w:val="auto"/>
              </w:rPr>
            </w:pPr>
          </w:p>
        </w:tc>
        <w:tc>
          <w:tcPr>
            <w:tcW w:w="740" w:type="dxa"/>
            <w:vAlign w:val="bottom"/>
            <w:tcBorders>
              <w:right w:val="single" w:sz="8" w:color="9EACCA"/>
            </w:tcBorders>
            <w:vMerge w:val="restart"/>
            <w:shd w:val="clear" w:color="auto" w:fill="CCCCCC"/>
          </w:tcPr>
          <w:p>
            <w:pPr>
              <w:jc w:val="right"/>
              <w:ind w:right="30"/>
              <w:spacing w:after="0"/>
              <w:rPr>
                <w:sz w:val="20"/>
                <w:szCs w:val="20"/>
                <w:color w:val="auto"/>
              </w:rPr>
            </w:pPr>
            <w:r>
              <w:rPr>
                <w:rFonts w:ascii="Arial" w:cs="Arial" w:eastAsia="Arial" w:hAnsi="Arial"/>
                <w:sz w:val="14"/>
                <w:szCs w:val="14"/>
                <w:color w:val="auto"/>
                <w:w w:val="99"/>
              </w:rPr>
              <w:t>3,346,209</w:t>
            </w:r>
          </w:p>
        </w:tc>
        <w:tc>
          <w:tcPr>
            <w:tcW w:w="240" w:type="dxa"/>
            <w:vAlign w:val="bottom"/>
            <w:shd w:val="clear" w:color="auto" w:fill="CCCCCC"/>
          </w:tcPr>
          <w:p>
            <w:pPr>
              <w:spacing w:after="0"/>
              <w:rPr>
                <w:sz w:val="14"/>
                <w:szCs w:val="14"/>
                <w:color w:val="auto"/>
              </w:rPr>
            </w:pPr>
          </w:p>
        </w:tc>
        <w:tc>
          <w:tcPr>
            <w:tcW w:w="9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rPr>
              <w:t>150,189</w:t>
            </w: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vMerge w:val="restart"/>
            <w:shd w:val="clear" w:color="auto" w:fill="CCCCCC"/>
          </w:tcPr>
          <w:p>
            <w:pPr>
              <w:jc w:val="right"/>
              <w:ind w:right="448"/>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CCCC"/>
          </w:tcPr>
          <w:p>
            <w:pPr>
              <w:spacing w:after="0"/>
              <w:rPr>
                <w:sz w:val="14"/>
                <w:szCs w:val="14"/>
                <w:color w:val="auto"/>
              </w:rPr>
            </w:pPr>
          </w:p>
        </w:tc>
        <w:tc>
          <w:tcPr>
            <w:tcW w:w="840" w:type="dxa"/>
            <w:vAlign w:val="bottom"/>
            <w:tcBorders>
              <w:right w:val="single" w:sz="8" w:color="9EACCA"/>
            </w:tcBorders>
            <w:vMerge w:val="restart"/>
            <w:shd w:val="clear" w:color="auto" w:fill="CCCCCC"/>
          </w:tcPr>
          <w:p>
            <w:pPr>
              <w:jc w:val="right"/>
              <w:ind w:right="248"/>
              <w:spacing w:after="0"/>
              <w:rPr>
                <w:sz w:val="20"/>
                <w:szCs w:val="20"/>
                <w:color w:val="auto"/>
              </w:rPr>
            </w:pPr>
            <w:r>
              <w:rPr>
                <w:rFonts w:ascii="Arial" w:cs="Arial" w:eastAsia="Arial" w:hAnsi="Arial"/>
                <w:sz w:val="14"/>
                <w:szCs w:val="14"/>
                <w:color w:val="auto"/>
              </w:rPr>
              <w:t>6,301</w:t>
            </w: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vMerge w:val="restart"/>
            <w:shd w:val="clear" w:color="auto" w:fill="CCCCCC"/>
          </w:tcPr>
          <w:p>
            <w:pPr>
              <w:jc w:val="right"/>
              <w:spacing w:after="0"/>
              <w:rPr>
                <w:sz w:val="20"/>
                <w:szCs w:val="20"/>
                <w:color w:val="auto"/>
              </w:rPr>
            </w:pPr>
            <w:r>
              <w:rPr>
                <w:rFonts w:ascii="Arial" w:cs="Arial" w:eastAsia="Arial" w:hAnsi="Arial"/>
                <w:sz w:val="14"/>
                <w:szCs w:val="14"/>
                <w:color w:val="auto"/>
                <w:highlight w:val="lightGray"/>
              </w:rPr>
              <w:t>3,729,863</w:t>
            </w:r>
          </w:p>
        </w:tc>
        <w:tc>
          <w:tcPr>
            <w:tcW w:w="0" w:type="dxa"/>
            <w:vAlign w:val="bottom"/>
          </w:tcPr>
          <w:p>
            <w:pPr>
              <w:spacing w:after="0"/>
              <w:rPr>
                <w:sz w:val="1"/>
                <w:szCs w:val="1"/>
                <w:color w:val="auto"/>
              </w:rPr>
            </w:pPr>
          </w:p>
        </w:tc>
      </w:tr>
      <w:tr>
        <w:trPr>
          <w:trHeight w:val="105"/>
        </w:trPr>
        <w:tc>
          <w:tcPr>
            <w:tcW w:w="1540" w:type="dxa"/>
            <w:vAlign w:val="bottom"/>
            <w:tcBorders>
              <w:left w:val="single" w:sz="8" w:color="3C5896"/>
              <w:bottom w:val="single" w:sz="8" w:color="CCCCCC"/>
              <w:right w:val="single" w:sz="8" w:color="9EACCA"/>
            </w:tcBorders>
            <w:shd w:val="clear" w:color="auto" w:fill="CCCCCC"/>
          </w:tcPr>
          <w:p>
            <w:pPr>
              <w:spacing w:after="0"/>
              <w:rPr>
                <w:sz w:val="9"/>
                <w:szCs w:val="9"/>
                <w:color w:val="auto"/>
              </w:rPr>
            </w:pPr>
          </w:p>
        </w:tc>
        <w:tc>
          <w:tcPr>
            <w:tcW w:w="80" w:type="dxa"/>
            <w:vAlign w:val="bottom"/>
            <w:tcBorders>
              <w:bottom w:val="single" w:sz="8" w:color="CCCCCC"/>
            </w:tcBorders>
            <w:shd w:val="clear" w:color="auto" w:fill="CCCCCC"/>
          </w:tcPr>
          <w:p>
            <w:pPr>
              <w:spacing w:after="0"/>
              <w:rPr>
                <w:sz w:val="9"/>
                <w:szCs w:val="9"/>
                <w:color w:val="auto"/>
              </w:rPr>
            </w:pPr>
          </w:p>
        </w:tc>
        <w:tc>
          <w:tcPr>
            <w:tcW w:w="420" w:type="dxa"/>
            <w:vAlign w:val="bottom"/>
            <w:tcBorders>
              <w:bottom w:val="single" w:sz="8" w:color="CCCCCC"/>
              <w:right w:val="single" w:sz="8" w:color="9EACCA"/>
            </w:tcBorders>
            <w:vMerge w:val="continue"/>
            <w:shd w:val="clear" w:color="auto" w:fill="CCCCCC"/>
          </w:tcPr>
          <w:p>
            <w:pPr>
              <w:spacing w:after="0"/>
              <w:rPr>
                <w:sz w:val="9"/>
                <w:szCs w:val="9"/>
                <w:color w:val="auto"/>
              </w:rPr>
            </w:pPr>
          </w:p>
        </w:tc>
        <w:tc>
          <w:tcPr>
            <w:tcW w:w="80" w:type="dxa"/>
            <w:vAlign w:val="bottom"/>
            <w:tcBorders>
              <w:bottom w:val="single" w:sz="8" w:color="CCCCCC"/>
            </w:tcBorders>
            <w:shd w:val="clear" w:color="auto" w:fill="CCCCCC"/>
          </w:tcPr>
          <w:p>
            <w:pPr>
              <w:spacing w:after="0"/>
              <w:rPr>
                <w:sz w:val="9"/>
                <w:szCs w:val="9"/>
                <w:color w:val="auto"/>
              </w:rPr>
            </w:pPr>
          </w:p>
        </w:tc>
        <w:tc>
          <w:tcPr>
            <w:tcW w:w="640" w:type="dxa"/>
            <w:vAlign w:val="bottom"/>
            <w:tcBorders>
              <w:bottom w:val="single" w:sz="8" w:color="CCCCCC"/>
              <w:right w:val="single" w:sz="8" w:color="9EACCA"/>
            </w:tcBorders>
            <w:vMerge w:val="continue"/>
            <w:shd w:val="clear" w:color="auto" w:fill="CCCCCC"/>
          </w:tcPr>
          <w:p>
            <w:pPr>
              <w:spacing w:after="0"/>
              <w:rPr>
                <w:sz w:val="9"/>
                <w:szCs w:val="9"/>
                <w:color w:val="auto"/>
              </w:rPr>
            </w:pPr>
          </w:p>
        </w:tc>
        <w:tc>
          <w:tcPr>
            <w:tcW w:w="100" w:type="dxa"/>
            <w:vAlign w:val="bottom"/>
            <w:tcBorders>
              <w:bottom w:val="single" w:sz="8" w:color="CCCCCC"/>
            </w:tcBorders>
            <w:shd w:val="clear" w:color="auto" w:fill="CCCCCC"/>
          </w:tcPr>
          <w:p>
            <w:pPr>
              <w:spacing w:after="0"/>
              <w:rPr>
                <w:sz w:val="9"/>
                <w:szCs w:val="9"/>
                <w:color w:val="auto"/>
              </w:rPr>
            </w:pPr>
          </w:p>
        </w:tc>
        <w:tc>
          <w:tcPr>
            <w:tcW w:w="600" w:type="dxa"/>
            <w:vAlign w:val="bottom"/>
            <w:tcBorders>
              <w:bottom w:val="single" w:sz="8" w:color="CCCCCC"/>
              <w:right w:val="single" w:sz="8" w:color="9EACCA"/>
            </w:tcBorders>
            <w:vMerge w:val="continue"/>
            <w:shd w:val="clear" w:color="auto" w:fill="CCCCCC"/>
          </w:tcPr>
          <w:p>
            <w:pPr>
              <w:spacing w:after="0"/>
              <w:rPr>
                <w:sz w:val="9"/>
                <w:szCs w:val="9"/>
                <w:color w:val="auto"/>
              </w:rPr>
            </w:pPr>
          </w:p>
        </w:tc>
        <w:tc>
          <w:tcPr>
            <w:tcW w:w="700" w:type="dxa"/>
            <w:vAlign w:val="bottom"/>
            <w:tcBorders>
              <w:bottom w:val="single" w:sz="8" w:color="CCCCCC"/>
              <w:right w:val="single" w:sz="8" w:color="9EACCA"/>
            </w:tcBorders>
            <w:vMerge w:val="continue"/>
            <w:shd w:val="clear" w:color="auto" w:fill="CCCCCC"/>
          </w:tcPr>
          <w:p>
            <w:pPr>
              <w:spacing w:after="0"/>
              <w:rPr>
                <w:sz w:val="9"/>
                <w:szCs w:val="9"/>
                <w:color w:val="auto"/>
              </w:rPr>
            </w:pPr>
          </w:p>
        </w:tc>
        <w:tc>
          <w:tcPr>
            <w:tcW w:w="60" w:type="dxa"/>
            <w:vAlign w:val="bottom"/>
            <w:tcBorders>
              <w:bottom w:val="single" w:sz="8" w:color="CCCCCC"/>
            </w:tcBorders>
            <w:shd w:val="clear" w:color="auto" w:fill="CCCCCC"/>
          </w:tcPr>
          <w:p>
            <w:pPr>
              <w:spacing w:after="0"/>
              <w:rPr>
                <w:sz w:val="9"/>
                <w:szCs w:val="9"/>
                <w:color w:val="auto"/>
              </w:rPr>
            </w:pPr>
          </w:p>
        </w:tc>
        <w:tc>
          <w:tcPr>
            <w:tcW w:w="740" w:type="dxa"/>
            <w:vAlign w:val="bottom"/>
            <w:tcBorders>
              <w:bottom w:val="single" w:sz="8" w:color="CCCCCC"/>
              <w:right w:val="single" w:sz="8" w:color="9EACCA"/>
            </w:tcBorders>
            <w:vMerge w:val="continue"/>
            <w:shd w:val="clear" w:color="auto" w:fill="CCCCCC"/>
          </w:tcPr>
          <w:p>
            <w:pPr>
              <w:spacing w:after="0"/>
              <w:rPr>
                <w:sz w:val="9"/>
                <w:szCs w:val="9"/>
                <w:color w:val="auto"/>
              </w:rPr>
            </w:pPr>
          </w:p>
        </w:tc>
        <w:tc>
          <w:tcPr>
            <w:tcW w:w="240" w:type="dxa"/>
            <w:vAlign w:val="bottom"/>
            <w:tcBorders>
              <w:bottom w:val="single" w:sz="8" w:color="CCCCCC"/>
            </w:tcBorders>
            <w:shd w:val="clear" w:color="auto" w:fill="CCCCCC"/>
          </w:tcPr>
          <w:p>
            <w:pPr>
              <w:spacing w:after="0"/>
              <w:rPr>
                <w:sz w:val="9"/>
                <w:szCs w:val="9"/>
                <w:color w:val="auto"/>
              </w:rPr>
            </w:pPr>
          </w:p>
        </w:tc>
        <w:tc>
          <w:tcPr>
            <w:tcW w:w="920" w:type="dxa"/>
            <w:vAlign w:val="bottom"/>
            <w:tcBorders>
              <w:bottom w:val="single" w:sz="8" w:color="CCCCCC"/>
              <w:right w:val="single" w:sz="8" w:color="9EACCA"/>
            </w:tcBorders>
            <w:vMerge w:val="continue"/>
            <w:shd w:val="clear" w:color="auto" w:fill="CCCCCC"/>
          </w:tcPr>
          <w:p>
            <w:pPr>
              <w:spacing w:after="0"/>
              <w:rPr>
                <w:sz w:val="9"/>
                <w:szCs w:val="9"/>
                <w:color w:val="auto"/>
              </w:rPr>
            </w:pPr>
          </w:p>
        </w:tc>
        <w:tc>
          <w:tcPr>
            <w:tcW w:w="500" w:type="dxa"/>
            <w:vAlign w:val="bottom"/>
            <w:tcBorders>
              <w:bottom w:val="single" w:sz="8" w:color="CCCCCC"/>
            </w:tcBorders>
            <w:shd w:val="clear" w:color="auto" w:fill="CCCCCC"/>
          </w:tcPr>
          <w:p>
            <w:pPr>
              <w:spacing w:after="0"/>
              <w:rPr>
                <w:sz w:val="9"/>
                <w:szCs w:val="9"/>
                <w:color w:val="auto"/>
              </w:rPr>
            </w:pPr>
          </w:p>
        </w:tc>
        <w:tc>
          <w:tcPr>
            <w:tcW w:w="660" w:type="dxa"/>
            <w:vAlign w:val="bottom"/>
            <w:tcBorders>
              <w:bottom w:val="single" w:sz="8" w:color="CCCCCC"/>
              <w:right w:val="single" w:sz="8" w:color="9EACCA"/>
            </w:tcBorders>
            <w:vMerge w:val="continue"/>
            <w:shd w:val="clear" w:color="auto" w:fill="CCCCCC"/>
          </w:tcPr>
          <w:p>
            <w:pPr>
              <w:spacing w:after="0"/>
              <w:rPr>
                <w:sz w:val="9"/>
                <w:szCs w:val="9"/>
                <w:color w:val="auto"/>
              </w:rPr>
            </w:pPr>
          </w:p>
        </w:tc>
        <w:tc>
          <w:tcPr>
            <w:tcW w:w="320" w:type="dxa"/>
            <w:vAlign w:val="bottom"/>
            <w:tcBorders>
              <w:bottom w:val="single" w:sz="8" w:color="CCCCCC"/>
            </w:tcBorders>
            <w:shd w:val="clear" w:color="auto" w:fill="CCCCCC"/>
          </w:tcPr>
          <w:p>
            <w:pPr>
              <w:spacing w:after="0"/>
              <w:rPr>
                <w:sz w:val="9"/>
                <w:szCs w:val="9"/>
                <w:color w:val="auto"/>
              </w:rPr>
            </w:pPr>
          </w:p>
        </w:tc>
        <w:tc>
          <w:tcPr>
            <w:tcW w:w="840" w:type="dxa"/>
            <w:vAlign w:val="bottom"/>
            <w:tcBorders>
              <w:bottom w:val="single" w:sz="8" w:color="CCCCCC"/>
              <w:right w:val="single" w:sz="8" w:color="9EACCA"/>
            </w:tcBorders>
            <w:vMerge w:val="continue"/>
            <w:shd w:val="clear" w:color="auto" w:fill="CCCCCC"/>
          </w:tcPr>
          <w:p>
            <w:pPr>
              <w:spacing w:after="0"/>
              <w:rPr>
                <w:sz w:val="9"/>
                <w:szCs w:val="9"/>
                <w:color w:val="auto"/>
              </w:rPr>
            </w:pPr>
          </w:p>
        </w:tc>
        <w:tc>
          <w:tcPr>
            <w:tcW w:w="40" w:type="dxa"/>
            <w:vAlign w:val="bottom"/>
            <w:tcBorders>
              <w:bottom w:val="single" w:sz="8" w:color="CCCCCC"/>
            </w:tcBorders>
            <w:shd w:val="clear" w:color="auto" w:fill="CCCCCC"/>
          </w:tcPr>
          <w:p>
            <w:pPr>
              <w:spacing w:after="0"/>
              <w:rPr>
                <w:sz w:val="9"/>
                <w:szCs w:val="9"/>
                <w:color w:val="auto"/>
              </w:rPr>
            </w:pPr>
          </w:p>
        </w:tc>
        <w:tc>
          <w:tcPr>
            <w:tcW w:w="720" w:type="dxa"/>
            <w:vAlign w:val="bottom"/>
            <w:tcBorders>
              <w:bottom w:val="single" w:sz="8" w:color="CCCCCC"/>
              <w:right w:val="single" w:sz="8" w:color="3C5896"/>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540" w:type="dxa"/>
            <w:vAlign w:val="bottom"/>
            <w:tcBorders>
              <w:left w:val="single" w:sz="8" w:color="3C5896"/>
              <w:right w:val="single" w:sz="8" w:color="9EACCA"/>
            </w:tcBorders>
          </w:tcPr>
          <w:p>
            <w:pPr>
              <w:ind w:left="40"/>
              <w:spacing w:after="0" w:line="221" w:lineRule="exact"/>
              <w:rPr>
                <w:sz w:val="20"/>
                <w:szCs w:val="20"/>
                <w:color w:val="auto"/>
              </w:rPr>
            </w:pPr>
            <w:r>
              <w:rPr>
                <w:rFonts w:ascii="Arial" w:cs="Arial" w:eastAsia="Arial" w:hAnsi="Arial"/>
                <w:sz w:val="14"/>
                <w:szCs w:val="14"/>
                <w:color w:val="auto"/>
              </w:rPr>
              <w:t>Chris Beasley</w:t>
            </w:r>
            <w:r>
              <w:rPr>
                <w:rFonts w:ascii="Arial" w:cs="Arial" w:eastAsia="Arial" w:hAnsi="Arial"/>
                <w:sz w:val="21"/>
                <w:szCs w:val="21"/>
                <w:color w:val="auto"/>
                <w:vertAlign w:val="superscript"/>
              </w:rPr>
              <w:t>(3)</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2019</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168,652</w:t>
            </w:r>
          </w:p>
        </w:tc>
        <w:tc>
          <w:tcPr>
            <w:tcW w:w="100" w:type="dxa"/>
            <w:vAlign w:val="bottom"/>
          </w:tcPr>
          <w:p>
            <w:pPr>
              <w:spacing w:after="0"/>
              <w:rPr>
                <w:sz w:val="19"/>
                <w:szCs w:val="19"/>
                <w:color w:val="auto"/>
              </w:rPr>
            </w:pPr>
          </w:p>
        </w:tc>
        <w:tc>
          <w:tcPr>
            <w:tcW w:w="600" w:type="dxa"/>
            <w:vAlign w:val="bottom"/>
            <w:tcBorders>
              <w:right w:val="single" w:sz="8" w:color="9EACCA"/>
            </w:tcBorders>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80,022</w:t>
            </w:r>
          </w:p>
        </w:tc>
        <w:tc>
          <w:tcPr>
            <w:tcW w:w="800" w:type="dxa"/>
            <w:vAlign w:val="bottom"/>
            <w:tcBorders>
              <w:right w:val="single" w:sz="8" w:color="9EACCA"/>
            </w:tcBorders>
            <w:gridSpan w:val="2"/>
          </w:tcPr>
          <w:p>
            <w:pPr>
              <w:jc w:val="right"/>
              <w:ind w:right="30"/>
              <w:spacing w:after="0"/>
              <w:rPr>
                <w:sz w:val="20"/>
                <w:szCs w:val="20"/>
                <w:color w:val="auto"/>
              </w:rPr>
            </w:pPr>
            <w:r>
              <w:rPr>
                <w:rFonts w:ascii="Arial" w:cs="Arial" w:eastAsia="Arial" w:hAnsi="Arial"/>
                <w:sz w:val="14"/>
                <w:szCs w:val="14"/>
                <w:color w:val="auto"/>
              </w:rPr>
              <w:t>80,002</w:t>
            </w:r>
          </w:p>
        </w:tc>
        <w:tc>
          <w:tcPr>
            <w:tcW w:w="116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89,188</w:t>
            </w:r>
          </w:p>
        </w:tc>
        <w:tc>
          <w:tcPr>
            <w:tcW w:w="500" w:type="dxa"/>
            <w:vAlign w:val="bottom"/>
          </w:tcPr>
          <w:p>
            <w:pPr>
              <w:spacing w:after="0"/>
              <w:rPr>
                <w:sz w:val="19"/>
                <w:szCs w:val="19"/>
                <w:color w:val="auto"/>
              </w:rPr>
            </w:pPr>
          </w:p>
        </w:tc>
        <w:tc>
          <w:tcPr>
            <w:tcW w:w="660" w:type="dxa"/>
            <w:vAlign w:val="bottom"/>
            <w:tcBorders>
              <w:right w:val="single" w:sz="8" w:color="9EACCA"/>
            </w:tcBorders>
          </w:tcPr>
          <w:p>
            <w:pPr>
              <w:jc w:val="right"/>
              <w:ind w:right="448"/>
              <w:spacing w:after="0"/>
              <w:rPr>
                <w:sz w:val="20"/>
                <w:szCs w:val="20"/>
                <w:color w:val="auto"/>
              </w:rPr>
            </w:pPr>
            <w:r>
              <w:rPr>
                <w:rFonts w:ascii="Arial" w:cs="Arial" w:eastAsia="Arial" w:hAnsi="Arial"/>
                <w:sz w:val="14"/>
                <w:szCs w:val="14"/>
                <w:color w:val="auto"/>
                <w:w w:val="85"/>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358,543</w:t>
            </w:r>
          </w:p>
        </w:tc>
        <w:tc>
          <w:tcPr>
            <w:tcW w:w="76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776,407</w:t>
            </w: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Former Senior Vice</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9EACC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9EACCA"/>
            </w:tcBorders>
          </w:tcPr>
          <w:p>
            <w:pPr>
              <w:spacing w:after="0"/>
              <w:rPr>
                <w:sz w:val="14"/>
                <w:szCs w:val="14"/>
                <w:color w:val="auto"/>
              </w:rPr>
            </w:pPr>
          </w:p>
        </w:tc>
        <w:tc>
          <w:tcPr>
            <w:tcW w:w="70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President,</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9EACC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9EACCA"/>
            </w:tcBorders>
          </w:tcPr>
          <w:p>
            <w:pPr>
              <w:spacing w:after="0"/>
              <w:rPr>
                <w:sz w:val="14"/>
                <w:szCs w:val="14"/>
                <w:color w:val="auto"/>
              </w:rPr>
            </w:pPr>
          </w:p>
        </w:tc>
        <w:tc>
          <w:tcPr>
            <w:tcW w:w="70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Accounting and</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9EACC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right w:val="single" w:sz="8" w:color="9EACCA"/>
            </w:tcBorders>
          </w:tcPr>
          <w:p>
            <w:pPr>
              <w:spacing w:after="0"/>
              <w:rPr>
                <w:sz w:val="14"/>
                <w:szCs w:val="14"/>
                <w:color w:val="auto"/>
              </w:rPr>
            </w:pPr>
          </w:p>
        </w:tc>
        <w:tc>
          <w:tcPr>
            <w:tcW w:w="70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54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Controller</w:t>
            </w:r>
          </w:p>
        </w:tc>
        <w:tc>
          <w:tcPr>
            <w:tcW w:w="80" w:type="dxa"/>
            <w:vAlign w:val="bottom"/>
          </w:tcPr>
          <w:p>
            <w:pPr>
              <w:spacing w:after="0"/>
              <w:rPr>
                <w:sz w:val="19"/>
                <w:szCs w:val="19"/>
                <w:color w:val="auto"/>
              </w:rPr>
            </w:pPr>
          </w:p>
        </w:tc>
        <w:tc>
          <w:tcPr>
            <w:tcW w:w="42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9EACCA"/>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right w:val="single" w:sz="8" w:color="9EACCA"/>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right w:val="single" w:sz="8" w:color="3C5896"/>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42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64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600" w:type="dxa"/>
            <w:vAlign w:val="bottom"/>
            <w:tcBorders>
              <w:right w:val="single" w:sz="8" w:color="3C5896"/>
            </w:tcBorders>
            <w:shd w:val="clear" w:color="auto" w:fill="3C5896"/>
          </w:tcPr>
          <w:p>
            <w:pPr>
              <w:spacing w:after="0" w:line="20" w:lineRule="exact"/>
              <w:rPr>
                <w:sz w:val="1"/>
                <w:szCs w:val="1"/>
                <w:color w:val="auto"/>
              </w:rPr>
            </w:pPr>
          </w:p>
        </w:tc>
        <w:tc>
          <w:tcPr>
            <w:tcW w:w="700" w:type="dxa"/>
            <w:vAlign w:val="bottom"/>
            <w:tcBorders>
              <w:right w:val="single" w:sz="8" w:color="3C5896"/>
            </w:tcBorders>
            <w:shd w:val="clear" w:color="auto" w:fill="3C5896"/>
          </w:tcPr>
          <w:p>
            <w:pPr>
              <w:spacing w:after="0" w:line="20" w:lineRule="exact"/>
              <w:rPr>
                <w:sz w:val="1"/>
                <w:szCs w:val="1"/>
                <w:color w:val="auto"/>
              </w:rPr>
            </w:pPr>
          </w:p>
        </w:tc>
        <w:tc>
          <w:tcPr>
            <w:tcW w:w="60" w:type="dxa"/>
            <w:vAlign w:val="bottom"/>
            <w:shd w:val="clear" w:color="auto" w:fill="3C5896"/>
          </w:tcPr>
          <w:p>
            <w:pPr>
              <w:spacing w:after="0" w:line="20" w:lineRule="exact"/>
              <w:rPr>
                <w:sz w:val="1"/>
                <w:szCs w:val="1"/>
                <w:color w:val="auto"/>
              </w:rPr>
            </w:pPr>
          </w:p>
        </w:tc>
        <w:tc>
          <w:tcPr>
            <w:tcW w:w="740" w:type="dxa"/>
            <w:vAlign w:val="bottom"/>
            <w:tcBorders>
              <w:right w:val="single" w:sz="8" w:color="3C5896"/>
            </w:tcBorders>
            <w:shd w:val="clear" w:color="auto" w:fill="3C5896"/>
          </w:tcPr>
          <w:p>
            <w:pPr>
              <w:spacing w:after="0" w:line="20" w:lineRule="exact"/>
              <w:rPr>
                <w:sz w:val="1"/>
                <w:szCs w:val="1"/>
                <w:color w:val="auto"/>
              </w:rPr>
            </w:pPr>
          </w:p>
        </w:tc>
        <w:tc>
          <w:tcPr>
            <w:tcW w:w="240" w:type="dxa"/>
            <w:vAlign w:val="bottom"/>
            <w:shd w:val="clear" w:color="auto" w:fill="3C5896"/>
          </w:tcPr>
          <w:p>
            <w:pPr>
              <w:spacing w:after="0" w:line="20" w:lineRule="exact"/>
              <w:rPr>
                <w:sz w:val="1"/>
                <w:szCs w:val="1"/>
                <w:color w:val="auto"/>
              </w:rPr>
            </w:pPr>
          </w:p>
        </w:tc>
        <w:tc>
          <w:tcPr>
            <w:tcW w:w="920" w:type="dxa"/>
            <w:vAlign w:val="bottom"/>
            <w:tcBorders>
              <w:right w:val="single" w:sz="8" w:color="3C5896"/>
            </w:tcBorders>
            <w:shd w:val="clear" w:color="auto" w:fill="3C5896"/>
          </w:tcPr>
          <w:p>
            <w:pPr>
              <w:spacing w:after="0" w:line="20" w:lineRule="exact"/>
              <w:rPr>
                <w:sz w:val="1"/>
                <w:szCs w:val="1"/>
                <w:color w:val="auto"/>
              </w:rPr>
            </w:pPr>
          </w:p>
        </w:tc>
        <w:tc>
          <w:tcPr>
            <w:tcW w:w="500" w:type="dxa"/>
            <w:vAlign w:val="bottom"/>
            <w:shd w:val="clear" w:color="auto" w:fill="3C5896"/>
          </w:tcPr>
          <w:p>
            <w:pPr>
              <w:spacing w:after="0" w:line="20" w:lineRule="exact"/>
              <w:rPr>
                <w:sz w:val="1"/>
                <w:szCs w:val="1"/>
                <w:color w:val="auto"/>
              </w:rPr>
            </w:pPr>
          </w:p>
        </w:tc>
        <w:tc>
          <w:tcPr>
            <w:tcW w:w="660" w:type="dxa"/>
            <w:vAlign w:val="bottom"/>
            <w:tcBorders>
              <w:right w:val="single" w:sz="8" w:color="3C5896"/>
            </w:tcBorders>
            <w:shd w:val="clear" w:color="auto" w:fill="3C5896"/>
          </w:tcPr>
          <w:p>
            <w:pPr>
              <w:spacing w:after="0" w:line="20" w:lineRule="exact"/>
              <w:rPr>
                <w:sz w:val="1"/>
                <w:szCs w:val="1"/>
                <w:color w:val="auto"/>
              </w:rPr>
            </w:pPr>
          </w:p>
        </w:tc>
        <w:tc>
          <w:tcPr>
            <w:tcW w:w="320" w:type="dxa"/>
            <w:vAlign w:val="bottom"/>
            <w:shd w:val="clear" w:color="auto" w:fill="3C5896"/>
          </w:tcPr>
          <w:p>
            <w:pPr>
              <w:spacing w:after="0" w:line="20" w:lineRule="exact"/>
              <w:rPr>
                <w:sz w:val="1"/>
                <w:szCs w:val="1"/>
                <w:color w:val="auto"/>
              </w:rPr>
            </w:pPr>
          </w:p>
        </w:tc>
        <w:tc>
          <w:tcPr>
            <w:tcW w:w="84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2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1120" w:right="259" w:hanging="356"/>
        <w:spacing w:after="0" w:line="260" w:lineRule="auto"/>
        <w:tabs>
          <w:tab w:leader="none" w:pos="1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Mr. Clark joined the Company in June 2019, Ms. Rasmussen joined the Company in July 2019, and Mr. Brandman was appointed as an executive officer at the Company effective February 2019.</w:t>
      </w:r>
    </w:p>
    <w:p>
      <w:pPr>
        <w:spacing w:after="0" w:line="44" w:lineRule="exact"/>
        <w:rPr>
          <w:rFonts w:ascii="Arial" w:cs="Arial" w:eastAsia="Arial" w:hAnsi="Arial"/>
          <w:sz w:val="15"/>
          <w:szCs w:val="15"/>
          <w:color w:val="auto"/>
        </w:rPr>
      </w:pPr>
    </w:p>
    <w:p>
      <w:pPr>
        <w:ind w:left="1120" w:right="219" w:hanging="356"/>
        <w:spacing w:after="0" w:line="244" w:lineRule="auto"/>
        <w:tabs>
          <w:tab w:leader="none" w:pos="1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Mr. McAllister transitioned from his role as Chief Operating Officer, effective January 2019. Pursuant to the McAllister Transition Agreement, he received (i) a base salary of $591,000 for 2019 (the rate of $590,342 is reflected in the table because the effective date for the increase was in the middle of the first pay period), (ii) other compensation and benefits at the same level as in effect immediately prior to the role change, provided that his 2019 STIP award was not lower than the target STIP amount, and</w:t>
      </w:r>
    </w:p>
    <w:p>
      <w:pPr>
        <w:ind w:left="1120" w:right="299"/>
        <w:spacing w:after="0" w:line="260" w:lineRule="auto"/>
        <w:rPr>
          <w:rFonts w:ascii="Arial" w:cs="Arial" w:eastAsia="Arial" w:hAnsi="Arial"/>
          <w:sz w:val="15"/>
          <w:szCs w:val="15"/>
          <w:color w:val="auto"/>
        </w:rPr>
      </w:pPr>
      <w:r>
        <w:rPr>
          <w:rFonts w:ascii="Arial" w:cs="Arial" w:eastAsia="Arial" w:hAnsi="Arial"/>
          <w:sz w:val="15"/>
          <w:szCs w:val="15"/>
          <w:color w:val="auto"/>
        </w:rPr>
        <w:t>(iii) continued vesting of his outstanding stock option awards in ordinary course, along with other items. See “McAllister Transition Agreement” in the Compensation Discussion and Analysis section for a further description.</w:t>
      </w:r>
    </w:p>
    <w:p>
      <w:pPr>
        <w:spacing w:after="0" w:line="44" w:lineRule="exact"/>
        <w:rPr>
          <w:rFonts w:ascii="Arial" w:cs="Arial" w:eastAsia="Arial" w:hAnsi="Arial"/>
          <w:sz w:val="15"/>
          <w:szCs w:val="15"/>
          <w:color w:val="auto"/>
        </w:rPr>
      </w:pPr>
    </w:p>
    <w:p>
      <w:pPr>
        <w:ind w:left="1120" w:right="319" w:hanging="356"/>
        <w:spacing w:after="0" w:line="244" w:lineRule="auto"/>
        <w:tabs>
          <w:tab w:leader="none" w:pos="1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Mr. Beasley terminated his position as Senior Vice President, Accounting and Controller, effective September 2019. Pursuant to the Beasley Separation Agreement, he received (i) a lump sum payment of his 2019 base salary and his 2019 STIP award at the target STIP amount, (ii) a lump sum payment of his 2019 STIP award based on actual performance for 2019 (pro-rated for</w:t>
      </w:r>
    </w:p>
    <w:p>
      <w:pPr>
        <w:ind w:left="1120" w:right="319"/>
        <w:spacing w:after="0" w:line="260" w:lineRule="auto"/>
        <w:rPr>
          <w:rFonts w:ascii="Arial" w:cs="Arial" w:eastAsia="Arial" w:hAnsi="Arial"/>
          <w:sz w:val="15"/>
          <w:szCs w:val="15"/>
          <w:color w:val="auto"/>
        </w:rPr>
      </w:pPr>
      <w:r>
        <w:rPr>
          <w:rFonts w:ascii="Arial" w:cs="Arial" w:eastAsia="Arial" w:hAnsi="Arial"/>
          <w:sz w:val="15"/>
          <w:szCs w:val="15"/>
          <w:color w:val="auto"/>
        </w:rPr>
        <w:t>8 months of service), and (iii) continued vesting of his outstanding stock option awards in ordinary course, along with other items. See “Beasley Separation Agreement” in the Compensation Discussion and Analysis section for a further description.</w:t>
      </w:r>
    </w:p>
    <w:p>
      <w:pPr>
        <w:spacing w:after="0" w:line="44" w:lineRule="exact"/>
        <w:rPr>
          <w:rFonts w:ascii="Arial" w:cs="Arial" w:eastAsia="Arial" w:hAnsi="Arial"/>
          <w:sz w:val="15"/>
          <w:szCs w:val="15"/>
          <w:color w:val="auto"/>
        </w:rPr>
      </w:pPr>
    </w:p>
    <w:p>
      <w:pPr>
        <w:ind w:left="1120" w:right="499" w:hanging="356"/>
        <w:spacing w:after="0" w:line="260" w:lineRule="auto"/>
        <w:tabs>
          <w:tab w:leader="none" w:pos="1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Salary column reflects salaries paid in the years indicated to each of the NEOs. Salary increases, if any, for each year are generally approved in February and effective in April of that year or in connection with an NEO’s promotion.</w:t>
      </w:r>
    </w:p>
    <w:p>
      <w:pPr>
        <w:spacing w:after="0" w:line="58" w:lineRule="exact"/>
        <w:rPr>
          <w:rFonts w:ascii="Arial" w:cs="Arial" w:eastAsia="Arial" w:hAnsi="Arial"/>
          <w:sz w:val="15"/>
          <w:szCs w:val="15"/>
          <w:color w:val="auto"/>
        </w:rPr>
      </w:pPr>
    </w:p>
    <w:p>
      <w:pPr>
        <w:ind w:left="1120" w:right="339" w:hanging="356"/>
        <w:spacing w:after="0" w:line="252" w:lineRule="auto"/>
        <w:tabs>
          <w:tab w:leader="none" w:pos="1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See “2019 Special Retention and Sign-On Awards” in the Compensation Discussion and Analysis section for a description of the sign-on awards provided in connection with Mr. Clark’s and Ms. Rasmussen’s decisions to join the Company, including their respective cash sign-on bonuses reflected in the Bonus column.</w:t>
      </w:r>
    </w:p>
    <w:p>
      <w:pPr>
        <w:spacing w:after="0" w:line="50" w:lineRule="exact"/>
        <w:rPr>
          <w:rFonts w:ascii="Arial" w:cs="Arial" w:eastAsia="Arial" w:hAnsi="Arial"/>
          <w:sz w:val="15"/>
          <w:szCs w:val="15"/>
          <w:color w:val="auto"/>
        </w:rPr>
      </w:pPr>
    </w:p>
    <w:p>
      <w:pPr>
        <w:ind w:left="1120" w:right="879" w:hanging="356"/>
        <w:spacing w:after="0" w:line="260" w:lineRule="auto"/>
        <w:tabs>
          <w:tab w:leader="none" w:pos="1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values in the Stock Awards column represent the aggregate grant date fair value for the stock awards granted in the applicable</w:t>
      </w:r>
    </w:p>
    <w:p>
      <w:pPr>
        <w:spacing w:after="0" w:line="311"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3114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0355" cy="231140"/>
                    </a:xfrm>
                    <a:prstGeom prst="rect">
                      <a:avLst/>
                    </a:prstGeom>
                    <a:noFill/>
                    <a:ln>
                      <a:noFill/>
                    </a:ln>
                  </pic:spPr>
                </pic:pic>
              </a:graphicData>
            </a:graphic>
          </wp:inline>
        </w:drawing>
      </w:r>
      <w:r>
        <w:rPr>
          <w:rFonts w:ascii="Arial" w:cs="Arial" w:eastAsia="Arial" w:hAnsi="Arial"/>
          <w:sz w:val="16"/>
          <w:szCs w:val="16"/>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168275</wp:posOffset>
            </wp:positionV>
            <wp:extent cx="5837555"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4" w:lineRule="exact"/>
        <w:rPr>
          <w:sz w:val="20"/>
          <w:szCs w:val="20"/>
          <w:color w:val="auto"/>
        </w:rPr>
      </w:pPr>
    </w:p>
    <w:p>
      <w:pPr>
        <w:ind w:left="1120" w:right="279"/>
        <w:spacing w:after="0" w:line="246" w:lineRule="auto"/>
        <w:rPr>
          <w:sz w:val="20"/>
          <w:szCs w:val="20"/>
          <w:color w:val="auto"/>
        </w:rPr>
      </w:pPr>
      <w:r>
        <w:rPr>
          <w:rFonts w:ascii="Arial" w:cs="Arial" w:eastAsia="Arial" w:hAnsi="Arial"/>
          <w:sz w:val="15"/>
          <w:szCs w:val="15"/>
          <w:color w:val="auto"/>
        </w:rPr>
        <w:t>year, computed in accordance with FASB ASC Topic 718. These awards include PSUs, one-time 2019 special retention RSU awards and 2019 sign-on awards of PSUs. Awards with performance conditions are computed based on the probable outcome of the performance condition as of the grant date for the award. Information about the assumptions used to value these awards can be found in Note 5 “Stock Incentive Plans” in our 2019 Form 10-K. The amounts reported for these awards may not represent the amounts that the individuals will actually receive. The amounts received, if any, ultimately will depend on Company performance and the change in our stock price over time. An overview of the features of these awards can be found in under “2019 Special Retention and Sign-On Awards” in the Compensation Discussion and Analysis section above.</w:t>
      </w:r>
    </w:p>
    <w:p>
      <w:pPr>
        <w:spacing w:after="0" w:line="58" w:lineRule="exact"/>
        <w:rPr>
          <w:sz w:val="20"/>
          <w:szCs w:val="20"/>
          <w:color w:val="auto"/>
        </w:rPr>
      </w:pPr>
    </w:p>
    <w:p>
      <w:pPr>
        <w:ind w:left="1120" w:right="299"/>
        <w:spacing w:after="0" w:line="247" w:lineRule="auto"/>
        <w:rPr>
          <w:sz w:val="20"/>
          <w:szCs w:val="20"/>
          <w:color w:val="auto"/>
        </w:rPr>
      </w:pPr>
      <w:r>
        <w:rPr>
          <w:rFonts w:ascii="Arial" w:cs="Arial" w:eastAsia="Arial" w:hAnsi="Arial"/>
          <w:sz w:val="15"/>
          <w:szCs w:val="15"/>
          <w:color w:val="auto"/>
        </w:rPr>
        <w:t>For PSU awards granted in March 2019 to Messrs. Fahs, Moore, Brandman, and Beasley, the maximum performance shares payable and valued at the grant date price of $35.19 are 63,940 shares or $2,250,049; 17,052 shares or $600,060; 7,106 shares or $250,060; and 4,548 shares or $160,044, respectively. For PSU awards granted in June 2019 to Mr. Clark, the maximum performance shares payable and valued at the grant date price of $28.48 are 17,558 shares or $500,052. For PSU awards granted in July 2019 to Ms. Rasmussen, the maximum performance shares payable and valued at the grant date price of $31.73 are 5,044 shares or $160,046.</w:t>
      </w:r>
    </w:p>
    <w:p>
      <w:pPr>
        <w:spacing w:after="0" w:line="69" w:lineRule="exact"/>
        <w:rPr>
          <w:sz w:val="20"/>
          <w:szCs w:val="20"/>
          <w:color w:val="auto"/>
        </w:rPr>
      </w:pPr>
    </w:p>
    <w:p>
      <w:pPr>
        <w:ind w:left="1120" w:right="179" w:hanging="356"/>
        <w:spacing w:after="0" w:line="247" w:lineRule="auto"/>
        <w:tabs>
          <w:tab w:leader="none" w:pos="11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values in the Option Awards column represent the aggregate grant date fair value for the option awards granted in the applicable year, computed in accordance with FASB ASC Topic 718. The assumptions used to value these awards can be found in Note 5 “Stock Incentive Plans” in our 2019 Form 10-K. The amounts reported for these awards may not represent the amounts that the individuals will actually receive. The amounts received, if any, ultimately will depend on the change in our stock price over time. An overview of the features of these awards can be found in the “2019 Option Awards,” “2019 Special Retention and Sign-On Awards,” “Pre-IPO Options” and “IPO-Related Options” in the Compensation Discussion and Analysis section above.</w:t>
      </w:r>
    </w:p>
    <w:p>
      <w:pPr>
        <w:spacing w:after="0" w:line="55" w:lineRule="exact"/>
        <w:rPr>
          <w:rFonts w:ascii="Arial" w:cs="Arial" w:eastAsia="Arial" w:hAnsi="Arial"/>
          <w:sz w:val="15"/>
          <w:szCs w:val="15"/>
          <w:color w:val="auto"/>
        </w:rPr>
      </w:pPr>
    </w:p>
    <w:p>
      <w:pPr>
        <w:ind w:left="1120" w:right="239" w:hanging="356"/>
        <w:spacing w:after="0" w:line="248" w:lineRule="auto"/>
        <w:tabs>
          <w:tab w:leader="none" w:pos="11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Non-Equity Incentive Plan Compensation column reflects the cash bonus awarded under the STIP to each NEO. The Company pays these amounts, if any, in the month of March following the year in which they are earned. The cash bonuses under the 2019 STIP were earned at 139.4% of target. Additional explanation of the non-equity incentive plan compensation for each NEO appears in “Annual Cash Incentive Program” in the Compensation Discussion and Analysis section above and below in the footnotes to the 2019 Grants of Plan-Based Awards table.</w:t>
      </w:r>
    </w:p>
    <w:p>
      <w:pPr>
        <w:spacing w:after="0" w:line="53" w:lineRule="exact"/>
        <w:rPr>
          <w:rFonts w:ascii="Arial" w:cs="Arial" w:eastAsia="Arial" w:hAnsi="Arial"/>
          <w:sz w:val="15"/>
          <w:szCs w:val="15"/>
          <w:color w:val="auto"/>
        </w:rPr>
      </w:pPr>
    </w:p>
    <w:p>
      <w:pPr>
        <w:ind w:left="1120" w:hanging="356"/>
        <w:spacing w:after="0"/>
        <w:tabs>
          <w:tab w:leader="none" w:pos="11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All Other Compensation for 2019 included:</w:t>
      </w:r>
    </w:p>
    <w:p>
      <w:pPr>
        <w:spacing w:after="0" w:line="121" w:lineRule="exact"/>
        <w:rPr>
          <w:sz w:val="20"/>
          <w:szCs w:val="20"/>
          <w:color w:val="auto"/>
        </w:rPr>
      </w:pPr>
    </w:p>
    <w:tbl>
      <w:tblPr>
        <w:tblLayout w:type="fixed"/>
        <w:tblInd w:w="1130" w:type="dxa"/>
        <w:tblCellMar>
          <w:top w:w="0" w:type="dxa"/>
          <w:left w:w="0" w:type="dxa"/>
          <w:bottom w:w="0" w:type="dxa"/>
          <w:right w:w="0" w:type="dxa"/>
        </w:tblCellMar>
      </w:tblPr>
      <w:tr>
        <w:trPr>
          <w:trHeight w:val="175"/>
        </w:trPr>
        <w:tc>
          <w:tcPr>
            <w:tcW w:w="3020" w:type="dxa"/>
            <w:vAlign w:val="bottom"/>
            <w:tcBorders>
              <w:top w:val="single" w:sz="8" w:color="3C5896"/>
              <w:left w:val="single" w:sz="8" w:color="3C5896"/>
              <w:right w:val="single" w:sz="8" w:color="9EACCA"/>
            </w:tcBorders>
            <w:shd w:val="clear" w:color="auto" w:fill="3C5896"/>
          </w:tcPr>
          <w:p>
            <w:pPr>
              <w:spacing w:after="0"/>
              <w:rPr>
                <w:sz w:val="15"/>
                <w:szCs w:val="15"/>
                <w:color w:val="auto"/>
              </w:rPr>
            </w:pPr>
          </w:p>
        </w:tc>
        <w:tc>
          <w:tcPr>
            <w:tcW w:w="116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rPr>
              <w:t>Employer 401(k)</w:t>
            </w:r>
          </w:p>
        </w:tc>
        <w:tc>
          <w:tcPr>
            <w:tcW w:w="1160" w:type="dxa"/>
            <w:vAlign w:val="bottom"/>
            <w:tcBorders>
              <w:top w:val="single" w:sz="8" w:color="3C5896"/>
              <w:right w:val="single" w:sz="8" w:color="9EACCA"/>
            </w:tcBorders>
            <w:vMerge w:val="restart"/>
            <w:shd w:val="clear" w:color="auto" w:fill="3C5896"/>
          </w:tcPr>
          <w:p>
            <w:pPr>
              <w:jc w:val="center"/>
              <w:ind w:right="9"/>
              <w:spacing w:after="0"/>
              <w:rPr>
                <w:sz w:val="20"/>
                <w:szCs w:val="20"/>
                <w:color w:val="auto"/>
              </w:rPr>
            </w:pPr>
            <w:r>
              <w:rPr>
                <w:rFonts w:ascii="Arial" w:cs="Arial" w:eastAsia="Arial" w:hAnsi="Arial"/>
                <w:sz w:val="13"/>
                <w:szCs w:val="13"/>
                <w:b w:val="1"/>
                <w:bCs w:val="1"/>
                <w:color w:val="FFFFFF"/>
              </w:rPr>
              <w:t>Insurance</w:t>
            </w:r>
          </w:p>
        </w:tc>
        <w:tc>
          <w:tcPr>
            <w:tcW w:w="116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rPr>
              <w:t>Retirement</w:t>
            </w:r>
          </w:p>
        </w:tc>
        <w:tc>
          <w:tcPr>
            <w:tcW w:w="1160" w:type="dxa"/>
            <w:vAlign w:val="bottom"/>
            <w:tcBorders>
              <w:top w:val="single" w:sz="8" w:color="3C5896"/>
              <w:right w:val="single" w:sz="8" w:color="9EACCA"/>
            </w:tcBorders>
            <w:shd w:val="clear" w:color="auto" w:fill="3C5896"/>
          </w:tcPr>
          <w:p>
            <w:pPr>
              <w:spacing w:after="0"/>
              <w:rPr>
                <w:sz w:val="15"/>
                <w:szCs w:val="15"/>
                <w:color w:val="auto"/>
              </w:rPr>
            </w:pPr>
          </w:p>
        </w:tc>
        <w:tc>
          <w:tcPr>
            <w:tcW w:w="1180" w:type="dxa"/>
            <w:vAlign w:val="bottom"/>
            <w:tcBorders>
              <w:top w:val="single" w:sz="8" w:color="3C5896"/>
              <w:right w:val="single" w:sz="8" w:color="3C5896"/>
            </w:tcBorders>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20" w:type="dxa"/>
            <w:vAlign w:val="bottom"/>
            <w:tcBorders>
              <w:left w:val="single" w:sz="8" w:color="3C5896"/>
              <w:right w:val="single" w:sz="8" w:color="9EACCA"/>
            </w:tcBorders>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Matching</w:t>
            </w:r>
          </w:p>
        </w:tc>
        <w:tc>
          <w:tcPr>
            <w:tcW w:w="1160" w:type="dxa"/>
            <w:vAlign w:val="bottom"/>
            <w:tcBorders>
              <w:right w:val="single" w:sz="8" w:color="9EACCA"/>
            </w:tcBorders>
            <w:vMerge w:val="continue"/>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Related</w:t>
            </w:r>
          </w:p>
        </w:tc>
        <w:tc>
          <w:tcPr>
            <w:tcW w:w="1160" w:type="dxa"/>
            <w:vAlign w:val="bottom"/>
            <w:tcBorders>
              <w:right w:val="single" w:sz="8" w:color="9EACCA"/>
            </w:tcBorders>
            <w:vMerge w:val="restart"/>
            <w:shd w:val="clear" w:color="auto" w:fill="3C5896"/>
          </w:tcPr>
          <w:p>
            <w:pPr>
              <w:jc w:val="right"/>
              <w:ind w:right="349"/>
              <w:spacing w:after="0"/>
              <w:rPr>
                <w:sz w:val="20"/>
                <w:szCs w:val="20"/>
                <w:color w:val="auto"/>
              </w:rPr>
            </w:pPr>
            <w:r>
              <w:rPr>
                <w:rFonts w:ascii="Arial" w:cs="Arial" w:eastAsia="Arial" w:hAnsi="Arial"/>
                <w:sz w:val="13"/>
                <w:szCs w:val="13"/>
                <w:b w:val="1"/>
                <w:bCs w:val="1"/>
                <w:color w:val="FFFFFF"/>
              </w:rPr>
              <w:t>Other</w:t>
            </w:r>
          </w:p>
        </w:tc>
        <w:tc>
          <w:tcPr>
            <w:tcW w:w="1180" w:type="dxa"/>
            <w:vAlign w:val="bottom"/>
            <w:tcBorders>
              <w:right w:val="single" w:sz="8" w:color="3C5896"/>
            </w:tcBorders>
            <w:shd w:val="clear" w:color="auto" w:fill="3C589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Borders>
              <w:left w:val="single" w:sz="8" w:color="3C5896"/>
              <w:right w:val="single" w:sz="8" w:color="9EACCA"/>
            </w:tcBorders>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spacing w:after="0" w:line="135" w:lineRule="exact"/>
              <w:rPr>
                <w:sz w:val="20"/>
                <w:szCs w:val="20"/>
                <w:color w:val="auto"/>
              </w:rPr>
            </w:pPr>
            <w:r>
              <w:rPr>
                <w:rFonts w:ascii="Arial" w:cs="Arial" w:eastAsia="Arial" w:hAnsi="Arial"/>
                <w:sz w:val="13"/>
                <w:szCs w:val="13"/>
                <w:b w:val="1"/>
                <w:bCs w:val="1"/>
                <w:color w:val="FFFFFF"/>
              </w:rPr>
              <w:t>Contributions</w:t>
            </w:r>
          </w:p>
        </w:tc>
        <w:tc>
          <w:tcPr>
            <w:tcW w:w="1160" w:type="dxa"/>
            <w:vAlign w:val="bottom"/>
            <w:tcBorders>
              <w:right w:val="single" w:sz="8" w:color="9EACCA"/>
            </w:tcBorders>
            <w:shd w:val="clear" w:color="auto" w:fill="3C5896"/>
          </w:tcPr>
          <w:p>
            <w:pPr>
              <w:jc w:val="center"/>
              <w:spacing w:after="0" w:line="135" w:lineRule="exact"/>
              <w:rPr>
                <w:sz w:val="20"/>
                <w:szCs w:val="20"/>
                <w:color w:val="auto"/>
              </w:rPr>
            </w:pPr>
            <w:r>
              <w:rPr>
                <w:rFonts w:ascii="Arial" w:cs="Arial" w:eastAsia="Arial" w:hAnsi="Arial"/>
                <w:sz w:val="13"/>
                <w:szCs w:val="13"/>
                <w:b w:val="1"/>
                <w:bCs w:val="1"/>
                <w:color w:val="FFFFFF"/>
              </w:rPr>
              <w:t>Premiums</w:t>
            </w:r>
          </w:p>
        </w:tc>
        <w:tc>
          <w:tcPr>
            <w:tcW w:w="1160" w:type="dxa"/>
            <w:vAlign w:val="bottom"/>
            <w:tcBorders>
              <w:right w:val="single" w:sz="8" w:color="9EACCA"/>
            </w:tcBorders>
            <w:shd w:val="clear" w:color="auto" w:fill="3C5896"/>
          </w:tcPr>
          <w:p>
            <w:pPr>
              <w:jc w:val="center"/>
              <w:spacing w:after="0" w:line="135" w:lineRule="exact"/>
              <w:rPr>
                <w:sz w:val="20"/>
                <w:szCs w:val="20"/>
                <w:color w:val="auto"/>
              </w:rPr>
            </w:pPr>
            <w:r>
              <w:rPr>
                <w:rFonts w:ascii="Arial" w:cs="Arial" w:eastAsia="Arial" w:hAnsi="Arial"/>
                <w:sz w:val="13"/>
                <w:szCs w:val="13"/>
                <w:b w:val="1"/>
                <w:bCs w:val="1"/>
                <w:color w:val="FFFFFF"/>
              </w:rPr>
              <w:t>Compensation</w:t>
            </w:r>
          </w:p>
        </w:tc>
        <w:tc>
          <w:tcPr>
            <w:tcW w:w="1160" w:type="dxa"/>
            <w:vAlign w:val="bottom"/>
            <w:tcBorders>
              <w:right w:val="single" w:sz="8" w:color="9EACCA"/>
            </w:tcBorders>
            <w:vMerge w:val="continue"/>
            <w:shd w:val="clear" w:color="auto" w:fill="3C5896"/>
          </w:tcPr>
          <w:p>
            <w:pPr>
              <w:spacing w:after="0"/>
              <w:rPr>
                <w:sz w:val="11"/>
                <w:szCs w:val="11"/>
                <w:color w:val="auto"/>
              </w:rPr>
            </w:pPr>
          </w:p>
        </w:tc>
        <w:tc>
          <w:tcPr>
            <w:tcW w:w="1180" w:type="dxa"/>
            <w:vAlign w:val="bottom"/>
            <w:tcBorders>
              <w:right w:val="single" w:sz="8" w:color="3C5896"/>
            </w:tcBorders>
            <w:shd w:val="clear" w:color="auto" w:fill="3C5896"/>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tcBorders>
              <w:left w:val="single" w:sz="8" w:color="3C5896"/>
              <w:right w:val="single" w:sz="8" w:color="9EACCA"/>
            </w:tcBorders>
            <w:shd w:val="clear" w:color="auto" w:fill="3C5896"/>
          </w:tcPr>
          <w:p>
            <w:pPr>
              <w:ind w:left="1320"/>
              <w:spacing w:after="0"/>
              <w:rPr>
                <w:sz w:val="20"/>
                <w:szCs w:val="20"/>
                <w:color w:val="auto"/>
              </w:rPr>
            </w:pPr>
            <w:r>
              <w:rPr>
                <w:rFonts w:ascii="Arial" w:cs="Arial" w:eastAsia="Arial" w:hAnsi="Arial"/>
                <w:sz w:val="13"/>
                <w:szCs w:val="13"/>
                <w:b w:val="1"/>
                <w:bCs w:val="1"/>
                <w:color w:val="FFFFFF"/>
              </w:rPr>
              <w:t>Name</w:t>
            </w:r>
          </w:p>
        </w:tc>
        <w:tc>
          <w:tcPr>
            <w:tcW w:w="11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(a)</w:t>
            </w:r>
          </w:p>
        </w:tc>
        <w:tc>
          <w:tcPr>
            <w:tcW w:w="11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7"/>
              </w:rPr>
              <w:t>($)</w:t>
            </w:r>
            <w:r>
              <w:rPr>
                <w:rFonts w:ascii="Arial" w:cs="Arial" w:eastAsia="Arial" w:hAnsi="Arial"/>
                <w:sz w:val="19"/>
                <w:szCs w:val="19"/>
                <w:b w:val="1"/>
                <w:bCs w:val="1"/>
                <w:color w:val="FFFFFF"/>
                <w:w w:val="87"/>
                <w:vertAlign w:val="superscript"/>
              </w:rPr>
              <w:t>(b)</w:t>
            </w:r>
          </w:p>
        </w:tc>
        <w:tc>
          <w:tcPr>
            <w:tcW w:w="11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(c)</w:t>
            </w:r>
          </w:p>
        </w:tc>
        <w:tc>
          <w:tcPr>
            <w:tcW w:w="1160" w:type="dxa"/>
            <w:vAlign w:val="bottom"/>
            <w:tcBorders>
              <w:right w:val="single" w:sz="8" w:color="9EACCA"/>
            </w:tcBorders>
            <w:shd w:val="clear" w:color="auto" w:fill="3C5896"/>
          </w:tcPr>
          <w:p>
            <w:pPr>
              <w:jc w:val="right"/>
              <w:ind w:right="389"/>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9"/>
                <w:szCs w:val="19"/>
                <w:b w:val="1"/>
                <w:bCs w:val="1"/>
                <w:color w:val="FFFFFF"/>
                <w:vertAlign w:val="superscript"/>
              </w:rPr>
              <w:t>(d)</w:t>
            </w:r>
          </w:p>
        </w:tc>
        <w:tc>
          <w:tcPr>
            <w:tcW w:w="1180" w:type="dxa"/>
            <w:vAlign w:val="bottom"/>
            <w:tcBorders>
              <w:right w:val="single" w:sz="8" w:color="3C5896"/>
            </w:tcBorders>
            <w:shd w:val="clear" w:color="auto" w:fill="3C5896"/>
          </w:tcPr>
          <w:p>
            <w:pPr>
              <w:jc w:val="right"/>
              <w:ind w:right="289"/>
              <w:spacing w:after="0"/>
              <w:rPr>
                <w:sz w:val="20"/>
                <w:szCs w:val="20"/>
                <w:color w:val="auto"/>
              </w:rPr>
            </w:pPr>
            <w:r>
              <w:rPr>
                <w:rFonts w:ascii="Arial" w:cs="Arial" w:eastAsia="Arial" w:hAnsi="Arial"/>
                <w:sz w:val="13"/>
                <w:szCs w:val="13"/>
                <w:b w:val="1"/>
                <w:bCs w:val="1"/>
                <w:color w:val="FFFFFF"/>
              </w:rPr>
              <w:t>Total ($)</w:t>
            </w:r>
          </w:p>
        </w:tc>
        <w:tc>
          <w:tcPr>
            <w:tcW w:w="0" w:type="dxa"/>
            <w:vAlign w:val="bottom"/>
          </w:tcPr>
          <w:p>
            <w:pPr>
              <w:spacing w:after="0"/>
              <w:rPr>
                <w:sz w:val="1"/>
                <w:szCs w:val="1"/>
                <w:color w:val="auto"/>
              </w:rPr>
            </w:pPr>
          </w:p>
        </w:tc>
      </w:tr>
      <w:tr>
        <w:trPr>
          <w:trHeight w:val="210"/>
        </w:trPr>
        <w:tc>
          <w:tcPr>
            <w:tcW w:w="30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Fahs, L. Reade</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12,500</w:t>
            </w:r>
          </w:p>
        </w:tc>
        <w:tc>
          <w:tcPr>
            <w:tcW w:w="1160" w:type="dxa"/>
            <w:vAlign w:val="bottom"/>
            <w:tcBorders>
              <w:right w:val="single" w:sz="8" w:color="9EACCA"/>
            </w:tcBorders>
          </w:tcPr>
          <w:p>
            <w:pPr>
              <w:jc w:val="right"/>
              <w:ind w:right="349"/>
              <w:spacing w:after="0"/>
              <w:rPr>
                <w:sz w:val="20"/>
                <w:szCs w:val="20"/>
                <w:color w:val="auto"/>
              </w:rPr>
            </w:pPr>
            <w:r>
              <w:rPr>
                <w:rFonts w:ascii="Arial" w:cs="Arial" w:eastAsia="Arial" w:hAnsi="Arial"/>
                <w:sz w:val="14"/>
                <w:szCs w:val="14"/>
                <w:color w:val="auto"/>
              </w:rPr>
              <w:t>3,885</w:t>
            </w:r>
          </w:p>
        </w:tc>
        <w:tc>
          <w:tcPr>
            <w:tcW w:w="1160" w:type="dxa"/>
            <w:vAlign w:val="bottom"/>
            <w:tcBorders>
              <w:right w:val="single" w:sz="8" w:color="9EACCA"/>
            </w:tcBorders>
          </w:tcPr>
          <w:p>
            <w:pPr>
              <w:jc w:val="right"/>
              <w:ind w:right="27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tcPr>
          <w:p>
            <w:pPr>
              <w:jc w:val="right"/>
              <w:ind w:right="269"/>
              <w:spacing w:after="0"/>
              <w:rPr>
                <w:sz w:val="20"/>
                <w:szCs w:val="20"/>
                <w:color w:val="auto"/>
              </w:rPr>
            </w:pPr>
            <w:r>
              <w:rPr>
                <w:rFonts w:ascii="Arial" w:cs="Arial" w:eastAsia="Arial" w:hAnsi="Arial"/>
                <w:sz w:val="14"/>
                <w:szCs w:val="14"/>
                <w:color w:val="auto"/>
              </w:rPr>
              <w:t>20,430</w:t>
            </w:r>
          </w:p>
        </w:tc>
        <w:tc>
          <w:tcPr>
            <w:tcW w:w="1180" w:type="dxa"/>
            <w:vAlign w:val="bottom"/>
            <w:tcBorders>
              <w:right w:val="single" w:sz="8" w:color="3C5896"/>
            </w:tcBorders>
          </w:tcPr>
          <w:p>
            <w:pPr>
              <w:jc w:val="right"/>
              <w:ind w:right="289"/>
              <w:spacing w:after="0"/>
              <w:rPr>
                <w:sz w:val="20"/>
                <w:szCs w:val="20"/>
                <w:color w:val="auto"/>
              </w:rPr>
            </w:pPr>
            <w:r>
              <w:rPr>
                <w:rFonts w:ascii="Arial" w:cs="Arial" w:eastAsia="Arial" w:hAnsi="Arial"/>
                <w:sz w:val="14"/>
                <w:szCs w:val="14"/>
                <w:color w:val="auto"/>
              </w:rPr>
              <w:t>36,815</w:t>
            </w:r>
          </w:p>
        </w:tc>
        <w:tc>
          <w:tcPr>
            <w:tcW w:w="0" w:type="dxa"/>
            <w:vAlign w:val="bottom"/>
          </w:tcPr>
          <w:p>
            <w:pPr>
              <w:spacing w:after="0"/>
              <w:rPr>
                <w:sz w:val="1"/>
                <w:szCs w:val="1"/>
                <w:color w:val="auto"/>
              </w:rPr>
            </w:pPr>
          </w:p>
        </w:tc>
      </w:tr>
      <w:tr>
        <w:trPr>
          <w:trHeight w:val="222"/>
        </w:trPr>
        <w:tc>
          <w:tcPr>
            <w:tcW w:w="30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Moore, Patrick</w:t>
            </w:r>
          </w:p>
        </w:tc>
        <w:tc>
          <w:tcPr>
            <w:tcW w:w="1160" w:type="dxa"/>
            <w:vAlign w:val="bottom"/>
            <w:tcBorders>
              <w:right w:val="single" w:sz="8" w:color="9EACCA"/>
            </w:tcBorders>
            <w:shd w:val="clear" w:color="auto" w:fill="CCCCCC"/>
          </w:tcPr>
          <w:p>
            <w:pPr>
              <w:jc w:val="right"/>
              <w:ind w:right="310"/>
              <w:spacing w:after="0"/>
              <w:rPr>
                <w:sz w:val="20"/>
                <w:szCs w:val="20"/>
                <w:color w:val="auto"/>
              </w:rPr>
            </w:pPr>
            <w:r>
              <w:rPr>
                <w:rFonts w:ascii="Arial" w:cs="Arial" w:eastAsia="Arial" w:hAnsi="Arial"/>
                <w:sz w:val="14"/>
                <w:szCs w:val="14"/>
                <w:color w:val="auto"/>
              </w:rPr>
              <w:t>6,664</w:t>
            </w:r>
          </w:p>
        </w:tc>
        <w:tc>
          <w:tcPr>
            <w:tcW w:w="1160" w:type="dxa"/>
            <w:vAlign w:val="bottom"/>
            <w:tcBorders>
              <w:right w:val="single" w:sz="8" w:color="9EACCA"/>
            </w:tcBorders>
            <w:shd w:val="clear" w:color="auto" w:fill="CCCCCC"/>
          </w:tcPr>
          <w:p>
            <w:pPr>
              <w:jc w:val="right"/>
              <w:ind w:right="349"/>
              <w:spacing w:after="0"/>
              <w:rPr>
                <w:sz w:val="20"/>
                <w:szCs w:val="20"/>
                <w:color w:val="auto"/>
              </w:rPr>
            </w:pPr>
            <w:r>
              <w:rPr>
                <w:rFonts w:ascii="Arial" w:cs="Arial" w:eastAsia="Arial" w:hAnsi="Arial"/>
                <w:sz w:val="14"/>
                <w:szCs w:val="14"/>
                <w:color w:val="auto"/>
              </w:rPr>
              <w:t>1,489</w:t>
            </w:r>
          </w:p>
        </w:tc>
        <w:tc>
          <w:tcPr>
            <w:tcW w:w="1160" w:type="dxa"/>
            <w:vAlign w:val="bottom"/>
            <w:tcBorders>
              <w:right w:val="single" w:sz="8" w:color="9EACCA"/>
            </w:tcBorders>
            <w:shd w:val="clear" w:color="auto" w:fill="CCCCCC"/>
          </w:tcPr>
          <w:p>
            <w:pPr>
              <w:jc w:val="right"/>
              <w:ind w:right="27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shd w:val="clear" w:color="auto" w:fill="CCCCCC"/>
          </w:tcPr>
          <w:p>
            <w:pPr>
              <w:jc w:val="right"/>
              <w:ind w:right="26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shd w:val="clear" w:color="auto" w:fill="CCCCCC"/>
          </w:tcPr>
          <w:p>
            <w:pPr>
              <w:jc w:val="right"/>
              <w:ind w:right="289"/>
              <w:spacing w:after="0"/>
              <w:rPr>
                <w:sz w:val="20"/>
                <w:szCs w:val="20"/>
                <w:color w:val="auto"/>
              </w:rPr>
            </w:pPr>
            <w:r>
              <w:rPr>
                <w:rFonts w:ascii="Arial" w:cs="Arial" w:eastAsia="Arial" w:hAnsi="Arial"/>
                <w:sz w:val="14"/>
                <w:szCs w:val="14"/>
                <w:color w:val="auto"/>
              </w:rPr>
              <w:t>8,153</w:t>
            </w:r>
          </w:p>
        </w:tc>
        <w:tc>
          <w:tcPr>
            <w:tcW w:w="0" w:type="dxa"/>
            <w:vAlign w:val="bottom"/>
          </w:tcPr>
          <w:p>
            <w:pPr>
              <w:spacing w:after="0"/>
              <w:rPr>
                <w:sz w:val="1"/>
                <w:szCs w:val="1"/>
                <w:color w:val="auto"/>
              </w:rPr>
            </w:pPr>
          </w:p>
        </w:tc>
      </w:tr>
      <w:tr>
        <w:trPr>
          <w:trHeight w:val="210"/>
        </w:trPr>
        <w:tc>
          <w:tcPr>
            <w:tcW w:w="30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Brandman, Jared</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3,246</w:t>
            </w:r>
          </w:p>
        </w:tc>
        <w:tc>
          <w:tcPr>
            <w:tcW w:w="1160" w:type="dxa"/>
            <w:vAlign w:val="bottom"/>
            <w:tcBorders>
              <w:right w:val="single" w:sz="8" w:color="9EACCA"/>
            </w:tcBorders>
          </w:tcPr>
          <w:p>
            <w:pPr>
              <w:jc w:val="right"/>
              <w:ind w:right="349"/>
              <w:spacing w:after="0"/>
              <w:rPr>
                <w:sz w:val="20"/>
                <w:szCs w:val="20"/>
                <w:color w:val="auto"/>
              </w:rPr>
            </w:pPr>
            <w:r>
              <w:rPr>
                <w:rFonts w:ascii="Arial" w:cs="Arial" w:eastAsia="Arial" w:hAnsi="Arial"/>
                <w:sz w:val="14"/>
                <w:szCs w:val="14"/>
                <w:color w:val="auto"/>
              </w:rPr>
              <w:t>2,304</w:t>
            </w:r>
          </w:p>
        </w:tc>
        <w:tc>
          <w:tcPr>
            <w:tcW w:w="1160" w:type="dxa"/>
            <w:vAlign w:val="bottom"/>
            <w:tcBorders>
              <w:right w:val="single" w:sz="8" w:color="9EACCA"/>
            </w:tcBorders>
          </w:tcPr>
          <w:p>
            <w:pPr>
              <w:jc w:val="right"/>
              <w:ind w:right="27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tcPr>
          <w:p>
            <w:pPr>
              <w:jc w:val="right"/>
              <w:ind w:right="26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tcPr>
          <w:p>
            <w:pPr>
              <w:jc w:val="right"/>
              <w:ind w:right="289"/>
              <w:spacing w:after="0"/>
              <w:rPr>
                <w:sz w:val="20"/>
                <w:szCs w:val="20"/>
                <w:color w:val="auto"/>
              </w:rPr>
            </w:pPr>
            <w:r>
              <w:rPr>
                <w:rFonts w:ascii="Arial" w:cs="Arial" w:eastAsia="Arial" w:hAnsi="Arial"/>
                <w:sz w:val="14"/>
                <w:szCs w:val="14"/>
                <w:color w:val="auto"/>
              </w:rPr>
              <w:t>5,550</w:t>
            </w:r>
          </w:p>
        </w:tc>
        <w:tc>
          <w:tcPr>
            <w:tcW w:w="0" w:type="dxa"/>
            <w:vAlign w:val="bottom"/>
          </w:tcPr>
          <w:p>
            <w:pPr>
              <w:spacing w:after="0"/>
              <w:rPr>
                <w:sz w:val="1"/>
                <w:szCs w:val="1"/>
                <w:color w:val="auto"/>
              </w:rPr>
            </w:pPr>
          </w:p>
        </w:tc>
      </w:tr>
      <w:tr>
        <w:trPr>
          <w:trHeight w:val="222"/>
        </w:trPr>
        <w:tc>
          <w:tcPr>
            <w:tcW w:w="30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Clark, Bill</w:t>
            </w:r>
          </w:p>
        </w:tc>
        <w:tc>
          <w:tcPr>
            <w:tcW w:w="1160" w:type="dxa"/>
            <w:vAlign w:val="bottom"/>
            <w:tcBorders>
              <w:right w:val="single" w:sz="8" w:color="9EACCA"/>
            </w:tcBorders>
            <w:shd w:val="clear" w:color="auto" w:fill="CCCCCC"/>
          </w:tcPr>
          <w:p>
            <w:pPr>
              <w:jc w:val="right"/>
              <w:ind w:right="310"/>
              <w:spacing w:after="0"/>
              <w:rPr>
                <w:sz w:val="20"/>
                <w:szCs w:val="20"/>
                <w:color w:val="auto"/>
              </w:rPr>
            </w:pPr>
            <w:r>
              <w:rPr>
                <w:rFonts w:ascii="Arial" w:cs="Arial" w:eastAsia="Arial" w:hAnsi="Arial"/>
                <w:sz w:val="14"/>
                <w:szCs w:val="14"/>
                <w:color w:val="auto"/>
              </w:rPr>
              <w:t>1,292</w:t>
            </w:r>
          </w:p>
        </w:tc>
        <w:tc>
          <w:tcPr>
            <w:tcW w:w="1160" w:type="dxa"/>
            <w:vAlign w:val="bottom"/>
            <w:tcBorders>
              <w:right w:val="single" w:sz="8" w:color="9EACCA"/>
            </w:tcBorders>
            <w:shd w:val="clear" w:color="auto" w:fill="CCCCCC"/>
          </w:tcPr>
          <w:p>
            <w:pPr>
              <w:jc w:val="right"/>
              <w:ind w:right="349"/>
              <w:spacing w:after="0"/>
              <w:rPr>
                <w:sz w:val="20"/>
                <w:szCs w:val="20"/>
                <w:color w:val="auto"/>
              </w:rPr>
            </w:pPr>
            <w:r>
              <w:rPr>
                <w:rFonts w:ascii="Arial" w:cs="Arial" w:eastAsia="Arial" w:hAnsi="Arial"/>
                <w:sz w:val="14"/>
                <w:szCs w:val="14"/>
                <w:color w:val="auto"/>
              </w:rPr>
              <w:t>496</w:t>
            </w:r>
          </w:p>
        </w:tc>
        <w:tc>
          <w:tcPr>
            <w:tcW w:w="1160" w:type="dxa"/>
            <w:vAlign w:val="bottom"/>
            <w:tcBorders>
              <w:right w:val="single" w:sz="8" w:color="9EACCA"/>
            </w:tcBorders>
            <w:shd w:val="clear" w:color="auto" w:fill="CCCCCC"/>
          </w:tcPr>
          <w:p>
            <w:pPr>
              <w:jc w:val="right"/>
              <w:ind w:right="27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shd w:val="clear" w:color="auto" w:fill="CCCCCC"/>
          </w:tcPr>
          <w:p>
            <w:pPr>
              <w:jc w:val="right"/>
              <w:ind w:right="269"/>
              <w:spacing w:after="0"/>
              <w:rPr>
                <w:sz w:val="20"/>
                <w:szCs w:val="20"/>
                <w:color w:val="auto"/>
              </w:rPr>
            </w:pPr>
            <w:r>
              <w:rPr>
                <w:rFonts w:ascii="Arial" w:cs="Arial" w:eastAsia="Arial" w:hAnsi="Arial"/>
                <w:sz w:val="14"/>
                <w:szCs w:val="14"/>
                <w:color w:val="auto"/>
              </w:rPr>
              <w:t>160,858</w:t>
            </w:r>
          </w:p>
        </w:tc>
        <w:tc>
          <w:tcPr>
            <w:tcW w:w="1180" w:type="dxa"/>
            <w:vAlign w:val="bottom"/>
            <w:tcBorders>
              <w:right w:val="single" w:sz="8" w:color="3C5896"/>
            </w:tcBorders>
            <w:shd w:val="clear" w:color="auto" w:fill="CCCCCC"/>
          </w:tcPr>
          <w:p>
            <w:pPr>
              <w:jc w:val="right"/>
              <w:ind w:right="289"/>
              <w:spacing w:after="0"/>
              <w:rPr>
                <w:sz w:val="20"/>
                <w:szCs w:val="20"/>
                <w:color w:val="auto"/>
              </w:rPr>
            </w:pPr>
            <w:r>
              <w:rPr>
                <w:rFonts w:ascii="Arial" w:cs="Arial" w:eastAsia="Arial" w:hAnsi="Arial"/>
                <w:sz w:val="14"/>
                <w:szCs w:val="14"/>
                <w:color w:val="auto"/>
              </w:rPr>
              <w:t>162,646</w:t>
            </w:r>
          </w:p>
        </w:tc>
        <w:tc>
          <w:tcPr>
            <w:tcW w:w="0" w:type="dxa"/>
            <w:vAlign w:val="bottom"/>
          </w:tcPr>
          <w:p>
            <w:pPr>
              <w:spacing w:after="0"/>
              <w:rPr>
                <w:sz w:val="1"/>
                <w:szCs w:val="1"/>
                <w:color w:val="auto"/>
              </w:rPr>
            </w:pPr>
          </w:p>
        </w:tc>
      </w:tr>
      <w:tr>
        <w:trPr>
          <w:trHeight w:val="210"/>
        </w:trPr>
        <w:tc>
          <w:tcPr>
            <w:tcW w:w="30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Rasmussen, Melissa</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tcPr>
          <w:p>
            <w:pPr>
              <w:jc w:val="right"/>
              <w:ind w:right="349"/>
              <w:spacing w:after="0"/>
              <w:rPr>
                <w:sz w:val="20"/>
                <w:szCs w:val="20"/>
                <w:color w:val="auto"/>
              </w:rPr>
            </w:pPr>
            <w:r>
              <w:rPr>
                <w:rFonts w:ascii="Arial" w:cs="Arial" w:eastAsia="Arial" w:hAnsi="Arial"/>
                <w:sz w:val="14"/>
                <w:szCs w:val="14"/>
                <w:color w:val="auto"/>
              </w:rPr>
              <w:t>372</w:t>
            </w:r>
          </w:p>
        </w:tc>
        <w:tc>
          <w:tcPr>
            <w:tcW w:w="1160" w:type="dxa"/>
            <w:vAlign w:val="bottom"/>
            <w:tcBorders>
              <w:right w:val="single" w:sz="8" w:color="9EACCA"/>
            </w:tcBorders>
          </w:tcPr>
          <w:p>
            <w:pPr>
              <w:jc w:val="right"/>
              <w:ind w:right="27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tcPr>
          <w:p>
            <w:pPr>
              <w:jc w:val="right"/>
              <w:ind w:right="269"/>
              <w:spacing w:after="0"/>
              <w:rPr>
                <w:sz w:val="20"/>
                <w:szCs w:val="20"/>
                <w:color w:val="auto"/>
              </w:rPr>
            </w:pPr>
            <w:r>
              <w:rPr>
                <w:rFonts w:ascii="Arial" w:cs="Arial" w:eastAsia="Arial" w:hAnsi="Arial"/>
                <w:sz w:val="14"/>
                <w:szCs w:val="14"/>
                <w:color w:val="auto"/>
              </w:rPr>
              <w:t>16,624</w:t>
            </w:r>
          </w:p>
        </w:tc>
        <w:tc>
          <w:tcPr>
            <w:tcW w:w="1180" w:type="dxa"/>
            <w:vAlign w:val="bottom"/>
            <w:tcBorders>
              <w:right w:val="single" w:sz="8" w:color="3C5896"/>
            </w:tcBorders>
          </w:tcPr>
          <w:p>
            <w:pPr>
              <w:jc w:val="right"/>
              <w:ind w:right="289"/>
              <w:spacing w:after="0"/>
              <w:rPr>
                <w:sz w:val="20"/>
                <w:szCs w:val="20"/>
                <w:color w:val="auto"/>
              </w:rPr>
            </w:pPr>
            <w:r>
              <w:rPr>
                <w:rFonts w:ascii="Arial" w:cs="Arial" w:eastAsia="Arial" w:hAnsi="Arial"/>
                <w:sz w:val="14"/>
                <w:szCs w:val="14"/>
                <w:color w:val="auto"/>
              </w:rPr>
              <w:t>16,996</w:t>
            </w:r>
          </w:p>
        </w:tc>
        <w:tc>
          <w:tcPr>
            <w:tcW w:w="0" w:type="dxa"/>
            <w:vAlign w:val="bottom"/>
          </w:tcPr>
          <w:p>
            <w:pPr>
              <w:spacing w:after="0"/>
              <w:rPr>
                <w:sz w:val="1"/>
                <w:szCs w:val="1"/>
                <w:color w:val="auto"/>
              </w:rPr>
            </w:pPr>
          </w:p>
        </w:tc>
      </w:tr>
      <w:tr>
        <w:trPr>
          <w:trHeight w:val="222"/>
        </w:trPr>
        <w:tc>
          <w:tcPr>
            <w:tcW w:w="30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McAllister, Jeff</w:t>
            </w:r>
          </w:p>
        </w:tc>
        <w:tc>
          <w:tcPr>
            <w:tcW w:w="1160" w:type="dxa"/>
            <w:vAlign w:val="bottom"/>
            <w:tcBorders>
              <w:right w:val="single" w:sz="8" w:color="9EACCA"/>
            </w:tcBorders>
            <w:shd w:val="clear" w:color="auto" w:fill="CCCCCC"/>
          </w:tcPr>
          <w:p>
            <w:pPr>
              <w:jc w:val="right"/>
              <w:ind w:right="310"/>
              <w:spacing w:after="0"/>
              <w:rPr>
                <w:sz w:val="20"/>
                <w:szCs w:val="20"/>
                <w:color w:val="auto"/>
              </w:rPr>
            </w:pPr>
            <w:r>
              <w:rPr>
                <w:rFonts w:ascii="Arial" w:cs="Arial" w:eastAsia="Arial" w:hAnsi="Arial"/>
                <w:sz w:val="14"/>
                <w:szCs w:val="14"/>
                <w:color w:val="auto"/>
              </w:rPr>
              <w:t>1,290</w:t>
            </w:r>
          </w:p>
        </w:tc>
        <w:tc>
          <w:tcPr>
            <w:tcW w:w="1160" w:type="dxa"/>
            <w:vAlign w:val="bottom"/>
            <w:tcBorders>
              <w:right w:val="single" w:sz="8" w:color="9EACCA"/>
            </w:tcBorders>
            <w:shd w:val="clear" w:color="auto" w:fill="CCCCCC"/>
          </w:tcPr>
          <w:p>
            <w:pPr>
              <w:jc w:val="right"/>
              <w:ind w:right="349"/>
              <w:spacing w:after="0"/>
              <w:rPr>
                <w:sz w:val="20"/>
                <w:szCs w:val="20"/>
                <w:color w:val="auto"/>
              </w:rPr>
            </w:pPr>
            <w:r>
              <w:rPr>
                <w:rFonts w:ascii="Arial" w:cs="Arial" w:eastAsia="Arial" w:hAnsi="Arial"/>
                <w:sz w:val="14"/>
                <w:szCs w:val="14"/>
                <w:color w:val="auto"/>
              </w:rPr>
              <w:t>5,567</w:t>
            </w:r>
          </w:p>
        </w:tc>
        <w:tc>
          <w:tcPr>
            <w:tcW w:w="1160" w:type="dxa"/>
            <w:vAlign w:val="bottom"/>
            <w:tcBorders>
              <w:right w:val="single" w:sz="8" w:color="9EACCA"/>
            </w:tcBorders>
            <w:shd w:val="clear" w:color="auto" w:fill="CCCCCC"/>
          </w:tcPr>
          <w:p>
            <w:pPr>
              <w:jc w:val="right"/>
              <w:ind w:right="27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9EACCA"/>
            </w:tcBorders>
            <w:shd w:val="clear" w:color="auto" w:fill="CCCCCC"/>
          </w:tcPr>
          <w:p>
            <w:pPr>
              <w:jc w:val="right"/>
              <w:ind w:right="26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shd w:val="clear" w:color="auto" w:fill="CCCCCC"/>
          </w:tcPr>
          <w:p>
            <w:pPr>
              <w:jc w:val="right"/>
              <w:ind w:right="289"/>
              <w:spacing w:after="0"/>
              <w:rPr>
                <w:sz w:val="20"/>
                <w:szCs w:val="20"/>
                <w:color w:val="auto"/>
              </w:rPr>
            </w:pPr>
            <w:r>
              <w:rPr>
                <w:rFonts w:ascii="Arial" w:cs="Arial" w:eastAsia="Arial" w:hAnsi="Arial"/>
                <w:sz w:val="14"/>
                <w:szCs w:val="14"/>
                <w:color w:val="auto"/>
              </w:rPr>
              <w:t>6,857</w:t>
            </w:r>
          </w:p>
        </w:tc>
        <w:tc>
          <w:tcPr>
            <w:tcW w:w="0" w:type="dxa"/>
            <w:vAlign w:val="bottom"/>
          </w:tcPr>
          <w:p>
            <w:pPr>
              <w:spacing w:after="0"/>
              <w:rPr>
                <w:sz w:val="1"/>
                <w:szCs w:val="1"/>
                <w:color w:val="auto"/>
              </w:rPr>
            </w:pPr>
          </w:p>
        </w:tc>
      </w:tr>
      <w:tr>
        <w:trPr>
          <w:trHeight w:val="203"/>
        </w:trPr>
        <w:tc>
          <w:tcPr>
            <w:tcW w:w="3020" w:type="dxa"/>
            <w:vAlign w:val="bottom"/>
            <w:tcBorders>
              <w:left w:val="single" w:sz="8" w:color="3C5896"/>
              <w:bottom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Beasley, Chris</w:t>
            </w:r>
          </w:p>
        </w:tc>
        <w:tc>
          <w:tcPr>
            <w:tcW w:w="1160" w:type="dxa"/>
            <w:vAlign w:val="bottom"/>
            <w:tcBorders>
              <w:bottom w:val="single" w:sz="8" w:color="3C5896"/>
              <w:right w:val="single" w:sz="8" w:color="9EACCA"/>
            </w:tcBorders>
          </w:tcPr>
          <w:p>
            <w:pPr>
              <w:jc w:val="right"/>
              <w:ind w:right="310"/>
              <w:spacing w:after="0"/>
              <w:rPr>
                <w:sz w:val="20"/>
                <w:szCs w:val="20"/>
                <w:color w:val="auto"/>
              </w:rPr>
            </w:pPr>
            <w:r>
              <w:rPr>
                <w:rFonts w:ascii="Arial" w:cs="Arial" w:eastAsia="Arial" w:hAnsi="Arial"/>
                <w:sz w:val="14"/>
                <w:szCs w:val="14"/>
                <w:color w:val="auto"/>
              </w:rPr>
              <w:t>2,530</w:t>
            </w:r>
          </w:p>
        </w:tc>
        <w:tc>
          <w:tcPr>
            <w:tcW w:w="1160" w:type="dxa"/>
            <w:vAlign w:val="bottom"/>
            <w:tcBorders>
              <w:bottom w:val="single" w:sz="8" w:color="3C5896"/>
              <w:right w:val="single" w:sz="8" w:color="9EACCA"/>
            </w:tcBorders>
          </w:tcPr>
          <w:p>
            <w:pPr>
              <w:jc w:val="right"/>
              <w:ind w:right="349"/>
              <w:spacing w:after="0"/>
              <w:rPr>
                <w:sz w:val="20"/>
                <w:szCs w:val="20"/>
                <w:color w:val="auto"/>
              </w:rPr>
            </w:pPr>
            <w:r>
              <w:rPr>
                <w:rFonts w:ascii="Arial" w:cs="Arial" w:eastAsia="Arial" w:hAnsi="Arial"/>
                <w:sz w:val="14"/>
                <w:szCs w:val="14"/>
                <w:color w:val="auto"/>
              </w:rPr>
              <w:t>1,950</w:t>
            </w:r>
          </w:p>
        </w:tc>
        <w:tc>
          <w:tcPr>
            <w:tcW w:w="1160" w:type="dxa"/>
            <w:vAlign w:val="bottom"/>
            <w:tcBorders>
              <w:bottom w:val="single" w:sz="8" w:color="3C5896"/>
              <w:right w:val="single" w:sz="8" w:color="9EACCA"/>
            </w:tcBorders>
          </w:tcPr>
          <w:p>
            <w:pPr>
              <w:jc w:val="right"/>
              <w:ind w:right="270"/>
              <w:spacing w:after="0"/>
              <w:rPr>
                <w:sz w:val="20"/>
                <w:szCs w:val="20"/>
                <w:color w:val="auto"/>
              </w:rPr>
            </w:pPr>
            <w:r>
              <w:rPr>
                <w:rFonts w:ascii="Arial" w:cs="Arial" w:eastAsia="Arial" w:hAnsi="Arial"/>
                <w:sz w:val="14"/>
                <w:szCs w:val="14"/>
                <w:color w:val="auto"/>
              </w:rPr>
              <w:t>354,063</w:t>
            </w:r>
          </w:p>
        </w:tc>
        <w:tc>
          <w:tcPr>
            <w:tcW w:w="1160" w:type="dxa"/>
            <w:vAlign w:val="bottom"/>
            <w:tcBorders>
              <w:bottom w:val="single" w:sz="8" w:color="3C5896"/>
              <w:right w:val="single" w:sz="8" w:color="9EACCA"/>
            </w:tcBorders>
          </w:tcPr>
          <w:p>
            <w:pPr>
              <w:jc w:val="right"/>
              <w:ind w:right="2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3C5896"/>
              <w:right w:val="single" w:sz="8" w:color="3C5896"/>
            </w:tcBorders>
          </w:tcPr>
          <w:p>
            <w:pPr>
              <w:jc w:val="right"/>
              <w:ind w:right="289"/>
              <w:spacing w:after="0"/>
              <w:rPr>
                <w:sz w:val="20"/>
                <w:szCs w:val="20"/>
                <w:color w:val="auto"/>
              </w:rPr>
            </w:pPr>
            <w:r>
              <w:rPr>
                <w:rFonts w:ascii="Arial" w:cs="Arial" w:eastAsia="Arial" w:hAnsi="Arial"/>
                <w:sz w:val="14"/>
                <w:szCs w:val="14"/>
                <w:color w:val="auto"/>
              </w:rPr>
              <w:t>358,543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-959485</wp:posOffset>
            </wp:positionV>
            <wp:extent cx="55892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44" w:lineRule="exact"/>
        <w:rPr>
          <w:sz w:val="20"/>
          <w:szCs w:val="20"/>
          <w:color w:val="auto"/>
        </w:rPr>
      </w:pPr>
    </w:p>
    <w:p>
      <w:pPr>
        <w:ind w:left="1480" w:right="599" w:hanging="356"/>
        <w:spacing w:after="0" w:line="260" w:lineRule="auto"/>
        <w:tabs>
          <w:tab w:leader="none" w:pos="1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401(k) Plan provides for a 50% matching contribution on the first 3% of participants’ pre-tax contributions up to IRS limits.</w:t>
      </w:r>
    </w:p>
    <w:p>
      <w:pPr>
        <w:spacing w:after="0" w:line="44" w:lineRule="exact"/>
        <w:rPr>
          <w:rFonts w:ascii="Arial" w:cs="Arial" w:eastAsia="Arial" w:hAnsi="Arial"/>
          <w:sz w:val="15"/>
          <w:szCs w:val="15"/>
          <w:color w:val="auto"/>
        </w:rPr>
      </w:pPr>
    </w:p>
    <w:p>
      <w:pPr>
        <w:ind w:left="1480" w:right="179" w:hanging="356"/>
        <w:spacing w:after="0" w:line="249" w:lineRule="auto"/>
        <w:tabs>
          <w:tab w:leader="none" w:pos="1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column represents all amounts paid by the Company on behalf of each NEO in 2019 for (a) life insurance premiums: Mr. Fahs $648; Mr. Moore $648; Mr. Brandman $648; Mr. Clark $216; Ms. Rasmussen $162; Mr. McAllister $648; Mr. Beasley $432; and (b) long-term disability insurance premiums: Mr. Fahs $3,237; Mr. Moore $841; Mr. Brandman $1,656; Mr. Clark $280; Ms. Rasmussen $210; Mr. McAllister $4,919; Mr. Beasley $1,518.</w:t>
      </w:r>
    </w:p>
    <w:p>
      <w:pPr>
        <w:spacing w:after="0" w:line="67" w:lineRule="exact"/>
        <w:rPr>
          <w:rFonts w:ascii="Arial" w:cs="Arial" w:eastAsia="Arial" w:hAnsi="Arial"/>
          <w:sz w:val="15"/>
          <w:szCs w:val="15"/>
          <w:color w:val="auto"/>
        </w:rPr>
      </w:pPr>
    </w:p>
    <w:p>
      <w:pPr>
        <w:ind w:left="1480" w:hanging="356"/>
        <w:spacing w:after="0"/>
        <w:tabs>
          <w:tab w:leader="none" w:pos="1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column represents the compensation received by Mr. Beasley related to his separation from the Company.</w:t>
      </w:r>
    </w:p>
    <w:p>
      <w:pPr>
        <w:spacing w:after="0" w:line="70" w:lineRule="exact"/>
        <w:rPr>
          <w:rFonts w:ascii="Arial" w:cs="Arial" w:eastAsia="Arial" w:hAnsi="Arial"/>
          <w:sz w:val="15"/>
          <w:szCs w:val="15"/>
          <w:color w:val="auto"/>
        </w:rPr>
      </w:pPr>
    </w:p>
    <w:p>
      <w:pPr>
        <w:ind w:left="1480" w:right="379" w:hanging="356"/>
        <w:spacing w:after="0" w:line="260" w:lineRule="auto"/>
        <w:tabs>
          <w:tab w:leader="none" w:pos="1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column reflects $16,000 for YPO membership and $4,430 for reasonable cost of tax accounting services for Mr. Fahs, and fees paid for Mr. Clark’s and Ms. Rasmussen’s respective relocation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34  </w:t>
      </w:r>
      <w:r>
        <w:rPr>
          <w:sz w:val="1"/>
          <w:szCs w:val="1"/>
          <w:color w:val="auto"/>
        </w:rPr>
        <w:drawing>
          <wp:inline distT="0" distB="0" distL="0" distR="0">
            <wp:extent cx="299720" cy="2400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2019 Grants of Plan-Based Awards</w:t>
      </w:r>
    </w:p>
    <w:p>
      <w:pPr>
        <w:spacing w:after="0" w:line="139" w:lineRule="exact"/>
        <w:rPr>
          <w:sz w:val="20"/>
          <w:szCs w:val="20"/>
          <w:color w:val="auto"/>
        </w:rPr>
      </w:pPr>
    </w:p>
    <w:p>
      <w:pPr>
        <w:ind w:left="760" w:right="559"/>
        <w:spacing w:after="0" w:line="246" w:lineRule="auto"/>
        <w:rPr>
          <w:sz w:val="20"/>
          <w:szCs w:val="20"/>
          <w:color w:val="auto"/>
        </w:rPr>
      </w:pPr>
      <w:r>
        <w:rPr>
          <w:rFonts w:ascii="Arial" w:cs="Arial" w:eastAsia="Arial" w:hAnsi="Arial"/>
          <w:sz w:val="18"/>
          <w:szCs w:val="18"/>
          <w:color w:val="auto"/>
        </w:rPr>
        <w:t>The following table sets forth information concerning grants of plan-based awards to the NEOs during the fiscal year ended December 28, 2019.</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FFFF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-654685</wp:posOffset>
            </wp:positionV>
            <wp:extent cx="874395" cy="40030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74395" cy="4003040"/>
                    </a:xfrm>
                    <a:prstGeom prst="rect">
                      <a:avLst/>
                    </a:prstGeom>
                    <a:noFill/>
                  </pic:spPr>
                </pic:pic>
              </a:graphicData>
            </a:graphic>
          </wp:anchor>
        </w:drawing>
      </w:r>
    </w:p>
    <w:p>
      <w:pPr>
        <w:spacing w:after="0" w:line="6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L. Reade Fahs</w:t>
      </w:r>
    </w:p>
    <w:p>
      <w:pPr>
        <w:spacing w:after="0" w:line="200" w:lineRule="exact"/>
        <w:rPr>
          <w:sz w:val="20"/>
          <w:szCs w:val="20"/>
          <w:color w:val="auto"/>
        </w:rPr>
      </w:pPr>
    </w:p>
    <w:p>
      <w:pPr>
        <w:spacing w:after="0" w:line="31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Patrick R. Moore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Jared Brandman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Bill Clark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Melissa Rasmussen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Jeff McAllister</w:t>
      </w:r>
    </w:p>
    <w:p>
      <w:pPr>
        <w:spacing w:after="0" w:line="5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Chris Beasley</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2"/>
        </w:trPr>
        <w:tc>
          <w:tcPr>
            <w:tcW w:w="60" w:type="dxa"/>
            <w:vAlign w:val="bottom"/>
            <w:tcBorders>
              <w:top w:val="single" w:sz="8" w:color="3C5896"/>
              <w:left w:val="single" w:sz="8" w:color="9EACCA"/>
            </w:tcBorders>
            <w:shd w:val="clear" w:color="auto" w:fill="3C5896"/>
          </w:tcPr>
          <w:p>
            <w:pPr>
              <w:spacing w:after="0"/>
              <w:rPr>
                <w:sz w:val="14"/>
                <w:szCs w:val="14"/>
                <w:color w:val="auto"/>
              </w:rPr>
            </w:pPr>
          </w:p>
        </w:tc>
        <w:tc>
          <w:tcPr>
            <w:tcW w:w="780" w:type="dxa"/>
            <w:vAlign w:val="bottom"/>
            <w:tcBorders>
              <w:top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620" w:type="dxa"/>
            <w:vAlign w:val="bottom"/>
            <w:tcBorders>
              <w:top w:val="single" w:sz="8" w:color="3C5896"/>
              <w:right w:val="single" w:sz="8" w:color="3C5896"/>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560" w:type="dxa"/>
            <w:vAlign w:val="bottom"/>
            <w:tcBorders>
              <w:top w:val="single" w:sz="8" w:color="3C5896"/>
              <w:right w:val="single" w:sz="8" w:color="3C5896"/>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700" w:type="dxa"/>
            <w:vAlign w:val="bottom"/>
            <w:tcBorders>
              <w:top w:val="single" w:sz="8" w:color="3C5896"/>
              <w:right w:val="single" w:sz="8" w:color="9EACCA"/>
            </w:tcBorders>
            <w:shd w:val="clear" w:color="auto" w:fill="3C5896"/>
          </w:tcPr>
          <w:p>
            <w:pPr>
              <w:spacing w:after="0"/>
              <w:rPr>
                <w:sz w:val="14"/>
                <w:szCs w:val="14"/>
                <w:color w:val="auto"/>
              </w:rPr>
            </w:pPr>
          </w:p>
        </w:tc>
        <w:tc>
          <w:tcPr>
            <w:tcW w:w="120" w:type="dxa"/>
            <w:vAlign w:val="bottom"/>
            <w:tcBorders>
              <w:top w:val="single" w:sz="8" w:color="3C5896"/>
            </w:tcBorders>
            <w:shd w:val="clear" w:color="auto" w:fill="3C5896"/>
          </w:tcPr>
          <w:p>
            <w:pPr>
              <w:spacing w:after="0"/>
              <w:rPr>
                <w:sz w:val="14"/>
                <w:szCs w:val="14"/>
                <w:color w:val="auto"/>
              </w:rPr>
            </w:pPr>
          </w:p>
        </w:tc>
        <w:tc>
          <w:tcPr>
            <w:tcW w:w="580" w:type="dxa"/>
            <w:vAlign w:val="bottom"/>
            <w:tcBorders>
              <w:top w:val="single" w:sz="8" w:color="3C5896"/>
              <w:right w:val="single" w:sz="8" w:color="3C5896"/>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480" w:type="dxa"/>
            <w:vAlign w:val="bottom"/>
            <w:tcBorders>
              <w:top w:val="single" w:sz="8" w:color="3C5896"/>
              <w:right w:val="single" w:sz="8" w:color="3C5896"/>
            </w:tcBorders>
            <w:shd w:val="clear" w:color="auto" w:fill="3C5896"/>
          </w:tcPr>
          <w:p>
            <w:pPr>
              <w:spacing w:after="0"/>
              <w:rPr>
                <w:sz w:val="14"/>
                <w:szCs w:val="14"/>
                <w:color w:val="auto"/>
              </w:rPr>
            </w:pPr>
          </w:p>
        </w:tc>
        <w:tc>
          <w:tcPr>
            <w:tcW w:w="680" w:type="dxa"/>
            <w:vAlign w:val="bottom"/>
            <w:tcBorders>
              <w:top w:val="single" w:sz="8" w:color="3C5896"/>
              <w:right w:val="single" w:sz="8" w:color="9EACCA"/>
            </w:tcBorders>
            <w:shd w:val="clear" w:color="auto" w:fill="3C5896"/>
          </w:tcPr>
          <w:p>
            <w:pPr>
              <w:spacing w:after="0"/>
              <w:rPr>
                <w:sz w:val="14"/>
                <w:szCs w:val="14"/>
                <w:color w:val="auto"/>
              </w:rPr>
            </w:pPr>
          </w:p>
        </w:tc>
        <w:tc>
          <w:tcPr>
            <w:tcW w:w="74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78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780" w:type="dxa"/>
            <w:vAlign w:val="bottom"/>
            <w:tcBorders>
              <w:top w:val="single" w:sz="8" w:color="3C5896"/>
              <w:right w:val="single" w:sz="8" w:color="9EACCA"/>
            </w:tcBorders>
            <w:shd w:val="clear" w:color="auto" w:fill="3C5896"/>
          </w:tcPr>
          <w:p>
            <w:pPr>
              <w:spacing w:after="0"/>
              <w:rPr>
                <w:sz w:val="14"/>
                <w:szCs w:val="14"/>
                <w:color w:val="auto"/>
              </w:rPr>
            </w:pPr>
          </w:p>
        </w:tc>
        <w:tc>
          <w:tcPr>
            <w:tcW w:w="760" w:type="dxa"/>
            <w:vAlign w:val="bottom"/>
            <w:tcBorders>
              <w:top w:val="single" w:sz="8" w:color="3C5896"/>
              <w:right w:val="single" w:sz="8" w:color="3C5896"/>
            </w:tcBorders>
            <w:vMerge w:val="restart"/>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22"/>
        </w:trPr>
        <w:tc>
          <w:tcPr>
            <w:tcW w:w="60" w:type="dxa"/>
            <w:vAlign w:val="bottom"/>
            <w:tcBorders>
              <w:left w:val="single" w:sz="8" w:color="9EACCA"/>
            </w:tcBorders>
            <w:shd w:val="clear" w:color="auto" w:fill="3C5896"/>
          </w:tcPr>
          <w:p>
            <w:pPr>
              <w:spacing w:after="0"/>
              <w:rPr>
                <w:sz w:val="10"/>
                <w:szCs w:val="10"/>
                <w:color w:val="auto"/>
              </w:rPr>
            </w:pPr>
          </w:p>
        </w:tc>
        <w:tc>
          <w:tcPr>
            <w:tcW w:w="78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60" w:type="dxa"/>
            <w:vAlign w:val="bottom"/>
            <w:tcBorders>
              <w:right w:val="single" w:sz="8" w:color="9EACCA"/>
            </w:tcBorders>
            <w:gridSpan w:val="5"/>
            <w:vMerge w:val="restart"/>
            <w:shd w:val="clear" w:color="auto" w:fill="3C5896"/>
          </w:tcPr>
          <w:p>
            <w:pPr>
              <w:jc w:val="center"/>
              <w:ind w:right="97"/>
              <w:spacing w:after="0"/>
              <w:rPr>
                <w:sz w:val="20"/>
                <w:szCs w:val="20"/>
                <w:color w:val="auto"/>
              </w:rPr>
            </w:pPr>
            <w:r>
              <w:rPr>
                <w:rFonts w:ascii="Arial" w:cs="Arial" w:eastAsia="Arial" w:hAnsi="Arial"/>
                <w:sz w:val="13"/>
                <w:szCs w:val="13"/>
                <w:b w:val="1"/>
                <w:bCs w:val="1"/>
                <w:color w:val="FFFFFF"/>
                <w:w w:val="97"/>
              </w:rPr>
              <w:t>Estimated Possible</w:t>
            </w:r>
          </w:p>
        </w:tc>
        <w:tc>
          <w:tcPr>
            <w:tcW w:w="120" w:type="dxa"/>
            <w:vAlign w:val="bottom"/>
            <w:shd w:val="clear" w:color="auto" w:fill="3C5896"/>
          </w:tcPr>
          <w:p>
            <w:pPr>
              <w:spacing w:after="0"/>
              <w:rPr>
                <w:sz w:val="10"/>
                <w:szCs w:val="10"/>
                <w:color w:val="auto"/>
              </w:rPr>
            </w:pPr>
          </w:p>
        </w:tc>
        <w:tc>
          <w:tcPr>
            <w:tcW w:w="1780" w:type="dxa"/>
            <w:vAlign w:val="bottom"/>
            <w:tcBorders>
              <w:right w:val="single" w:sz="8" w:color="9EACCA"/>
            </w:tcBorders>
            <w:gridSpan w:val="4"/>
            <w:vMerge w:val="restart"/>
            <w:shd w:val="clear" w:color="auto" w:fill="3C5896"/>
          </w:tcPr>
          <w:p>
            <w:pPr>
              <w:jc w:val="center"/>
              <w:ind w:right="110"/>
              <w:spacing w:after="0"/>
              <w:rPr>
                <w:sz w:val="20"/>
                <w:szCs w:val="20"/>
                <w:color w:val="auto"/>
              </w:rPr>
            </w:pPr>
            <w:r>
              <w:rPr>
                <w:rFonts w:ascii="Arial" w:cs="Arial" w:eastAsia="Arial" w:hAnsi="Arial"/>
                <w:sz w:val="13"/>
                <w:szCs w:val="13"/>
                <w:b w:val="1"/>
                <w:bCs w:val="1"/>
                <w:color w:val="FFFFFF"/>
                <w:w w:val="97"/>
              </w:rPr>
              <w:t>Estimated Possible</w:t>
            </w: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rPr>
              <w:t>Stock</w:t>
            </w:r>
          </w:p>
        </w:tc>
        <w:tc>
          <w:tcPr>
            <w:tcW w:w="78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Option</w:t>
            </w:r>
          </w:p>
        </w:tc>
        <w:tc>
          <w:tcPr>
            <w:tcW w:w="78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Exercise or</w:t>
            </w:r>
          </w:p>
        </w:tc>
        <w:tc>
          <w:tcPr>
            <w:tcW w:w="760" w:type="dxa"/>
            <w:vAlign w:val="bottom"/>
            <w:tcBorders>
              <w:right w:val="single" w:sz="8" w:color="3C5896"/>
            </w:tcBorders>
            <w:vMerge w:val="continue"/>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9EACCA"/>
            </w:tcBorders>
            <w:shd w:val="clear" w:color="auto" w:fill="3C5896"/>
          </w:tcPr>
          <w:p>
            <w:pPr>
              <w:spacing w:after="0"/>
              <w:rPr>
                <w:sz w:val="10"/>
                <w:szCs w:val="10"/>
                <w:color w:val="auto"/>
              </w:rPr>
            </w:pPr>
          </w:p>
        </w:tc>
        <w:tc>
          <w:tcPr>
            <w:tcW w:w="78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60" w:type="dxa"/>
            <w:vAlign w:val="bottom"/>
            <w:tcBorders>
              <w:right w:val="single" w:sz="8" w:color="9EACCA"/>
            </w:tcBorders>
            <w:gridSpan w:val="5"/>
            <w:vMerge w:val="continue"/>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1780" w:type="dxa"/>
            <w:vAlign w:val="bottom"/>
            <w:tcBorders>
              <w:right w:val="single" w:sz="8" w:color="9EACCA"/>
            </w:tcBorders>
            <w:gridSpan w:val="4"/>
            <w:vMerge w:val="continue"/>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3"/>
              </w:rPr>
              <w:t>Awards:</w:t>
            </w:r>
          </w:p>
        </w:tc>
        <w:tc>
          <w:tcPr>
            <w:tcW w:w="780" w:type="dxa"/>
            <w:vAlign w:val="bottom"/>
            <w:tcBorders>
              <w:right w:val="single" w:sz="8" w:color="9EACCA"/>
            </w:tcBorders>
            <w:shd w:val="clear" w:color="auto" w:fill="3C5896"/>
          </w:tcPr>
          <w:p>
            <w:pPr>
              <w:jc w:val="center"/>
              <w:ind w:right="16"/>
              <w:spacing w:after="0" w:line="122" w:lineRule="exact"/>
              <w:rPr>
                <w:sz w:val="20"/>
                <w:szCs w:val="20"/>
                <w:color w:val="auto"/>
              </w:rPr>
            </w:pPr>
            <w:r>
              <w:rPr>
                <w:rFonts w:ascii="Arial" w:cs="Arial" w:eastAsia="Arial" w:hAnsi="Arial"/>
                <w:sz w:val="13"/>
                <w:szCs w:val="13"/>
                <w:b w:val="1"/>
                <w:bCs w:val="1"/>
                <w:color w:val="FFFFFF"/>
                <w:w w:val="95"/>
              </w:rPr>
              <w:t>Award:</w:t>
            </w:r>
          </w:p>
        </w:tc>
        <w:tc>
          <w:tcPr>
            <w:tcW w:w="780" w:type="dxa"/>
            <w:vAlign w:val="bottom"/>
            <w:tcBorders>
              <w:right w:val="single" w:sz="8" w:color="9EACCA"/>
            </w:tcBorders>
            <w:vMerge w:val="continue"/>
            <w:shd w:val="clear" w:color="auto" w:fill="3C5896"/>
          </w:tcPr>
          <w:p>
            <w:pPr>
              <w:spacing w:after="0"/>
              <w:rPr>
                <w:sz w:val="10"/>
                <w:szCs w:val="10"/>
                <w:color w:val="auto"/>
              </w:rPr>
            </w:pPr>
          </w:p>
        </w:tc>
        <w:tc>
          <w:tcPr>
            <w:tcW w:w="760" w:type="dxa"/>
            <w:vAlign w:val="bottom"/>
            <w:tcBorders>
              <w:right w:val="single" w:sz="8" w:color="3C5896"/>
            </w:tcBorders>
            <w:shd w:val="clear" w:color="auto" w:fill="3C5896"/>
          </w:tcPr>
          <w:p>
            <w:pPr>
              <w:jc w:val="center"/>
              <w:ind w:right="13"/>
              <w:spacing w:after="0" w:line="122" w:lineRule="exact"/>
              <w:rPr>
                <w:sz w:val="20"/>
                <w:szCs w:val="20"/>
                <w:color w:val="auto"/>
              </w:rPr>
            </w:pPr>
            <w:r>
              <w:rPr>
                <w:rFonts w:ascii="Arial" w:cs="Arial" w:eastAsia="Arial" w:hAnsi="Arial"/>
                <w:sz w:val="13"/>
                <w:szCs w:val="13"/>
                <w:b w:val="1"/>
                <w:bCs w:val="1"/>
                <w:color w:val="FFFFFF"/>
                <w:w w:val="96"/>
              </w:rPr>
              <w:t>Fair Value</w:t>
            </w:r>
          </w:p>
        </w:tc>
        <w:tc>
          <w:tcPr>
            <w:tcW w:w="0" w:type="dxa"/>
            <w:vAlign w:val="bottom"/>
          </w:tcPr>
          <w:p>
            <w:pPr>
              <w:spacing w:after="0"/>
              <w:rPr>
                <w:sz w:val="1"/>
                <w:szCs w:val="1"/>
                <w:color w:val="auto"/>
              </w:rPr>
            </w:pPr>
          </w:p>
        </w:tc>
      </w:tr>
      <w:tr>
        <w:trPr>
          <w:trHeight w:val="122"/>
        </w:trPr>
        <w:tc>
          <w:tcPr>
            <w:tcW w:w="60" w:type="dxa"/>
            <w:vAlign w:val="bottom"/>
            <w:tcBorders>
              <w:left w:val="single" w:sz="8" w:color="9EACCA"/>
            </w:tcBorders>
            <w:shd w:val="clear" w:color="auto" w:fill="3C5896"/>
          </w:tcPr>
          <w:p>
            <w:pPr>
              <w:spacing w:after="0"/>
              <w:rPr>
                <w:sz w:val="10"/>
                <w:szCs w:val="10"/>
                <w:color w:val="auto"/>
              </w:rPr>
            </w:pPr>
          </w:p>
        </w:tc>
        <w:tc>
          <w:tcPr>
            <w:tcW w:w="78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60" w:type="dxa"/>
            <w:vAlign w:val="bottom"/>
            <w:tcBorders>
              <w:right w:val="single" w:sz="8" w:color="9EACCA"/>
            </w:tcBorders>
            <w:gridSpan w:val="5"/>
            <w:shd w:val="clear" w:color="auto" w:fill="3C5896"/>
          </w:tcPr>
          <w:p>
            <w:pPr>
              <w:jc w:val="center"/>
              <w:ind w:right="97"/>
              <w:spacing w:after="0" w:line="122" w:lineRule="exact"/>
              <w:rPr>
                <w:sz w:val="20"/>
                <w:szCs w:val="20"/>
                <w:color w:val="auto"/>
              </w:rPr>
            </w:pPr>
            <w:r>
              <w:rPr>
                <w:rFonts w:ascii="Arial" w:cs="Arial" w:eastAsia="Arial" w:hAnsi="Arial"/>
                <w:sz w:val="13"/>
                <w:szCs w:val="13"/>
                <w:b w:val="1"/>
                <w:bCs w:val="1"/>
                <w:color w:val="FFFFFF"/>
                <w:w w:val="97"/>
              </w:rPr>
              <w:t>Payouts Under Non-Equity</w:t>
            </w:r>
          </w:p>
        </w:tc>
        <w:tc>
          <w:tcPr>
            <w:tcW w:w="120" w:type="dxa"/>
            <w:vAlign w:val="bottom"/>
            <w:shd w:val="clear" w:color="auto" w:fill="3C5896"/>
          </w:tcPr>
          <w:p>
            <w:pPr>
              <w:spacing w:after="0"/>
              <w:rPr>
                <w:sz w:val="10"/>
                <w:szCs w:val="10"/>
                <w:color w:val="auto"/>
              </w:rPr>
            </w:pPr>
          </w:p>
        </w:tc>
        <w:tc>
          <w:tcPr>
            <w:tcW w:w="1780" w:type="dxa"/>
            <w:vAlign w:val="bottom"/>
            <w:tcBorders>
              <w:right w:val="single" w:sz="8" w:color="9EACCA"/>
            </w:tcBorders>
            <w:gridSpan w:val="4"/>
            <w:shd w:val="clear" w:color="auto" w:fill="3C5896"/>
          </w:tcPr>
          <w:p>
            <w:pPr>
              <w:jc w:val="center"/>
              <w:ind w:right="110"/>
              <w:spacing w:after="0" w:line="122" w:lineRule="exact"/>
              <w:rPr>
                <w:sz w:val="20"/>
                <w:szCs w:val="20"/>
                <w:color w:val="auto"/>
              </w:rPr>
            </w:pPr>
            <w:r>
              <w:rPr>
                <w:rFonts w:ascii="Arial" w:cs="Arial" w:eastAsia="Arial" w:hAnsi="Arial"/>
                <w:sz w:val="13"/>
                <w:szCs w:val="13"/>
                <w:b w:val="1"/>
                <w:bCs w:val="1"/>
                <w:color w:val="FFFFFF"/>
                <w:w w:val="97"/>
              </w:rPr>
              <w:t>Payouts Under Equity</w:t>
            </w: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8"/>
              </w:rPr>
              <w:t>Number of</w:t>
            </w:r>
          </w:p>
        </w:tc>
        <w:tc>
          <w:tcPr>
            <w:tcW w:w="78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8"/>
              </w:rPr>
              <w:t>Number of</w:t>
            </w:r>
          </w:p>
        </w:tc>
        <w:tc>
          <w:tcPr>
            <w:tcW w:w="780" w:type="dxa"/>
            <w:vAlign w:val="bottom"/>
            <w:tcBorders>
              <w:right w:val="single" w:sz="8" w:color="9EACCA"/>
            </w:tcBorders>
            <w:shd w:val="clear" w:color="auto" w:fill="3C5896"/>
          </w:tcPr>
          <w:p>
            <w:pPr>
              <w:jc w:val="center"/>
              <w:ind w:right="15"/>
              <w:spacing w:after="0" w:line="122" w:lineRule="exact"/>
              <w:rPr>
                <w:sz w:val="20"/>
                <w:szCs w:val="20"/>
                <w:color w:val="auto"/>
              </w:rPr>
            </w:pPr>
            <w:r>
              <w:rPr>
                <w:rFonts w:ascii="Arial" w:cs="Arial" w:eastAsia="Arial" w:hAnsi="Arial"/>
                <w:sz w:val="13"/>
                <w:szCs w:val="13"/>
                <w:b w:val="1"/>
                <w:bCs w:val="1"/>
                <w:color w:val="FFFFFF"/>
                <w:w w:val="96"/>
              </w:rPr>
              <w:t>Base</w:t>
            </w:r>
          </w:p>
        </w:tc>
        <w:tc>
          <w:tcPr>
            <w:tcW w:w="760" w:type="dxa"/>
            <w:vAlign w:val="bottom"/>
            <w:tcBorders>
              <w:right w:val="single" w:sz="8" w:color="3C5896"/>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of Stock</w:t>
            </w:r>
          </w:p>
        </w:tc>
        <w:tc>
          <w:tcPr>
            <w:tcW w:w="0" w:type="dxa"/>
            <w:vAlign w:val="bottom"/>
          </w:tcPr>
          <w:p>
            <w:pPr>
              <w:spacing w:after="0"/>
              <w:rPr>
                <w:sz w:val="1"/>
                <w:szCs w:val="1"/>
                <w:color w:val="auto"/>
              </w:rPr>
            </w:pPr>
          </w:p>
        </w:tc>
      </w:tr>
      <w:tr>
        <w:trPr>
          <w:trHeight w:val="155"/>
        </w:trPr>
        <w:tc>
          <w:tcPr>
            <w:tcW w:w="60" w:type="dxa"/>
            <w:vAlign w:val="bottom"/>
            <w:tcBorders>
              <w:left w:val="single" w:sz="8" w:color="9EACCA"/>
              <w:bottom w:val="single" w:sz="8" w:color="3C5896"/>
            </w:tcBorders>
            <w:shd w:val="clear" w:color="auto" w:fill="3C5896"/>
          </w:tcPr>
          <w:p>
            <w:pPr>
              <w:spacing w:after="0"/>
              <w:rPr>
                <w:sz w:val="13"/>
                <w:szCs w:val="13"/>
                <w:color w:val="auto"/>
              </w:rPr>
            </w:pPr>
          </w:p>
        </w:tc>
        <w:tc>
          <w:tcPr>
            <w:tcW w:w="780" w:type="dxa"/>
            <w:vAlign w:val="bottom"/>
            <w:tcBorders>
              <w:bottom w:val="single" w:sz="8" w:color="3C5896"/>
              <w:right w:val="single" w:sz="8" w:color="9EACCA"/>
            </w:tcBorders>
            <w:shd w:val="clear" w:color="auto" w:fill="3C5896"/>
          </w:tcPr>
          <w:p>
            <w:pPr>
              <w:spacing w:after="0"/>
              <w:rPr>
                <w:sz w:val="13"/>
                <w:szCs w:val="13"/>
                <w:color w:val="auto"/>
              </w:rPr>
            </w:pPr>
          </w:p>
        </w:tc>
        <w:tc>
          <w:tcPr>
            <w:tcW w:w="80" w:type="dxa"/>
            <w:vAlign w:val="bottom"/>
            <w:tcBorders>
              <w:bottom w:val="single" w:sz="8" w:color="3C5896"/>
            </w:tcBorders>
            <w:shd w:val="clear" w:color="auto" w:fill="3C5896"/>
          </w:tcPr>
          <w:p>
            <w:pPr>
              <w:spacing w:after="0"/>
              <w:rPr>
                <w:sz w:val="13"/>
                <w:szCs w:val="13"/>
                <w:color w:val="auto"/>
              </w:rPr>
            </w:pPr>
          </w:p>
        </w:tc>
        <w:tc>
          <w:tcPr>
            <w:tcW w:w="1960" w:type="dxa"/>
            <w:vAlign w:val="bottom"/>
            <w:tcBorders>
              <w:bottom w:val="single" w:sz="8" w:color="3C5896"/>
              <w:right w:val="single" w:sz="8" w:color="9EACCA"/>
            </w:tcBorders>
            <w:gridSpan w:val="5"/>
            <w:shd w:val="clear" w:color="auto" w:fill="3C5896"/>
          </w:tcPr>
          <w:p>
            <w:pPr>
              <w:jc w:val="center"/>
              <w:ind w:right="57"/>
              <w:spacing w:after="0" w:line="122" w:lineRule="exact"/>
              <w:rPr>
                <w:sz w:val="20"/>
                <w:szCs w:val="20"/>
                <w:color w:val="auto"/>
              </w:rPr>
            </w:pPr>
            <w:r>
              <w:rPr>
                <w:rFonts w:ascii="Arial" w:cs="Arial" w:eastAsia="Arial" w:hAnsi="Arial"/>
                <w:sz w:val="10"/>
                <w:szCs w:val="10"/>
                <w:b w:val="1"/>
                <w:bCs w:val="1"/>
                <w:color w:val="FFFFFF"/>
              </w:rPr>
              <w:t>Incentive Plan Awards</w:t>
            </w:r>
            <w:r>
              <w:rPr>
                <w:rFonts w:ascii="Arial" w:cs="Arial" w:eastAsia="Arial" w:hAnsi="Arial"/>
                <w:sz w:val="14"/>
                <w:szCs w:val="14"/>
                <w:b w:val="1"/>
                <w:bCs w:val="1"/>
                <w:color w:val="FFFFFF"/>
                <w:vertAlign w:val="superscript"/>
              </w:rPr>
              <w:t>(1)</w:t>
            </w:r>
          </w:p>
        </w:tc>
        <w:tc>
          <w:tcPr>
            <w:tcW w:w="120" w:type="dxa"/>
            <w:vAlign w:val="bottom"/>
            <w:tcBorders>
              <w:bottom w:val="single" w:sz="8" w:color="3C5896"/>
            </w:tcBorders>
            <w:shd w:val="clear" w:color="auto" w:fill="3C5896"/>
          </w:tcPr>
          <w:p>
            <w:pPr>
              <w:spacing w:after="0"/>
              <w:rPr>
                <w:sz w:val="13"/>
                <w:szCs w:val="13"/>
                <w:color w:val="auto"/>
              </w:rPr>
            </w:pPr>
          </w:p>
        </w:tc>
        <w:tc>
          <w:tcPr>
            <w:tcW w:w="1780" w:type="dxa"/>
            <w:vAlign w:val="bottom"/>
            <w:tcBorders>
              <w:bottom w:val="single" w:sz="8" w:color="3C5896"/>
              <w:right w:val="single" w:sz="8" w:color="9EACCA"/>
            </w:tcBorders>
            <w:gridSpan w:val="4"/>
            <w:shd w:val="clear" w:color="auto" w:fill="3C5896"/>
          </w:tcPr>
          <w:p>
            <w:pPr>
              <w:jc w:val="center"/>
              <w:ind w:right="90"/>
              <w:spacing w:after="0" w:line="122" w:lineRule="exact"/>
              <w:rPr>
                <w:sz w:val="20"/>
                <w:szCs w:val="20"/>
                <w:color w:val="auto"/>
              </w:rPr>
            </w:pPr>
            <w:r>
              <w:rPr>
                <w:rFonts w:ascii="Arial" w:cs="Arial" w:eastAsia="Arial" w:hAnsi="Arial"/>
                <w:sz w:val="10"/>
                <w:szCs w:val="10"/>
                <w:b w:val="1"/>
                <w:bCs w:val="1"/>
                <w:color w:val="FFFFFF"/>
              </w:rPr>
              <w:t>Incentive Plan Awards</w:t>
            </w:r>
            <w:r>
              <w:rPr>
                <w:rFonts w:ascii="Arial" w:cs="Arial" w:eastAsia="Arial" w:hAnsi="Arial"/>
                <w:sz w:val="14"/>
                <w:szCs w:val="14"/>
                <w:b w:val="1"/>
                <w:bCs w:val="1"/>
                <w:color w:val="FFFFFF"/>
                <w:vertAlign w:val="superscript"/>
              </w:rPr>
              <w:t>(2)</w:t>
            </w:r>
          </w:p>
        </w:tc>
        <w:tc>
          <w:tcPr>
            <w:tcW w:w="740" w:type="dxa"/>
            <w:vAlign w:val="bottom"/>
            <w:tcBorders>
              <w:bottom w:val="single" w:sz="8" w:color="3C5896"/>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9"/>
              </w:rPr>
              <w:t>Shares or</w:t>
            </w:r>
          </w:p>
        </w:tc>
        <w:tc>
          <w:tcPr>
            <w:tcW w:w="780" w:type="dxa"/>
            <w:vAlign w:val="bottom"/>
            <w:tcBorders>
              <w:bottom w:val="single" w:sz="8" w:color="3C5896"/>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Securities</w:t>
            </w:r>
          </w:p>
        </w:tc>
        <w:tc>
          <w:tcPr>
            <w:tcW w:w="780" w:type="dxa"/>
            <w:vAlign w:val="bottom"/>
            <w:tcBorders>
              <w:bottom w:val="single" w:sz="8" w:color="3C5896"/>
              <w:right w:val="single" w:sz="8" w:color="9EACCA"/>
            </w:tcBorders>
            <w:shd w:val="clear" w:color="auto" w:fill="3C5896"/>
          </w:tcPr>
          <w:p>
            <w:pPr>
              <w:jc w:val="center"/>
              <w:ind w:right="15"/>
              <w:spacing w:after="0" w:line="122" w:lineRule="exact"/>
              <w:rPr>
                <w:sz w:val="20"/>
                <w:szCs w:val="20"/>
                <w:color w:val="auto"/>
              </w:rPr>
            </w:pPr>
            <w:r>
              <w:rPr>
                <w:rFonts w:ascii="Arial" w:cs="Arial" w:eastAsia="Arial" w:hAnsi="Arial"/>
                <w:sz w:val="13"/>
                <w:szCs w:val="13"/>
                <w:b w:val="1"/>
                <w:bCs w:val="1"/>
                <w:color w:val="FFFFFF"/>
                <w:w w:val="96"/>
              </w:rPr>
              <w:t>Price of</w:t>
            </w:r>
          </w:p>
        </w:tc>
        <w:tc>
          <w:tcPr>
            <w:tcW w:w="760" w:type="dxa"/>
            <w:vAlign w:val="bottom"/>
            <w:tcBorders>
              <w:bottom w:val="single" w:sz="8" w:color="3C5896"/>
              <w:right w:val="single" w:sz="8" w:color="3C5896"/>
            </w:tcBorders>
            <w:shd w:val="clear" w:color="auto" w:fill="3C5896"/>
          </w:tcPr>
          <w:p>
            <w:pPr>
              <w:jc w:val="center"/>
              <w:ind w:right="13"/>
              <w:spacing w:after="0" w:line="122" w:lineRule="exact"/>
              <w:rPr>
                <w:sz w:val="20"/>
                <w:szCs w:val="20"/>
                <w:color w:val="auto"/>
              </w:rPr>
            </w:pPr>
            <w:r>
              <w:rPr>
                <w:rFonts w:ascii="Arial" w:cs="Arial" w:eastAsia="Arial" w:hAnsi="Arial"/>
                <w:sz w:val="13"/>
                <w:szCs w:val="13"/>
                <w:b w:val="1"/>
                <w:bCs w:val="1"/>
                <w:color w:val="FFFFFF"/>
              </w:rPr>
              <w:t>and</w:t>
            </w:r>
          </w:p>
        </w:tc>
        <w:tc>
          <w:tcPr>
            <w:tcW w:w="0" w:type="dxa"/>
            <w:vAlign w:val="bottom"/>
          </w:tcPr>
          <w:p>
            <w:pPr>
              <w:spacing w:after="0"/>
              <w:rPr>
                <w:sz w:val="1"/>
                <w:szCs w:val="1"/>
                <w:color w:val="auto"/>
              </w:rPr>
            </w:pPr>
          </w:p>
        </w:tc>
      </w:tr>
      <w:tr>
        <w:trPr>
          <w:trHeight w:val="68"/>
        </w:trPr>
        <w:tc>
          <w:tcPr>
            <w:tcW w:w="60" w:type="dxa"/>
            <w:vAlign w:val="bottom"/>
            <w:tcBorders>
              <w:left w:val="single" w:sz="8" w:color="9EACCA"/>
            </w:tcBorders>
            <w:shd w:val="clear" w:color="auto" w:fill="3C5896"/>
          </w:tcPr>
          <w:p>
            <w:pPr>
              <w:spacing w:after="0"/>
              <w:rPr>
                <w:sz w:val="5"/>
                <w:szCs w:val="5"/>
                <w:color w:val="auto"/>
              </w:rPr>
            </w:pPr>
          </w:p>
        </w:tc>
        <w:tc>
          <w:tcPr>
            <w:tcW w:w="780" w:type="dxa"/>
            <w:vAlign w:val="bottom"/>
            <w:tcBorders>
              <w:right w:val="single" w:sz="8" w:color="9EACCA"/>
            </w:tcBorders>
            <w:vMerge w:val="restart"/>
            <w:shd w:val="clear" w:color="auto" w:fill="3C5896"/>
          </w:tcPr>
          <w:p>
            <w:pPr>
              <w:jc w:val="right"/>
              <w:ind w:right="210"/>
              <w:spacing w:after="0"/>
              <w:rPr>
                <w:sz w:val="20"/>
                <w:szCs w:val="20"/>
                <w:color w:val="auto"/>
              </w:rPr>
            </w:pPr>
            <w:r>
              <w:rPr>
                <w:rFonts w:ascii="Arial" w:cs="Arial" w:eastAsia="Arial" w:hAnsi="Arial"/>
                <w:sz w:val="13"/>
                <w:szCs w:val="13"/>
                <w:b w:val="1"/>
                <w:bCs w:val="1"/>
                <w:color w:val="FFFFFF"/>
              </w:rPr>
              <w:t>Grant</w:t>
            </w:r>
          </w:p>
        </w:tc>
        <w:tc>
          <w:tcPr>
            <w:tcW w:w="700" w:type="dxa"/>
            <w:vAlign w:val="bottom"/>
            <w:tcBorders>
              <w:right w:val="single" w:sz="8" w:color="9EACCA"/>
            </w:tcBorders>
            <w:gridSpan w:val="2"/>
            <w:vMerge w:val="restart"/>
            <w:shd w:val="clear" w:color="auto" w:fill="3C5896"/>
          </w:tcPr>
          <w:p>
            <w:pPr>
              <w:jc w:val="right"/>
              <w:ind w:right="2"/>
              <w:spacing w:after="0"/>
              <w:rPr>
                <w:sz w:val="20"/>
                <w:szCs w:val="20"/>
                <w:color w:val="auto"/>
              </w:rPr>
            </w:pPr>
            <w:r>
              <w:rPr>
                <w:rFonts w:ascii="Arial" w:cs="Arial" w:eastAsia="Arial" w:hAnsi="Arial"/>
                <w:sz w:val="13"/>
                <w:szCs w:val="13"/>
                <w:b w:val="1"/>
                <w:bCs w:val="1"/>
                <w:color w:val="FFFFFF"/>
                <w:w w:val="98"/>
              </w:rPr>
              <w:t>Threshold</w:t>
            </w:r>
          </w:p>
        </w:tc>
        <w:tc>
          <w:tcPr>
            <w:tcW w:w="40" w:type="dxa"/>
            <w:vAlign w:val="bottom"/>
            <w:shd w:val="clear" w:color="auto" w:fill="3C5896"/>
          </w:tcPr>
          <w:p>
            <w:pPr>
              <w:spacing w:after="0"/>
              <w:rPr>
                <w:sz w:val="5"/>
                <w:szCs w:val="5"/>
                <w:color w:val="auto"/>
              </w:rPr>
            </w:pPr>
          </w:p>
        </w:tc>
        <w:tc>
          <w:tcPr>
            <w:tcW w:w="56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40" w:type="dxa"/>
            <w:vAlign w:val="bottom"/>
            <w:shd w:val="clear" w:color="auto" w:fill="3C5896"/>
          </w:tcPr>
          <w:p>
            <w:pPr>
              <w:spacing w:after="0"/>
              <w:rPr>
                <w:sz w:val="5"/>
                <w:szCs w:val="5"/>
                <w:color w:val="auto"/>
              </w:rPr>
            </w:pPr>
          </w:p>
        </w:tc>
        <w:tc>
          <w:tcPr>
            <w:tcW w:w="700" w:type="dxa"/>
            <w:vAlign w:val="bottom"/>
            <w:tcBorders>
              <w:right w:val="single" w:sz="8" w:color="9EACCA"/>
            </w:tcBorders>
            <w:vMerge w:val="restart"/>
            <w:shd w:val="clear" w:color="auto" w:fill="3C5896"/>
          </w:tcPr>
          <w:p>
            <w:pPr>
              <w:jc w:val="right"/>
              <w:ind w:right="37"/>
              <w:spacing w:after="0"/>
              <w:rPr>
                <w:sz w:val="20"/>
                <w:szCs w:val="20"/>
                <w:color w:val="auto"/>
              </w:rPr>
            </w:pPr>
            <w:r>
              <w:rPr>
                <w:rFonts w:ascii="Arial" w:cs="Arial" w:eastAsia="Arial" w:hAnsi="Arial"/>
                <w:sz w:val="13"/>
                <w:szCs w:val="13"/>
                <w:b w:val="1"/>
                <w:bCs w:val="1"/>
                <w:color w:val="FFFFFF"/>
                <w:w w:val="96"/>
              </w:rPr>
              <w:t>Maximum</w:t>
            </w:r>
          </w:p>
        </w:tc>
        <w:tc>
          <w:tcPr>
            <w:tcW w:w="700" w:type="dxa"/>
            <w:vAlign w:val="bottom"/>
            <w:tcBorders>
              <w:right w:val="single" w:sz="8" w:color="9EACCA"/>
            </w:tcBorders>
            <w:gridSpan w:val="2"/>
            <w:vMerge w:val="restart"/>
            <w:shd w:val="clear" w:color="auto" w:fill="3C5896"/>
          </w:tcPr>
          <w:p>
            <w:pPr>
              <w:jc w:val="right"/>
              <w:spacing w:after="0"/>
              <w:rPr>
                <w:sz w:val="20"/>
                <w:szCs w:val="20"/>
                <w:color w:val="auto"/>
              </w:rPr>
            </w:pPr>
            <w:r>
              <w:rPr>
                <w:rFonts w:ascii="Arial" w:cs="Arial" w:eastAsia="Arial" w:hAnsi="Arial"/>
                <w:sz w:val="13"/>
                <w:szCs w:val="13"/>
                <w:b w:val="1"/>
                <w:bCs w:val="1"/>
                <w:color w:val="FFFFFF"/>
                <w:w w:val="98"/>
              </w:rPr>
              <w:t>Threshold</w:t>
            </w:r>
          </w:p>
        </w:tc>
        <w:tc>
          <w:tcPr>
            <w:tcW w:w="40" w:type="dxa"/>
            <w:vAlign w:val="bottom"/>
            <w:shd w:val="clear" w:color="auto" w:fill="3C5896"/>
          </w:tcPr>
          <w:p>
            <w:pPr>
              <w:spacing w:after="0"/>
              <w:rPr>
                <w:sz w:val="5"/>
                <w:szCs w:val="5"/>
                <w:color w:val="auto"/>
              </w:rPr>
            </w:pPr>
          </w:p>
        </w:tc>
        <w:tc>
          <w:tcPr>
            <w:tcW w:w="480" w:type="dxa"/>
            <w:vAlign w:val="bottom"/>
            <w:tcBorders>
              <w:right w:val="single" w:sz="8" w:color="9EACCA"/>
            </w:tcBorders>
            <w:vMerge w:val="restart"/>
            <w:shd w:val="clear" w:color="auto" w:fill="3C5896"/>
          </w:tcPr>
          <w:p>
            <w:pPr>
              <w:jc w:val="right"/>
              <w:ind w:right="11"/>
              <w:spacing w:after="0"/>
              <w:rPr>
                <w:sz w:val="20"/>
                <w:szCs w:val="20"/>
                <w:color w:val="auto"/>
              </w:rPr>
            </w:pPr>
            <w:r>
              <w:rPr>
                <w:rFonts w:ascii="Arial" w:cs="Arial" w:eastAsia="Arial" w:hAnsi="Arial"/>
                <w:sz w:val="13"/>
                <w:szCs w:val="13"/>
                <w:b w:val="1"/>
                <w:bCs w:val="1"/>
                <w:color w:val="FFFFFF"/>
                <w:w w:val="95"/>
              </w:rPr>
              <w:t>Target</w:t>
            </w:r>
          </w:p>
        </w:tc>
        <w:tc>
          <w:tcPr>
            <w:tcW w:w="680" w:type="dxa"/>
            <w:vAlign w:val="bottom"/>
            <w:tcBorders>
              <w:right w:val="single" w:sz="8" w:color="9EACCA"/>
            </w:tcBorders>
            <w:vMerge w:val="restart"/>
            <w:shd w:val="clear" w:color="auto" w:fill="3C5896"/>
          </w:tcPr>
          <w:p>
            <w:pPr>
              <w:jc w:val="right"/>
              <w:spacing w:after="0"/>
              <w:rPr>
                <w:sz w:val="20"/>
                <w:szCs w:val="20"/>
                <w:color w:val="auto"/>
              </w:rPr>
            </w:pPr>
            <w:r>
              <w:rPr>
                <w:rFonts w:ascii="Arial" w:cs="Arial" w:eastAsia="Arial" w:hAnsi="Arial"/>
                <w:sz w:val="13"/>
                <w:szCs w:val="13"/>
                <w:b w:val="1"/>
                <w:bCs w:val="1"/>
                <w:color w:val="FFFFFF"/>
                <w:w w:val="99"/>
              </w:rPr>
              <w:t>Maximum</w:t>
            </w:r>
          </w:p>
        </w:tc>
        <w:tc>
          <w:tcPr>
            <w:tcW w:w="740" w:type="dxa"/>
            <w:vAlign w:val="bottom"/>
            <w:tcBorders>
              <w:right w:val="single" w:sz="8" w:color="9EACCA"/>
            </w:tcBorders>
            <w:shd w:val="clear" w:color="auto" w:fill="3C5896"/>
          </w:tcPr>
          <w:p>
            <w:pPr>
              <w:jc w:val="center"/>
              <w:spacing w:after="0" w:line="68" w:lineRule="exact"/>
              <w:rPr>
                <w:sz w:val="20"/>
                <w:szCs w:val="20"/>
                <w:color w:val="auto"/>
              </w:rPr>
            </w:pPr>
            <w:r>
              <w:rPr>
                <w:rFonts w:ascii="Arial" w:cs="Arial" w:eastAsia="Arial" w:hAnsi="Arial"/>
                <w:sz w:val="7"/>
                <w:szCs w:val="7"/>
                <w:b w:val="1"/>
                <w:bCs w:val="1"/>
                <w:color w:val="FFFFFF"/>
              </w:rPr>
              <w:t>Stock</w:t>
            </w:r>
          </w:p>
        </w:tc>
        <w:tc>
          <w:tcPr>
            <w:tcW w:w="780" w:type="dxa"/>
            <w:vAlign w:val="bottom"/>
            <w:tcBorders>
              <w:right w:val="single" w:sz="8" w:color="9EACCA"/>
            </w:tcBorders>
            <w:shd w:val="clear" w:color="auto" w:fill="3C5896"/>
          </w:tcPr>
          <w:p>
            <w:pPr>
              <w:jc w:val="center"/>
              <w:ind w:right="16"/>
              <w:spacing w:after="0" w:line="68" w:lineRule="exact"/>
              <w:rPr>
                <w:sz w:val="20"/>
                <w:szCs w:val="20"/>
                <w:color w:val="auto"/>
              </w:rPr>
            </w:pPr>
            <w:r>
              <w:rPr>
                <w:rFonts w:ascii="Arial" w:cs="Arial" w:eastAsia="Arial" w:hAnsi="Arial"/>
                <w:sz w:val="7"/>
                <w:szCs w:val="7"/>
                <w:b w:val="1"/>
                <w:bCs w:val="1"/>
                <w:color w:val="FFFFFF"/>
              </w:rPr>
              <w:t>Underlying</w:t>
            </w:r>
          </w:p>
        </w:tc>
        <w:tc>
          <w:tcPr>
            <w:tcW w:w="780" w:type="dxa"/>
            <w:vAlign w:val="bottom"/>
            <w:tcBorders>
              <w:right w:val="single" w:sz="8" w:color="9EACCA"/>
            </w:tcBorders>
            <w:shd w:val="clear" w:color="auto" w:fill="3C5896"/>
          </w:tcPr>
          <w:p>
            <w:pPr>
              <w:jc w:val="center"/>
              <w:ind w:right="15"/>
              <w:spacing w:after="0" w:line="68" w:lineRule="exact"/>
              <w:rPr>
                <w:sz w:val="20"/>
                <w:szCs w:val="20"/>
                <w:color w:val="auto"/>
              </w:rPr>
            </w:pPr>
            <w:r>
              <w:rPr>
                <w:rFonts w:ascii="Arial" w:cs="Arial" w:eastAsia="Arial" w:hAnsi="Arial"/>
                <w:sz w:val="7"/>
                <w:szCs w:val="7"/>
                <w:b w:val="1"/>
                <w:bCs w:val="1"/>
                <w:color w:val="FFFFFF"/>
              </w:rPr>
              <w:t>Option</w:t>
            </w:r>
          </w:p>
        </w:tc>
        <w:tc>
          <w:tcPr>
            <w:tcW w:w="760" w:type="dxa"/>
            <w:vAlign w:val="bottom"/>
            <w:tcBorders>
              <w:right w:val="single" w:sz="8" w:color="3C5896"/>
            </w:tcBorders>
            <w:shd w:val="clear" w:color="auto" w:fill="3C5896"/>
          </w:tcPr>
          <w:p>
            <w:pPr>
              <w:jc w:val="center"/>
              <w:ind w:right="13"/>
              <w:spacing w:after="0" w:line="68" w:lineRule="exact"/>
              <w:rPr>
                <w:sz w:val="20"/>
                <w:szCs w:val="20"/>
                <w:color w:val="auto"/>
              </w:rPr>
            </w:pPr>
            <w:r>
              <w:rPr>
                <w:rFonts w:ascii="Arial" w:cs="Arial" w:eastAsia="Arial" w:hAnsi="Arial"/>
                <w:sz w:val="7"/>
                <w:szCs w:val="7"/>
                <w:b w:val="1"/>
                <w:bCs w:val="1"/>
                <w:color w:val="FFFFFF"/>
              </w:rPr>
              <w:t>Option</w:t>
            </w:r>
          </w:p>
        </w:tc>
        <w:tc>
          <w:tcPr>
            <w:tcW w:w="0" w:type="dxa"/>
            <w:vAlign w:val="bottom"/>
          </w:tcPr>
          <w:p>
            <w:pPr>
              <w:spacing w:after="0"/>
              <w:rPr>
                <w:sz w:val="1"/>
                <w:szCs w:val="1"/>
                <w:color w:val="auto"/>
              </w:rPr>
            </w:pPr>
          </w:p>
        </w:tc>
      </w:tr>
      <w:tr>
        <w:trPr>
          <w:trHeight w:val="122"/>
        </w:trPr>
        <w:tc>
          <w:tcPr>
            <w:tcW w:w="60" w:type="dxa"/>
            <w:vAlign w:val="bottom"/>
            <w:tcBorders>
              <w:left w:val="single" w:sz="8" w:color="9EACCA"/>
            </w:tcBorders>
            <w:shd w:val="clear" w:color="auto" w:fill="3C5896"/>
          </w:tcPr>
          <w:p>
            <w:pPr>
              <w:spacing w:after="0"/>
              <w:rPr>
                <w:sz w:val="10"/>
                <w:szCs w:val="10"/>
                <w:color w:val="auto"/>
              </w:rPr>
            </w:pPr>
          </w:p>
        </w:tc>
        <w:tc>
          <w:tcPr>
            <w:tcW w:w="780" w:type="dxa"/>
            <w:vAlign w:val="bottom"/>
            <w:tcBorders>
              <w:right w:val="single" w:sz="8" w:color="9EACCA"/>
            </w:tcBorders>
            <w:vMerge w:val="continue"/>
            <w:shd w:val="clear" w:color="auto" w:fill="3C5896"/>
          </w:tcPr>
          <w:p>
            <w:pPr>
              <w:spacing w:after="0"/>
              <w:rPr>
                <w:sz w:val="10"/>
                <w:szCs w:val="10"/>
                <w:color w:val="auto"/>
              </w:rPr>
            </w:pPr>
          </w:p>
        </w:tc>
        <w:tc>
          <w:tcPr>
            <w:tcW w:w="700" w:type="dxa"/>
            <w:vAlign w:val="bottom"/>
            <w:tcBorders>
              <w:right w:val="single" w:sz="8" w:color="9EACCA"/>
            </w:tcBorders>
            <w:gridSpan w:val="2"/>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560" w:type="dxa"/>
            <w:vAlign w:val="bottom"/>
            <w:tcBorders>
              <w:right w:val="single" w:sz="8" w:color="9EACCA"/>
            </w:tcBorders>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vMerge w:val="continue"/>
            <w:shd w:val="clear" w:color="auto" w:fill="3C5896"/>
          </w:tcPr>
          <w:p>
            <w:pPr>
              <w:spacing w:after="0"/>
              <w:rPr>
                <w:sz w:val="10"/>
                <w:szCs w:val="10"/>
                <w:color w:val="auto"/>
              </w:rPr>
            </w:pPr>
          </w:p>
        </w:tc>
        <w:tc>
          <w:tcPr>
            <w:tcW w:w="700" w:type="dxa"/>
            <w:vAlign w:val="bottom"/>
            <w:tcBorders>
              <w:right w:val="single" w:sz="8" w:color="9EACCA"/>
            </w:tcBorders>
            <w:gridSpan w:val="2"/>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480" w:type="dxa"/>
            <w:vAlign w:val="bottom"/>
            <w:tcBorders>
              <w:right w:val="single" w:sz="8" w:color="9EACCA"/>
            </w:tcBorders>
            <w:vMerge w:val="continue"/>
            <w:shd w:val="clear" w:color="auto" w:fill="3C5896"/>
          </w:tcPr>
          <w:p>
            <w:pPr>
              <w:spacing w:after="0"/>
              <w:rPr>
                <w:sz w:val="10"/>
                <w:szCs w:val="10"/>
                <w:color w:val="auto"/>
              </w:rPr>
            </w:pPr>
          </w:p>
        </w:tc>
        <w:tc>
          <w:tcPr>
            <w:tcW w:w="680" w:type="dxa"/>
            <w:vAlign w:val="bottom"/>
            <w:tcBorders>
              <w:right w:val="single" w:sz="8" w:color="9EACCA"/>
            </w:tcBorders>
            <w:vMerge w:val="continue"/>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8"/>
              </w:rPr>
              <w:t>Units</w:t>
            </w:r>
          </w:p>
        </w:tc>
        <w:tc>
          <w:tcPr>
            <w:tcW w:w="78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Options</w:t>
            </w:r>
          </w:p>
        </w:tc>
        <w:tc>
          <w:tcPr>
            <w:tcW w:w="78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Awards</w:t>
            </w:r>
          </w:p>
        </w:tc>
        <w:tc>
          <w:tcPr>
            <w:tcW w:w="760" w:type="dxa"/>
            <w:vAlign w:val="bottom"/>
            <w:tcBorders>
              <w:right w:val="single" w:sz="8" w:color="3C5896"/>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3"/>
              </w:rPr>
              <w:t>Awards</w:t>
            </w:r>
          </w:p>
        </w:tc>
        <w:tc>
          <w:tcPr>
            <w:tcW w:w="0" w:type="dxa"/>
            <w:vAlign w:val="bottom"/>
          </w:tcPr>
          <w:p>
            <w:pPr>
              <w:spacing w:after="0"/>
              <w:rPr>
                <w:sz w:val="1"/>
                <w:szCs w:val="1"/>
                <w:color w:val="auto"/>
              </w:rPr>
            </w:pPr>
          </w:p>
        </w:tc>
      </w:tr>
      <w:tr>
        <w:trPr>
          <w:trHeight w:val="189"/>
        </w:trPr>
        <w:tc>
          <w:tcPr>
            <w:tcW w:w="60" w:type="dxa"/>
            <w:vAlign w:val="bottom"/>
            <w:tcBorders>
              <w:left w:val="single" w:sz="8" w:color="9EACCA"/>
            </w:tcBorders>
            <w:shd w:val="clear" w:color="auto" w:fill="3C5896"/>
          </w:tcPr>
          <w:p>
            <w:pPr>
              <w:spacing w:after="0"/>
              <w:rPr>
                <w:sz w:val="16"/>
                <w:szCs w:val="16"/>
                <w:color w:val="auto"/>
              </w:rPr>
            </w:pPr>
          </w:p>
        </w:tc>
        <w:tc>
          <w:tcPr>
            <w:tcW w:w="780" w:type="dxa"/>
            <w:vAlign w:val="bottom"/>
            <w:tcBorders>
              <w:right w:val="single" w:sz="8" w:color="9EACCA"/>
            </w:tcBorders>
            <w:shd w:val="clear" w:color="auto" w:fill="3C5896"/>
          </w:tcPr>
          <w:p>
            <w:pPr>
              <w:jc w:val="right"/>
              <w:ind w:right="210"/>
              <w:spacing w:after="0"/>
              <w:rPr>
                <w:sz w:val="20"/>
                <w:szCs w:val="20"/>
                <w:color w:val="auto"/>
              </w:rPr>
            </w:pPr>
            <w:r>
              <w:rPr>
                <w:rFonts w:ascii="Arial" w:cs="Arial" w:eastAsia="Arial" w:hAnsi="Arial"/>
                <w:sz w:val="13"/>
                <w:szCs w:val="13"/>
                <w:b w:val="1"/>
                <w:bCs w:val="1"/>
                <w:color w:val="FFFFFF"/>
              </w:rPr>
              <w:t>Date</w:t>
            </w:r>
          </w:p>
        </w:tc>
        <w:tc>
          <w:tcPr>
            <w:tcW w:w="700" w:type="dxa"/>
            <w:vAlign w:val="bottom"/>
            <w:tcBorders>
              <w:right w:val="single" w:sz="8" w:color="9EACCA"/>
            </w:tcBorders>
            <w:gridSpan w:val="2"/>
            <w:shd w:val="clear" w:color="auto" w:fill="3C5896"/>
          </w:tcPr>
          <w:p>
            <w:pPr>
              <w:jc w:val="right"/>
              <w:ind w:right="222"/>
              <w:spacing w:after="0"/>
              <w:rPr>
                <w:sz w:val="20"/>
                <w:szCs w:val="20"/>
                <w:color w:val="auto"/>
              </w:rPr>
            </w:pPr>
            <w:r>
              <w:rPr>
                <w:rFonts w:ascii="Arial" w:cs="Arial" w:eastAsia="Arial" w:hAnsi="Arial"/>
                <w:sz w:val="13"/>
                <w:szCs w:val="13"/>
                <w:b w:val="1"/>
                <w:bCs w:val="1"/>
                <w:color w:val="FFFFFF"/>
              </w:rPr>
              <w:t>($)</w:t>
            </w:r>
          </w:p>
        </w:tc>
        <w:tc>
          <w:tcPr>
            <w:tcW w:w="60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c>
          <w:tcPr>
            <w:tcW w:w="740" w:type="dxa"/>
            <w:vAlign w:val="bottom"/>
            <w:tcBorders>
              <w:right w:val="single" w:sz="8" w:color="9EACCA"/>
            </w:tcBorders>
            <w:gridSpan w:val="2"/>
            <w:shd w:val="clear" w:color="auto" w:fill="3C5896"/>
          </w:tcPr>
          <w:p>
            <w:pPr>
              <w:jc w:val="right"/>
              <w:ind w:right="237"/>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right w:val="single" w:sz="8" w:color="9EACCA"/>
            </w:tcBorders>
            <w:gridSpan w:val="2"/>
            <w:shd w:val="clear" w:color="auto" w:fill="3C5896"/>
          </w:tcPr>
          <w:p>
            <w:pPr>
              <w:jc w:val="right"/>
              <w:ind w:right="216"/>
              <w:spacing w:after="0"/>
              <w:rPr>
                <w:sz w:val="20"/>
                <w:szCs w:val="20"/>
                <w:color w:val="auto"/>
              </w:rPr>
            </w:pPr>
            <w:r>
              <w:rPr>
                <w:rFonts w:ascii="Arial" w:cs="Arial" w:eastAsia="Arial" w:hAnsi="Arial"/>
                <w:sz w:val="13"/>
                <w:szCs w:val="13"/>
                <w:b w:val="1"/>
                <w:bCs w:val="1"/>
                <w:color w:val="FFFFFF"/>
              </w:rPr>
              <w:t>(#)</w:t>
            </w:r>
          </w:p>
        </w:tc>
        <w:tc>
          <w:tcPr>
            <w:tcW w:w="520" w:type="dxa"/>
            <w:vAlign w:val="bottom"/>
            <w:tcBorders>
              <w:right w:val="single" w:sz="8" w:color="9EACCA"/>
            </w:tcBorders>
            <w:gridSpan w:val="2"/>
            <w:shd w:val="clear" w:color="auto" w:fill="3C5896"/>
          </w:tcPr>
          <w:p>
            <w:pPr>
              <w:jc w:val="right"/>
              <w:ind w:right="131"/>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right w:val="single" w:sz="8" w:color="9EACCA"/>
            </w:tcBorders>
            <w:shd w:val="clear" w:color="auto" w:fill="3C5896"/>
          </w:tcPr>
          <w:p>
            <w:pPr>
              <w:jc w:val="right"/>
              <w:ind w:right="210"/>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(3)</w:t>
            </w:r>
          </w:p>
        </w:tc>
        <w:tc>
          <w:tcPr>
            <w:tcW w:w="78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(4)</w:t>
            </w:r>
          </w:p>
        </w:tc>
        <w:tc>
          <w:tcPr>
            <w:tcW w:w="7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($/Sh)</w:t>
            </w:r>
          </w:p>
        </w:tc>
        <w:tc>
          <w:tcPr>
            <w:tcW w:w="7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(5)</w:t>
            </w:r>
          </w:p>
        </w:tc>
        <w:tc>
          <w:tcPr>
            <w:tcW w:w="0" w:type="dxa"/>
            <w:vAlign w:val="bottom"/>
          </w:tcPr>
          <w:p>
            <w:pPr>
              <w:spacing w:after="0"/>
              <w:rPr>
                <w:sz w:val="1"/>
                <w:szCs w:val="1"/>
                <w:color w:val="auto"/>
              </w:rPr>
            </w:pPr>
          </w:p>
        </w:tc>
      </w:tr>
      <w:tr>
        <w:trPr>
          <w:trHeight w:val="204"/>
        </w:trPr>
        <w:tc>
          <w:tcPr>
            <w:tcW w:w="60" w:type="dxa"/>
            <w:vAlign w:val="bottom"/>
            <w:tcBorders>
              <w:lef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00" w:type="dxa"/>
            <w:vAlign w:val="bottom"/>
            <w:tcBorders>
              <w:right w:val="single" w:sz="8" w:color="9EACCA"/>
            </w:tcBorders>
            <w:gridSpan w:val="2"/>
          </w:tcPr>
          <w:p>
            <w:pPr>
              <w:jc w:val="right"/>
              <w:ind w:right="42"/>
              <w:spacing w:after="0"/>
              <w:rPr>
                <w:sz w:val="20"/>
                <w:szCs w:val="20"/>
                <w:color w:val="auto"/>
              </w:rPr>
            </w:pPr>
            <w:r>
              <w:rPr>
                <w:rFonts w:ascii="Arial" w:cs="Arial" w:eastAsia="Arial" w:hAnsi="Arial"/>
                <w:sz w:val="14"/>
                <w:szCs w:val="14"/>
                <w:color w:val="auto"/>
              </w:rPr>
              <w:t>459,606</w:t>
            </w:r>
          </w:p>
        </w:tc>
        <w:tc>
          <w:tcPr>
            <w:tcW w:w="60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919,211</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1,838,422</w:t>
            </w:r>
          </w:p>
        </w:tc>
        <w:tc>
          <w:tcPr>
            <w:tcW w:w="120" w:type="dxa"/>
            <w:vAlign w:val="bottom"/>
          </w:tcPr>
          <w:p>
            <w:pPr>
              <w:spacing w:after="0"/>
              <w:rPr>
                <w:sz w:val="17"/>
                <w:szCs w:val="17"/>
                <w:color w:val="auto"/>
              </w:rPr>
            </w:pPr>
          </w:p>
        </w:tc>
        <w:tc>
          <w:tcPr>
            <w:tcW w:w="58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3/1/2019</w:t>
            </w:r>
          </w:p>
        </w:tc>
        <w:tc>
          <w:tcPr>
            <w:tcW w:w="80" w:type="dxa"/>
            <w:vAlign w:val="bottom"/>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15,985</w:t>
            </w:r>
          </w:p>
        </w:tc>
        <w:tc>
          <w:tcPr>
            <w:tcW w:w="52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31,970</w:t>
            </w:r>
          </w:p>
        </w:tc>
        <w:tc>
          <w:tcPr>
            <w:tcW w:w="680" w:type="dxa"/>
            <w:vAlign w:val="bottom"/>
            <w:tcBorders>
              <w:right w:val="single" w:sz="8" w:color="9EACCA"/>
            </w:tcBorders>
          </w:tcPr>
          <w:p>
            <w:pPr>
              <w:jc w:val="right"/>
              <w:ind w:right="50"/>
              <w:spacing w:after="0"/>
              <w:rPr>
                <w:sz w:val="20"/>
                <w:szCs w:val="20"/>
                <w:color w:val="auto"/>
              </w:rPr>
            </w:pPr>
            <w:r>
              <w:rPr>
                <w:rFonts w:ascii="Arial" w:cs="Arial" w:eastAsia="Arial" w:hAnsi="Arial"/>
                <w:sz w:val="14"/>
                <w:szCs w:val="14"/>
                <w:color w:val="auto"/>
              </w:rPr>
              <w:t>63,940</w:t>
            </w:r>
          </w:p>
        </w:tc>
        <w:tc>
          <w:tcPr>
            <w:tcW w:w="740" w:type="dxa"/>
            <w:vAlign w:val="bottom"/>
            <w:tcBorders>
              <w:right w:val="single" w:sz="8" w:color="9EACCA"/>
            </w:tcBorders>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1,125,024</w:t>
            </w:r>
          </w:p>
        </w:tc>
        <w:tc>
          <w:tcPr>
            <w:tcW w:w="0" w:type="dxa"/>
            <w:vAlign w:val="bottom"/>
          </w:tcPr>
          <w:p>
            <w:pPr>
              <w:spacing w:after="0"/>
              <w:rPr>
                <w:sz w:val="1"/>
                <w:szCs w:val="1"/>
                <w:color w:val="auto"/>
              </w:rPr>
            </w:pPr>
          </w:p>
        </w:tc>
      </w:tr>
      <w:tr>
        <w:trPr>
          <w:trHeight w:val="230"/>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3/1/2019</w:t>
            </w:r>
          </w:p>
        </w:tc>
        <w:tc>
          <w:tcPr>
            <w:tcW w:w="80" w:type="dxa"/>
            <w:vAlign w:val="bottom"/>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spacing w:after="0"/>
              <w:rPr>
                <w:sz w:val="19"/>
                <w:szCs w:val="19"/>
                <w:color w:val="auto"/>
              </w:rPr>
            </w:pPr>
          </w:p>
        </w:tc>
        <w:tc>
          <w:tcPr>
            <w:tcW w:w="780" w:type="dxa"/>
            <w:vAlign w:val="bottom"/>
            <w:tcBorders>
              <w:right w:val="single" w:sz="8" w:color="9EACCA"/>
            </w:tcBorders>
          </w:tcPr>
          <w:p>
            <w:pPr>
              <w:jc w:val="right"/>
              <w:ind w:right="136"/>
              <w:spacing w:after="0"/>
              <w:rPr>
                <w:sz w:val="20"/>
                <w:szCs w:val="20"/>
                <w:color w:val="auto"/>
              </w:rPr>
            </w:pPr>
            <w:r>
              <w:rPr>
                <w:rFonts w:ascii="Arial" w:cs="Arial" w:eastAsia="Arial" w:hAnsi="Arial"/>
                <w:sz w:val="14"/>
                <w:szCs w:val="14"/>
                <w:color w:val="auto"/>
              </w:rPr>
              <w:t>79,114</w:t>
            </w:r>
          </w:p>
        </w:tc>
        <w:tc>
          <w:tcPr>
            <w:tcW w:w="7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35.19</w:t>
            </w: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1,125,001</w:t>
            </w:r>
          </w:p>
        </w:tc>
        <w:tc>
          <w:tcPr>
            <w:tcW w:w="0" w:type="dxa"/>
            <w:vAlign w:val="bottom"/>
          </w:tcPr>
          <w:p>
            <w:pPr>
              <w:spacing w:after="0"/>
              <w:rPr>
                <w:sz w:val="1"/>
                <w:szCs w:val="1"/>
                <w:color w:val="auto"/>
              </w:rPr>
            </w:pPr>
          </w:p>
        </w:tc>
      </w:tr>
      <w:tr>
        <w:trPr>
          <w:trHeight w:val="26"/>
        </w:trPr>
        <w:tc>
          <w:tcPr>
            <w:tcW w:w="60" w:type="dxa"/>
            <w:vAlign w:val="bottom"/>
            <w:tcBorders>
              <w:lef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9EACCA"/>
            </w:tcBorders>
          </w:tcPr>
          <w:p>
            <w:pPr>
              <w:spacing w:after="0"/>
              <w:rPr>
                <w:sz w:val="2"/>
                <w:szCs w:val="2"/>
                <w:color w:val="auto"/>
              </w:rPr>
            </w:pPr>
          </w:p>
        </w:tc>
        <w:tc>
          <w:tcPr>
            <w:tcW w:w="68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6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Borders>
              <w:left w:val="single" w:sz="8" w:color="9EACCA"/>
            </w:tcBorders>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00" w:type="dxa"/>
            <w:vAlign w:val="bottom"/>
            <w:tcBorders>
              <w:right w:val="single" w:sz="8" w:color="9EACCA"/>
            </w:tcBorders>
            <w:gridSpan w:val="2"/>
            <w:shd w:val="clear" w:color="auto" w:fill="CCCCCC"/>
          </w:tcPr>
          <w:p>
            <w:pPr>
              <w:jc w:val="right"/>
              <w:ind w:right="42"/>
              <w:spacing w:after="0"/>
              <w:rPr>
                <w:sz w:val="20"/>
                <w:szCs w:val="20"/>
                <w:color w:val="auto"/>
              </w:rPr>
            </w:pPr>
            <w:r>
              <w:rPr>
                <w:rFonts w:ascii="Arial" w:cs="Arial" w:eastAsia="Arial" w:hAnsi="Arial"/>
                <w:sz w:val="14"/>
                <w:szCs w:val="14"/>
                <w:color w:val="auto"/>
              </w:rPr>
              <w:t>133,270</w:t>
            </w:r>
          </w:p>
        </w:tc>
        <w:tc>
          <w:tcPr>
            <w:tcW w:w="60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highlight w:val="lightGray"/>
              </w:rPr>
              <w:t>266,539</w:t>
            </w:r>
          </w:p>
        </w:tc>
        <w:tc>
          <w:tcPr>
            <w:tcW w:w="74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rPr>
              <w:t>533,078</w:t>
            </w:r>
          </w:p>
        </w:tc>
        <w:tc>
          <w:tcPr>
            <w:tcW w:w="120" w:type="dxa"/>
            <w:vAlign w:val="bottom"/>
            <w:shd w:val="clear" w:color="auto" w:fill="CCCCCC"/>
          </w:tcPr>
          <w:p>
            <w:pPr>
              <w:spacing w:after="0"/>
              <w:rPr>
                <w:sz w:val="17"/>
                <w:szCs w:val="17"/>
                <w:color w:val="auto"/>
              </w:rPr>
            </w:pPr>
          </w:p>
        </w:tc>
        <w:tc>
          <w:tcPr>
            <w:tcW w:w="58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480" w:type="dxa"/>
            <w:vAlign w:val="bottom"/>
            <w:tcBorders>
              <w:right w:val="single" w:sz="8" w:color="9EACCA"/>
            </w:tcBorders>
            <w:shd w:val="clear" w:color="auto" w:fill="CCCCCC"/>
          </w:tcPr>
          <w:p>
            <w:pPr>
              <w:spacing w:after="0"/>
              <w:rPr>
                <w:sz w:val="17"/>
                <w:szCs w:val="17"/>
                <w:color w:val="auto"/>
              </w:rPr>
            </w:pPr>
          </w:p>
        </w:tc>
        <w:tc>
          <w:tcPr>
            <w:tcW w:w="680" w:type="dxa"/>
            <w:vAlign w:val="bottom"/>
            <w:tcBorders>
              <w:right w:val="single" w:sz="8" w:color="9EACCA"/>
            </w:tcBorders>
            <w:shd w:val="clear" w:color="auto" w:fill="CCCCCC"/>
          </w:tcPr>
          <w:p>
            <w:pPr>
              <w:spacing w:after="0"/>
              <w:rPr>
                <w:sz w:val="17"/>
                <w:szCs w:val="17"/>
                <w:color w:val="auto"/>
              </w:rPr>
            </w:pPr>
          </w:p>
        </w:tc>
        <w:tc>
          <w:tcPr>
            <w:tcW w:w="740" w:type="dxa"/>
            <w:vAlign w:val="bottom"/>
            <w:tcBorders>
              <w:right w:val="single" w:sz="8" w:color="9EACCA"/>
            </w:tcBorders>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3C5896"/>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0" w:type="dxa"/>
            <w:vAlign w:val="bottom"/>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5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80" w:type="dxa"/>
            <w:vAlign w:val="bottom"/>
            <w:tcBorders>
              <w:right w:val="single" w:sz="8" w:color="9EACCA"/>
            </w:tcBorders>
            <w:shd w:val="clear" w:color="auto" w:fill="CCCCCC"/>
          </w:tcPr>
          <w:p>
            <w:pPr>
              <w:jc w:val="right"/>
              <w:ind w:right="76"/>
              <w:spacing w:after="0"/>
              <w:rPr>
                <w:sz w:val="20"/>
                <w:szCs w:val="20"/>
                <w:color w:val="auto"/>
              </w:rPr>
            </w:pPr>
            <w:r>
              <w:rPr>
                <w:rFonts w:ascii="Arial" w:cs="Arial" w:eastAsia="Arial" w:hAnsi="Arial"/>
                <w:sz w:val="14"/>
                <w:szCs w:val="14"/>
                <w:color w:val="auto"/>
              </w:rPr>
              <w:t>4,263</w:t>
            </w:r>
          </w:p>
        </w:tc>
        <w:tc>
          <w:tcPr>
            <w:tcW w:w="40" w:type="dxa"/>
            <w:vAlign w:val="bottom"/>
            <w:shd w:val="clear" w:color="auto" w:fill="CCCCCC"/>
          </w:tcPr>
          <w:p>
            <w:pPr>
              <w:spacing w:after="0"/>
              <w:rPr>
                <w:sz w:val="18"/>
                <w:szCs w:val="18"/>
                <w:color w:val="auto"/>
              </w:rPr>
            </w:pPr>
          </w:p>
        </w:tc>
        <w:tc>
          <w:tcPr>
            <w:tcW w:w="4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8,526</w:t>
            </w:r>
          </w:p>
        </w:tc>
        <w:tc>
          <w:tcPr>
            <w:tcW w:w="680" w:type="dxa"/>
            <w:vAlign w:val="bottom"/>
            <w:tcBorders>
              <w:right w:val="single" w:sz="8" w:color="9EACCA"/>
            </w:tcBorders>
            <w:shd w:val="clear" w:color="auto" w:fill="CCCCCC"/>
          </w:tcPr>
          <w:p>
            <w:pPr>
              <w:jc w:val="right"/>
              <w:ind w:right="50"/>
              <w:spacing w:after="0"/>
              <w:rPr>
                <w:sz w:val="20"/>
                <w:szCs w:val="20"/>
                <w:color w:val="auto"/>
              </w:rPr>
            </w:pPr>
            <w:r>
              <w:rPr>
                <w:rFonts w:ascii="Arial" w:cs="Arial" w:eastAsia="Arial" w:hAnsi="Arial"/>
                <w:sz w:val="14"/>
                <w:szCs w:val="14"/>
                <w:color w:val="auto"/>
              </w:rPr>
              <w:t>17,052</w:t>
            </w:r>
          </w:p>
        </w:tc>
        <w:tc>
          <w:tcPr>
            <w:tcW w:w="740" w:type="dxa"/>
            <w:vAlign w:val="bottom"/>
            <w:tcBorders>
              <w:righ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3C5896"/>
            </w:tcBorders>
            <w:shd w:val="clear" w:color="auto" w:fill="CCCCCC"/>
          </w:tcPr>
          <w:p>
            <w:pPr>
              <w:jc w:val="right"/>
              <w:ind w:right="13"/>
              <w:spacing w:after="0"/>
              <w:rPr>
                <w:sz w:val="20"/>
                <w:szCs w:val="20"/>
                <w:color w:val="auto"/>
              </w:rPr>
            </w:pPr>
            <w:r>
              <w:rPr>
                <w:rFonts w:ascii="Arial" w:cs="Arial" w:eastAsia="Arial" w:hAnsi="Arial"/>
                <w:sz w:val="14"/>
                <w:szCs w:val="14"/>
                <w:color w:val="auto"/>
              </w:rPr>
              <w:t>300,030</w:t>
            </w:r>
          </w:p>
        </w:tc>
        <w:tc>
          <w:tcPr>
            <w:tcW w:w="0" w:type="dxa"/>
            <w:vAlign w:val="bottom"/>
          </w:tcPr>
          <w:p>
            <w:pPr>
              <w:spacing w:after="0"/>
              <w:rPr>
                <w:sz w:val="1"/>
                <w:szCs w:val="1"/>
                <w:color w:val="auto"/>
              </w:rPr>
            </w:pPr>
          </w:p>
        </w:tc>
      </w:tr>
      <w:tr>
        <w:trPr>
          <w:trHeight w:val="230"/>
        </w:trPr>
        <w:tc>
          <w:tcPr>
            <w:tcW w:w="60" w:type="dxa"/>
            <w:vAlign w:val="bottom"/>
            <w:tcBorders>
              <w:left w:val="single" w:sz="8" w:color="9EACCA"/>
            </w:tcBorders>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0" w:type="dxa"/>
            <w:vAlign w:val="bottom"/>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5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58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480" w:type="dxa"/>
            <w:vAlign w:val="bottom"/>
            <w:tcBorders>
              <w:right w:val="single" w:sz="8" w:color="9EACCA"/>
            </w:tcBorders>
            <w:shd w:val="clear" w:color="auto" w:fill="CCCCCC"/>
          </w:tcPr>
          <w:p>
            <w:pPr>
              <w:spacing w:after="0"/>
              <w:rPr>
                <w:sz w:val="19"/>
                <w:szCs w:val="19"/>
                <w:color w:val="auto"/>
              </w:rPr>
            </w:pPr>
          </w:p>
        </w:tc>
        <w:tc>
          <w:tcPr>
            <w:tcW w:w="680" w:type="dxa"/>
            <w:vAlign w:val="bottom"/>
            <w:tcBorders>
              <w:right w:val="single" w:sz="8" w:color="9EACCA"/>
            </w:tcBorders>
            <w:shd w:val="clear" w:color="auto" w:fill="CCCCCC"/>
          </w:tcPr>
          <w:p>
            <w:pPr>
              <w:spacing w:after="0"/>
              <w:rPr>
                <w:sz w:val="19"/>
                <w:szCs w:val="19"/>
                <w:color w:val="auto"/>
              </w:rPr>
            </w:pPr>
          </w:p>
        </w:tc>
        <w:tc>
          <w:tcPr>
            <w:tcW w:w="740" w:type="dxa"/>
            <w:vAlign w:val="bottom"/>
            <w:tcBorders>
              <w:right w:val="single" w:sz="8" w:color="9EACCA"/>
            </w:tcBorders>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21,098</w:t>
            </w:r>
          </w:p>
        </w:tc>
        <w:tc>
          <w:tcPr>
            <w:tcW w:w="7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35.19</w:t>
            </w:r>
          </w:p>
        </w:tc>
        <w:tc>
          <w:tcPr>
            <w:tcW w:w="760" w:type="dxa"/>
            <w:vAlign w:val="bottom"/>
            <w:tcBorders>
              <w:right w:val="single" w:sz="8" w:color="3C5896"/>
            </w:tcBorders>
            <w:shd w:val="clear" w:color="auto" w:fill="CCCCCC"/>
          </w:tcPr>
          <w:p>
            <w:pPr>
              <w:jc w:val="right"/>
              <w:ind w:right="13"/>
              <w:spacing w:after="0"/>
              <w:rPr>
                <w:sz w:val="20"/>
                <w:szCs w:val="20"/>
                <w:color w:val="auto"/>
              </w:rPr>
            </w:pPr>
            <w:r>
              <w:rPr>
                <w:rFonts w:ascii="Arial" w:cs="Arial" w:eastAsia="Arial" w:hAnsi="Arial"/>
                <w:sz w:val="14"/>
                <w:szCs w:val="14"/>
                <w:color w:val="auto"/>
              </w:rPr>
              <w:t>300,014</w:t>
            </w:r>
          </w:p>
        </w:tc>
        <w:tc>
          <w:tcPr>
            <w:tcW w:w="0" w:type="dxa"/>
            <w:vAlign w:val="bottom"/>
          </w:tcPr>
          <w:p>
            <w:pPr>
              <w:spacing w:after="0"/>
              <w:rPr>
                <w:sz w:val="1"/>
                <w:szCs w:val="1"/>
                <w:color w:val="auto"/>
              </w:rPr>
            </w:pPr>
          </w:p>
        </w:tc>
      </w:tr>
      <w:tr>
        <w:trPr>
          <w:trHeight w:val="235"/>
        </w:trPr>
        <w:tc>
          <w:tcPr>
            <w:tcW w:w="60" w:type="dxa"/>
            <w:vAlign w:val="bottom"/>
            <w:tcBorders>
              <w:left w:val="single" w:sz="8" w:color="9EACCA"/>
              <w:bottom w:val="single" w:sz="8" w:color="CCCCCC"/>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11/18/2019</w:t>
            </w:r>
          </w:p>
        </w:tc>
        <w:tc>
          <w:tcPr>
            <w:tcW w:w="80" w:type="dxa"/>
            <w:vAlign w:val="bottom"/>
            <w:tcBorders>
              <w:bottom w:val="single" w:sz="8" w:color="CCCCCC"/>
            </w:tcBorders>
            <w:shd w:val="clear" w:color="auto" w:fill="CCCCCC"/>
          </w:tcPr>
          <w:p>
            <w:pPr>
              <w:spacing w:after="0"/>
              <w:rPr>
                <w:sz w:val="20"/>
                <w:szCs w:val="20"/>
                <w:color w:val="auto"/>
              </w:rPr>
            </w:pPr>
          </w:p>
        </w:tc>
        <w:tc>
          <w:tcPr>
            <w:tcW w:w="62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56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p>
        </w:tc>
        <w:tc>
          <w:tcPr>
            <w:tcW w:w="120" w:type="dxa"/>
            <w:vAlign w:val="bottom"/>
            <w:tcBorders>
              <w:bottom w:val="single" w:sz="8" w:color="CCCCCC"/>
            </w:tcBorders>
            <w:shd w:val="clear" w:color="auto" w:fill="CCCCCC"/>
          </w:tcPr>
          <w:p>
            <w:pPr>
              <w:spacing w:after="0"/>
              <w:rPr>
                <w:sz w:val="20"/>
                <w:szCs w:val="20"/>
                <w:color w:val="auto"/>
              </w:rPr>
            </w:pPr>
          </w:p>
        </w:tc>
        <w:tc>
          <w:tcPr>
            <w:tcW w:w="58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480" w:type="dxa"/>
            <w:vAlign w:val="bottom"/>
            <w:tcBorders>
              <w:bottom w:val="single" w:sz="8" w:color="CCCCCC"/>
              <w:right w:val="single" w:sz="8" w:color="9EACCA"/>
            </w:tcBorders>
            <w:shd w:val="clear" w:color="auto" w:fill="CCCCCC"/>
          </w:tcPr>
          <w:p>
            <w:pPr>
              <w:spacing w:after="0"/>
              <w:rPr>
                <w:sz w:val="20"/>
                <w:szCs w:val="20"/>
                <w:color w:val="auto"/>
              </w:rPr>
            </w:pPr>
          </w:p>
        </w:tc>
        <w:tc>
          <w:tcPr>
            <w:tcW w:w="680" w:type="dxa"/>
            <w:vAlign w:val="bottom"/>
            <w:tcBorders>
              <w:bottom w:val="single" w:sz="8" w:color="CCCCCC"/>
              <w:right w:val="single" w:sz="8" w:color="9EACCA"/>
            </w:tcBorders>
            <w:shd w:val="clear" w:color="auto" w:fill="CCCCCC"/>
          </w:tcPr>
          <w:p>
            <w:pPr>
              <w:spacing w:after="0"/>
              <w:rPr>
                <w:sz w:val="20"/>
                <w:szCs w:val="20"/>
                <w:color w:val="auto"/>
              </w:rPr>
            </w:pPr>
          </w:p>
        </w:tc>
        <w:tc>
          <w:tcPr>
            <w:tcW w:w="740" w:type="dxa"/>
            <w:vAlign w:val="bottom"/>
            <w:tcBorders>
              <w:bottom w:val="single" w:sz="8" w:color="CCCCCC"/>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10,977</w:t>
            </w:r>
          </w:p>
        </w:tc>
        <w:tc>
          <w:tcPr>
            <w:tcW w:w="780" w:type="dxa"/>
            <w:vAlign w:val="bottom"/>
            <w:tcBorders>
              <w:bottom w:val="single" w:sz="8" w:color="CCCCCC"/>
              <w:right w:val="single" w:sz="8" w:color="9EACCA"/>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3C5896"/>
            </w:tcBorders>
            <w:shd w:val="clear" w:color="auto" w:fill="CCCCCC"/>
          </w:tcPr>
          <w:p>
            <w:pPr>
              <w:jc w:val="right"/>
              <w:ind w:right="13"/>
              <w:spacing w:after="0"/>
              <w:rPr>
                <w:sz w:val="20"/>
                <w:szCs w:val="20"/>
                <w:color w:val="auto"/>
              </w:rPr>
            </w:pPr>
            <w:r>
              <w:rPr>
                <w:rFonts w:ascii="Arial" w:cs="Arial" w:eastAsia="Arial" w:hAnsi="Arial"/>
                <w:sz w:val="14"/>
                <w:szCs w:val="14"/>
                <w:color w:val="auto"/>
              </w:rPr>
              <w:t>300,001</w:t>
            </w:r>
          </w:p>
        </w:tc>
        <w:tc>
          <w:tcPr>
            <w:tcW w:w="0" w:type="dxa"/>
            <w:vAlign w:val="bottom"/>
          </w:tcPr>
          <w:p>
            <w:pPr>
              <w:spacing w:after="0"/>
              <w:rPr>
                <w:sz w:val="1"/>
                <w:szCs w:val="1"/>
                <w:color w:val="auto"/>
              </w:rPr>
            </w:pPr>
          </w:p>
        </w:tc>
      </w:tr>
      <w:tr>
        <w:trPr>
          <w:trHeight w:val="204"/>
        </w:trPr>
        <w:tc>
          <w:tcPr>
            <w:tcW w:w="60" w:type="dxa"/>
            <w:vAlign w:val="bottom"/>
            <w:tcBorders>
              <w:lef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00" w:type="dxa"/>
            <w:vAlign w:val="bottom"/>
            <w:tcBorders>
              <w:right w:val="single" w:sz="8" w:color="9EACCA"/>
            </w:tcBorders>
            <w:gridSpan w:val="2"/>
          </w:tcPr>
          <w:p>
            <w:pPr>
              <w:jc w:val="right"/>
              <w:ind w:right="42"/>
              <w:spacing w:after="0"/>
              <w:rPr>
                <w:sz w:val="20"/>
                <w:szCs w:val="20"/>
                <w:color w:val="auto"/>
              </w:rPr>
            </w:pPr>
            <w:r>
              <w:rPr>
                <w:rFonts w:ascii="Arial" w:cs="Arial" w:eastAsia="Arial" w:hAnsi="Arial"/>
                <w:sz w:val="14"/>
                <w:szCs w:val="14"/>
                <w:color w:val="auto"/>
              </w:rPr>
              <w:t>74,729</w:t>
            </w:r>
          </w:p>
        </w:tc>
        <w:tc>
          <w:tcPr>
            <w:tcW w:w="60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149,458</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298,916</w:t>
            </w:r>
          </w:p>
        </w:tc>
        <w:tc>
          <w:tcPr>
            <w:tcW w:w="120" w:type="dxa"/>
            <w:vAlign w:val="bottom"/>
          </w:tcPr>
          <w:p>
            <w:pPr>
              <w:spacing w:after="0"/>
              <w:rPr>
                <w:sz w:val="17"/>
                <w:szCs w:val="17"/>
                <w:color w:val="auto"/>
              </w:rPr>
            </w:pPr>
          </w:p>
        </w:tc>
        <w:tc>
          <w:tcPr>
            <w:tcW w:w="58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3/1/2019</w:t>
            </w:r>
          </w:p>
        </w:tc>
        <w:tc>
          <w:tcPr>
            <w:tcW w:w="80" w:type="dxa"/>
            <w:vAlign w:val="bottom"/>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1,777</w:t>
            </w:r>
          </w:p>
        </w:tc>
        <w:tc>
          <w:tcPr>
            <w:tcW w:w="52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3,553</w:t>
            </w:r>
          </w:p>
        </w:tc>
        <w:tc>
          <w:tcPr>
            <w:tcW w:w="680" w:type="dxa"/>
            <w:vAlign w:val="bottom"/>
            <w:tcBorders>
              <w:right w:val="single" w:sz="8" w:color="9EACCA"/>
            </w:tcBorders>
          </w:tcPr>
          <w:p>
            <w:pPr>
              <w:jc w:val="right"/>
              <w:ind w:right="50"/>
              <w:spacing w:after="0"/>
              <w:rPr>
                <w:sz w:val="20"/>
                <w:szCs w:val="20"/>
                <w:color w:val="auto"/>
              </w:rPr>
            </w:pPr>
            <w:r>
              <w:rPr>
                <w:rFonts w:ascii="Arial" w:cs="Arial" w:eastAsia="Arial" w:hAnsi="Arial"/>
                <w:sz w:val="14"/>
                <w:szCs w:val="14"/>
                <w:color w:val="auto"/>
              </w:rPr>
              <w:t>7,106</w:t>
            </w:r>
          </w:p>
        </w:tc>
        <w:tc>
          <w:tcPr>
            <w:tcW w:w="740" w:type="dxa"/>
            <w:vAlign w:val="bottom"/>
            <w:tcBorders>
              <w:right w:val="single" w:sz="8" w:color="9EACCA"/>
            </w:tcBorders>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125,030</w:t>
            </w:r>
          </w:p>
        </w:tc>
        <w:tc>
          <w:tcPr>
            <w:tcW w:w="0" w:type="dxa"/>
            <w:vAlign w:val="bottom"/>
          </w:tcPr>
          <w:p>
            <w:pPr>
              <w:spacing w:after="0"/>
              <w:rPr>
                <w:sz w:val="1"/>
                <w:szCs w:val="1"/>
                <w:color w:val="auto"/>
              </w:rPr>
            </w:pPr>
          </w:p>
        </w:tc>
      </w:tr>
      <w:tr>
        <w:trPr>
          <w:trHeight w:val="229"/>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3/1/2019</w:t>
            </w:r>
          </w:p>
        </w:tc>
        <w:tc>
          <w:tcPr>
            <w:tcW w:w="80" w:type="dxa"/>
            <w:vAlign w:val="bottom"/>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spacing w:after="0"/>
              <w:rPr>
                <w:sz w:val="19"/>
                <w:szCs w:val="19"/>
                <w:color w:val="auto"/>
              </w:rPr>
            </w:pPr>
          </w:p>
        </w:tc>
        <w:tc>
          <w:tcPr>
            <w:tcW w:w="780" w:type="dxa"/>
            <w:vAlign w:val="bottom"/>
            <w:tcBorders>
              <w:right w:val="single" w:sz="8" w:color="9EACCA"/>
            </w:tcBorders>
          </w:tcPr>
          <w:p>
            <w:pPr>
              <w:jc w:val="right"/>
              <w:ind w:right="136"/>
              <w:spacing w:after="0"/>
              <w:rPr>
                <w:sz w:val="20"/>
                <w:szCs w:val="20"/>
                <w:color w:val="auto"/>
              </w:rPr>
            </w:pPr>
            <w:r>
              <w:rPr>
                <w:rFonts w:ascii="Arial" w:cs="Arial" w:eastAsia="Arial" w:hAnsi="Arial"/>
                <w:sz w:val="14"/>
                <w:szCs w:val="14"/>
                <w:color w:val="auto"/>
              </w:rPr>
              <w:t>8,791</w:t>
            </w:r>
          </w:p>
        </w:tc>
        <w:tc>
          <w:tcPr>
            <w:tcW w:w="7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35.19</w:t>
            </w: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125,008</w:t>
            </w:r>
          </w:p>
        </w:tc>
        <w:tc>
          <w:tcPr>
            <w:tcW w:w="0" w:type="dxa"/>
            <w:vAlign w:val="bottom"/>
          </w:tcPr>
          <w:p>
            <w:pPr>
              <w:spacing w:after="0"/>
              <w:rPr>
                <w:sz w:val="1"/>
                <w:szCs w:val="1"/>
                <w:color w:val="auto"/>
              </w:rPr>
            </w:pPr>
          </w:p>
        </w:tc>
      </w:tr>
      <w:tr>
        <w:trPr>
          <w:trHeight w:val="229"/>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11/18/2019</w:t>
            </w:r>
          </w:p>
        </w:tc>
        <w:tc>
          <w:tcPr>
            <w:tcW w:w="80" w:type="dxa"/>
            <w:vAlign w:val="bottom"/>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10,977</w:t>
            </w:r>
          </w:p>
        </w:tc>
        <w:tc>
          <w:tcPr>
            <w:tcW w:w="780" w:type="dxa"/>
            <w:vAlign w:val="bottom"/>
            <w:tcBorders>
              <w:right w:val="single" w:sz="8" w:color="9EACCA"/>
            </w:tcBorders>
          </w:tcPr>
          <w:p>
            <w:pPr>
              <w:spacing w:after="0"/>
              <w:rPr>
                <w:sz w:val="19"/>
                <w:szCs w:val="19"/>
                <w:color w:val="auto"/>
              </w:rPr>
            </w:pPr>
          </w:p>
        </w:tc>
        <w:tc>
          <w:tcPr>
            <w:tcW w:w="780" w:type="dxa"/>
            <w:vAlign w:val="bottom"/>
            <w:tcBorders>
              <w:right w:val="single" w:sz="8" w:color="9EACCA"/>
            </w:tcBorders>
          </w:tcPr>
          <w:p>
            <w:pPr>
              <w:spacing w:after="0"/>
              <w:rPr>
                <w:sz w:val="19"/>
                <w:szCs w:val="19"/>
                <w:color w:val="auto"/>
              </w:rPr>
            </w:pP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300,001</w:t>
            </w:r>
          </w:p>
        </w:tc>
        <w:tc>
          <w:tcPr>
            <w:tcW w:w="0" w:type="dxa"/>
            <w:vAlign w:val="bottom"/>
          </w:tcPr>
          <w:p>
            <w:pPr>
              <w:spacing w:after="0"/>
              <w:rPr>
                <w:sz w:val="1"/>
                <w:szCs w:val="1"/>
                <w:color w:val="auto"/>
              </w:rPr>
            </w:pPr>
          </w:p>
        </w:tc>
      </w:tr>
      <w:tr>
        <w:trPr>
          <w:trHeight w:val="26"/>
        </w:trPr>
        <w:tc>
          <w:tcPr>
            <w:tcW w:w="60" w:type="dxa"/>
            <w:vAlign w:val="bottom"/>
            <w:tcBorders>
              <w:lef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00" w:type="dxa"/>
            <w:vAlign w:val="bottom"/>
            <w:tcBorders>
              <w:right w:val="single" w:sz="8" w:color="9EACCA"/>
            </w:tcBorders>
            <w:gridSpan w:val="2"/>
          </w:tcPr>
          <w:p>
            <w:pPr>
              <w:spacing w:after="0"/>
              <w:rPr>
                <w:sz w:val="2"/>
                <w:szCs w:val="2"/>
                <w:color w:val="auto"/>
              </w:rPr>
            </w:pPr>
          </w:p>
        </w:tc>
        <w:tc>
          <w:tcPr>
            <w:tcW w:w="600" w:type="dxa"/>
            <w:vAlign w:val="bottom"/>
            <w:tcBorders>
              <w:right w:val="single" w:sz="8" w:color="9EACCA"/>
            </w:tcBorders>
            <w:gridSpan w:val="2"/>
          </w:tcPr>
          <w:p>
            <w:pPr>
              <w:spacing w:after="0"/>
              <w:rPr>
                <w:sz w:val="2"/>
                <w:szCs w:val="2"/>
                <w:color w:val="auto"/>
              </w:rPr>
            </w:pPr>
          </w:p>
        </w:tc>
        <w:tc>
          <w:tcPr>
            <w:tcW w:w="740" w:type="dxa"/>
            <w:vAlign w:val="bottom"/>
            <w:tcBorders>
              <w:right w:val="single" w:sz="8" w:color="9EACCA"/>
            </w:tcBorders>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9EACCA"/>
            </w:tcBorders>
          </w:tcPr>
          <w:p>
            <w:pPr>
              <w:spacing w:after="0"/>
              <w:rPr>
                <w:sz w:val="2"/>
                <w:szCs w:val="2"/>
                <w:color w:val="auto"/>
              </w:rPr>
            </w:pPr>
          </w:p>
        </w:tc>
        <w:tc>
          <w:tcPr>
            <w:tcW w:w="68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6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Borders>
              <w:left w:val="single" w:sz="8" w:color="9EACCA"/>
            </w:tcBorders>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00" w:type="dxa"/>
            <w:vAlign w:val="bottom"/>
            <w:tcBorders>
              <w:right w:val="single" w:sz="8" w:color="9EACCA"/>
            </w:tcBorders>
            <w:gridSpan w:val="2"/>
            <w:shd w:val="clear" w:color="auto" w:fill="CCCCCC"/>
          </w:tcPr>
          <w:p>
            <w:pPr>
              <w:jc w:val="right"/>
              <w:ind w:right="42"/>
              <w:spacing w:after="0"/>
              <w:rPr>
                <w:sz w:val="20"/>
                <w:szCs w:val="20"/>
                <w:color w:val="auto"/>
              </w:rPr>
            </w:pPr>
            <w:r>
              <w:rPr>
                <w:rFonts w:ascii="Arial" w:cs="Arial" w:eastAsia="Arial" w:hAnsi="Arial"/>
                <w:sz w:val="14"/>
                <w:szCs w:val="14"/>
                <w:color w:val="auto"/>
              </w:rPr>
              <w:t>42,770</w:t>
            </w:r>
          </w:p>
        </w:tc>
        <w:tc>
          <w:tcPr>
            <w:tcW w:w="60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rPr>
              <w:t>85,539</w:t>
            </w:r>
          </w:p>
        </w:tc>
        <w:tc>
          <w:tcPr>
            <w:tcW w:w="74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rPr>
              <w:t>171,078</w:t>
            </w:r>
          </w:p>
        </w:tc>
        <w:tc>
          <w:tcPr>
            <w:tcW w:w="120" w:type="dxa"/>
            <w:vAlign w:val="bottom"/>
            <w:shd w:val="clear" w:color="auto" w:fill="CCCCCC"/>
          </w:tcPr>
          <w:p>
            <w:pPr>
              <w:spacing w:after="0"/>
              <w:rPr>
                <w:sz w:val="17"/>
                <w:szCs w:val="17"/>
                <w:color w:val="auto"/>
              </w:rPr>
            </w:pPr>
          </w:p>
        </w:tc>
        <w:tc>
          <w:tcPr>
            <w:tcW w:w="58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480" w:type="dxa"/>
            <w:vAlign w:val="bottom"/>
            <w:tcBorders>
              <w:right w:val="single" w:sz="8" w:color="9EACCA"/>
            </w:tcBorders>
            <w:shd w:val="clear" w:color="auto" w:fill="CCCCCC"/>
          </w:tcPr>
          <w:p>
            <w:pPr>
              <w:spacing w:after="0"/>
              <w:rPr>
                <w:sz w:val="17"/>
                <w:szCs w:val="17"/>
                <w:color w:val="auto"/>
              </w:rPr>
            </w:pPr>
          </w:p>
        </w:tc>
        <w:tc>
          <w:tcPr>
            <w:tcW w:w="680" w:type="dxa"/>
            <w:vAlign w:val="bottom"/>
            <w:tcBorders>
              <w:right w:val="single" w:sz="8" w:color="9EACCA"/>
            </w:tcBorders>
            <w:shd w:val="clear" w:color="auto" w:fill="CCCCCC"/>
          </w:tcPr>
          <w:p>
            <w:pPr>
              <w:spacing w:after="0"/>
              <w:rPr>
                <w:sz w:val="17"/>
                <w:szCs w:val="17"/>
                <w:color w:val="auto"/>
              </w:rPr>
            </w:pPr>
          </w:p>
        </w:tc>
        <w:tc>
          <w:tcPr>
            <w:tcW w:w="740" w:type="dxa"/>
            <w:vAlign w:val="bottom"/>
            <w:tcBorders>
              <w:right w:val="single" w:sz="8" w:color="9EACCA"/>
            </w:tcBorders>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3C5896"/>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6/11/2019</w:t>
            </w:r>
          </w:p>
        </w:tc>
        <w:tc>
          <w:tcPr>
            <w:tcW w:w="80" w:type="dxa"/>
            <w:vAlign w:val="bottom"/>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5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80" w:type="dxa"/>
            <w:vAlign w:val="bottom"/>
            <w:tcBorders>
              <w:right w:val="single" w:sz="8" w:color="9EACCA"/>
            </w:tcBorders>
            <w:shd w:val="clear" w:color="auto" w:fill="CCCCCC"/>
          </w:tcPr>
          <w:p>
            <w:pPr>
              <w:jc w:val="right"/>
              <w:ind w:right="76"/>
              <w:spacing w:after="0"/>
              <w:rPr>
                <w:sz w:val="20"/>
                <w:szCs w:val="20"/>
                <w:color w:val="auto"/>
              </w:rPr>
            </w:pPr>
            <w:r>
              <w:rPr>
                <w:rFonts w:ascii="Arial" w:cs="Arial" w:eastAsia="Arial" w:hAnsi="Arial"/>
                <w:sz w:val="14"/>
                <w:szCs w:val="14"/>
                <w:color w:val="auto"/>
              </w:rPr>
              <w:t>4,390</w:t>
            </w:r>
          </w:p>
        </w:tc>
        <w:tc>
          <w:tcPr>
            <w:tcW w:w="40" w:type="dxa"/>
            <w:vAlign w:val="bottom"/>
            <w:shd w:val="clear" w:color="auto" w:fill="CCCCCC"/>
          </w:tcPr>
          <w:p>
            <w:pPr>
              <w:spacing w:after="0"/>
              <w:rPr>
                <w:sz w:val="18"/>
                <w:szCs w:val="18"/>
                <w:color w:val="auto"/>
              </w:rPr>
            </w:pPr>
          </w:p>
        </w:tc>
        <w:tc>
          <w:tcPr>
            <w:tcW w:w="4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8,779</w:t>
            </w:r>
          </w:p>
        </w:tc>
        <w:tc>
          <w:tcPr>
            <w:tcW w:w="680" w:type="dxa"/>
            <w:vAlign w:val="bottom"/>
            <w:tcBorders>
              <w:right w:val="single" w:sz="8" w:color="9EACCA"/>
            </w:tcBorders>
            <w:shd w:val="clear" w:color="auto" w:fill="CCCCCC"/>
          </w:tcPr>
          <w:p>
            <w:pPr>
              <w:jc w:val="right"/>
              <w:ind w:right="50"/>
              <w:spacing w:after="0"/>
              <w:rPr>
                <w:sz w:val="20"/>
                <w:szCs w:val="20"/>
                <w:color w:val="auto"/>
              </w:rPr>
            </w:pPr>
            <w:r>
              <w:rPr>
                <w:rFonts w:ascii="Arial" w:cs="Arial" w:eastAsia="Arial" w:hAnsi="Arial"/>
                <w:sz w:val="14"/>
                <w:szCs w:val="14"/>
                <w:color w:val="auto"/>
              </w:rPr>
              <w:t>17,558</w:t>
            </w:r>
          </w:p>
        </w:tc>
        <w:tc>
          <w:tcPr>
            <w:tcW w:w="740" w:type="dxa"/>
            <w:vAlign w:val="bottom"/>
            <w:tcBorders>
              <w:righ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3C5896"/>
            </w:tcBorders>
            <w:shd w:val="clear" w:color="auto" w:fill="CCCCCC"/>
          </w:tcPr>
          <w:p>
            <w:pPr>
              <w:jc w:val="right"/>
              <w:ind w:right="13"/>
              <w:spacing w:after="0"/>
              <w:rPr>
                <w:sz w:val="20"/>
                <w:szCs w:val="20"/>
                <w:color w:val="auto"/>
              </w:rPr>
            </w:pPr>
            <w:r>
              <w:rPr>
                <w:rFonts w:ascii="Arial" w:cs="Arial" w:eastAsia="Arial" w:hAnsi="Arial"/>
                <w:sz w:val="14"/>
                <w:szCs w:val="14"/>
                <w:color w:val="auto"/>
              </w:rPr>
              <w:t>250,026</w:t>
            </w:r>
          </w:p>
        </w:tc>
        <w:tc>
          <w:tcPr>
            <w:tcW w:w="0" w:type="dxa"/>
            <w:vAlign w:val="bottom"/>
          </w:tcPr>
          <w:p>
            <w:pPr>
              <w:spacing w:after="0"/>
              <w:rPr>
                <w:sz w:val="1"/>
                <w:szCs w:val="1"/>
                <w:color w:val="auto"/>
              </w:rPr>
            </w:pPr>
          </w:p>
        </w:tc>
      </w:tr>
      <w:tr>
        <w:trPr>
          <w:trHeight w:val="229"/>
        </w:trPr>
        <w:tc>
          <w:tcPr>
            <w:tcW w:w="60" w:type="dxa"/>
            <w:vAlign w:val="bottom"/>
            <w:tcBorders>
              <w:left w:val="single" w:sz="8" w:color="9EACCA"/>
            </w:tcBorders>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6/11/2019</w:t>
            </w:r>
          </w:p>
        </w:tc>
        <w:tc>
          <w:tcPr>
            <w:tcW w:w="80" w:type="dxa"/>
            <w:vAlign w:val="bottom"/>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5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58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480" w:type="dxa"/>
            <w:vAlign w:val="bottom"/>
            <w:tcBorders>
              <w:right w:val="single" w:sz="8" w:color="9EACCA"/>
            </w:tcBorders>
            <w:shd w:val="clear" w:color="auto" w:fill="CCCCCC"/>
          </w:tcPr>
          <w:p>
            <w:pPr>
              <w:spacing w:after="0"/>
              <w:rPr>
                <w:sz w:val="19"/>
                <w:szCs w:val="19"/>
                <w:color w:val="auto"/>
              </w:rPr>
            </w:pPr>
          </w:p>
        </w:tc>
        <w:tc>
          <w:tcPr>
            <w:tcW w:w="680" w:type="dxa"/>
            <w:vAlign w:val="bottom"/>
            <w:tcBorders>
              <w:right w:val="single" w:sz="8" w:color="9EACCA"/>
            </w:tcBorders>
            <w:shd w:val="clear" w:color="auto" w:fill="CCCCCC"/>
          </w:tcPr>
          <w:p>
            <w:pPr>
              <w:spacing w:after="0"/>
              <w:rPr>
                <w:sz w:val="19"/>
                <w:szCs w:val="19"/>
                <w:color w:val="auto"/>
              </w:rPr>
            </w:pPr>
          </w:p>
        </w:tc>
        <w:tc>
          <w:tcPr>
            <w:tcW w:w="740" w:type="dxa"/>
            <w:vAlign w:val="bottom"/>
            <w:tcBorders>
              <w:right w:val="single" w:sz="8" w:color="9EACCA"/>
            </w:tcBorders>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23,630</w:t>
            </w:r>
          </w:p>
        </w:tc>
        <w:tc>
          <w:tcPr>
            <w:tcW w:w="7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28.48</w:t>
            </w:r>
          </w:p>
        </w:tc>
        <w:tc>
          <w:tcPr>
            <w:tcW w:w="760" w:type="dxa"/>
            <w:vAlign w:val="bottom"/>
            <w:tcBorders>
              <w:right w:val="single" w:sz="8" w:color="3C5896"/>
            </w:tcBorders>
            <w:shd w:val="clear" w:color="auto" w:fill="CCCCCC"/>
          </w:tcPr>
          <w:p>
            <w:pPr>
              <w:jc w:val="right"/>
              <w:ind w:right="13"/>
              <w:spacing w:after="0"/>
              <w:rPr>
                <w:sz w:val="20"/>
                <w:szCs w:val="20"/>
                <w:color w:val="auto"/>
              </w:rPr>
            </w:pPr>
            <w:r>
              <w:rPr>
                <w:rFonts w:ascii="Arial" w:cs="Arial" w:eastAsia="Arial" w:hAnsi="Arial"/>
                <w:sz w:val="14"/>
                <w:szCs w:val="14"/>
                <w:color w:val="auto"/>
              </w:rPr>
              <w:t>250,005</w:t>
            </w:r>
          </w:p>
        </w:tc>
        <w:tc>
          <w:tcPr>
            <w:tcW w:w="0" w:type="dxa"/>
            <w:vAlign w:val="bottom"/>
          </w:tcPr>
          <w:p>
            <w:pPr>
              <w:spacing w:after="0"/>
              <w:rPr>
                <w:sz w:val="1"/>
                <w:szCs w:val="1"/>
                <w:color w:val="auto"/>
              </w:rPr>
            </w:pPr>
          </w:p>
        </w:tc>
      </w:tr>
      <w:tr>
        <w:trPr>
          <w:trHeight w:val="235"/>
        </w:trPr>
        <w:tc>
          <w:tcPr>
            <w:tcW w:w="60" w:type="dxa"/>
            <w:vAlign w:val="bottom"/>
            <w:tcBorders>
              <w:left w:val="single" w:sz="8" w:color="9EACCA"/>
              <w:bottom w:val="single" w:sz="8" w:color="CCCCCC"/>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11/18/2019</w:t>
            </w:r>
          </w:p>
        </w:tc>
        <w:tc>
          <w:tcPr>
            <w:tcW w:w="80" w:type="dxa"/>
            <w:vAlign w:val="bottom"/>
            <w:tcBorders>
              <w:bottom w:val="single" w:sz="8" w:color="CCCCCC"/>
            </w:tcBorders>
            <w:shd w:val="clear" w:color="auto" w:fill="CCCCCC"/>
          </w:tcPr>
          <w:p>
            <w:pPr>
              <w:spacing w:after="0"/>
              <w:rPr>
                <w:sz w:val="20"/>
                <w:szCs w:val="20"/>
                <w:color w:val="auto"/>
              </w:rPr>
            </w:pPr>
          </w:p>
        </w:tc>
        <w:tc>
          <w:tcPr>
            <w:tcW w:w="62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56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p>
        </w:tc>
        <w:tc>
          <w:tcPr>
            <w:tcW w:w="120" w:type="dxa"/>
            <w:vAlign w:val="bottom"/>
            <w:tcBorders>
              <w:bottom w:val="single" w:sz="8" w:color="CCCCCC"/>
            </w:tcBorders>
            <w:shd w:val="clear" w:color="auto" w:fill="CCCCCC"/>
          </w:tcPr>
          <w:p>
            <w:pPr>
              <w:spacing w:after="0"/>
              <w:rPr>
                <w:sz w:val="20"/>
                <w:szCs w:val="20"/>
                <w:color w:val="auto"/>
              </w:rPr>
            </w:pPr>
          </w:p>
        </w:tc>
        <w:tc>
          <w:tcPr>
            <w:tcW w:w="58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480" w:type="dxa"/>
            <w:vAlign w:val="bottom"/>
            <w:tcBorders>
              <w:bottom w:val="single" w:sz="8" w:color="CCCCCC"/>
              <w:right w:val="single" w:sz="8" w:color="9EACCA"/>
            </w:tcBorders>
            <w:shd w:val="clear" w:color="auto" w:fill="CCCCCC"/>
          </w:tcPr>
          <w:p>
            <w:pPr>
              <w:spacing w:after="0"/>
              <w:rPr>
                <w:sz w:val="20"/>
                <w:szCs w:val="20"/>
                <w:color w:val="auto"/>
              </w:rPr>
            </w:pPr>
          </w:p>
        </w:tc>
        <w:tc>
          <w:tcPr>
            <w:tcW w:w="680" w:type="dxa"/>
            <w:vAlign w:val="bottom"/>
            <w:tcBorders>
              <w:bottom w:val="single" w:sz="8" w:color="CCCCCC"/>
              <w:right w:val="single" w:sz="8" w:color="9EACCA"/>
            </w:tcBorders>
            <w:shd w:val="clear" w:color="auto" w:fill="CCCCCC"/>
          </w:tcPr>
          <w:p>
            <w:pPr>
              <w:spacing w:after="0"/>
              <w:rPr>
                <w:sz w:val="20"/>
                <w:szCs w:val="20"/>
                <w:color w:val="auto"/>
              </w:rPr>
            </w:pPr>
          </w:p>
        </w:tc>
        <w:tc>
          <w:tcPr>
            <w:tcW w:w="740" w:type="dxa"/>
            <w:vAlign w:val="bottom"/>
            <w:tcBorders>
              <w:bottom w:val="single" w:sz="8" w:color="CCCCCC"/>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10,977</w:t>
            </w:r>
          </w:p>
        </w:tc>
        <w:tc>
          <w:tcPr>
            <w:tcW w:w="780" w:type="dxa"/>
            <w:vAlign w:val="bottom"/>
            <w:tcBorders>
              <w:bottom w:val="single" w:sz="8" w:color="CCCCCC"/>
              <w:right w:val="single" w:sz="8" w:color="9EACCA"/>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3C5896"/>
            </w:tcBorders>
            <w:shd w:val="clear" w:color="auto" w:fill="CCCCCC"/>
          </w:tcPr>
          <w:p>
            <w:pPr>
              <w:jc w:val="right"/>
              <w:ind w:right="13"/>
              <w:spacing w:after="0"/>
              <w:rPr>
                <w:sz w:val="20"/>
                <w:szCs w:val="20"/>
                <w:color w:val="auto"/>
              </w:rPr>
            </w:pPr>
            <w:r>
              <w:rPr>
                <w:rFonts w:ascii="Arial" w:cs="Arial" w:eastAsia="Arial" w:hAnsi="Arial"/>
                <w:sz w:val="14"/>
                <w:szCs w:val="14"/>
                <w:color w:val="auto"/>
              </w:rPr>
              <w:t>300,001</w:t>
            </w:r>
          </w:p>
        </w:tc>
        <w:tc>
          <w:tcPr>
            <w:tcW w:w="0" w:type="dxa"/>
            <w:vAlign w:val="bottom"/>
          </w:tcPr>
          <w:p>
            <w:pPr>
              <w:spacing w:after="0"/>
              <w:rPr>
                <w:sz w:val="1"/>
                <w:szCs w:val="1"/>
                <w:color w:val="auto"/>
              </w:rPr>
            </w:pPr>
          </w:p>
        </w:tc>
      </w:tr>
      <w:tr>
        <w:trPr>
          <w:trHeight w:val="204"/>
        </w:trPr>
        <w:tc>
          <w:tcPr>
            <w:tcW w:w="60" w:type="dxa"/>
            <w:vAlign w:val="bottom"/>
            <w:tcBorders>
              <w:lef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00" w:type="dxa"/>
            <w:vAlign w:val="bottom"/>
            <w:tcBorders>
              <w:right w:val="single" w:sz="8" w:color="9EACCA"/>
            </w:tcBorders>
            <w:gridSpan w:val="2"/>
          </w:tcPr>
          <w:p>
            <w:pPr>
              <w:jc w:val="right"/>
              <w:ind w:right="42"/>
              <w:spacing w:after="0"/>
              <w:rPr>
                <w:sz w:val="20"/>
                <w:szCs w:val="20"/>
                <w:color w:val="auto"/>
              </w:rPr>
            </w:pPr>
            <w:r>
              <w:rPr>
                <w:rFonts w:ascii="Arial" w:cs="Arial" w:eastAsia="Arial" w:hAnsi="Arial"/>
                <w:sz w:val="14"/>
                <w:szCs w:val="14"/>
                <w:color w:val="auto"/>
              </w:rPr>
              <w:t>20,445</w:t>
            </w:r>
          </w:p>
        </w:tc>
        <w:tc>
          <w:tcPr>
            <w:tcW w:w="60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40,889</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81,778</w:t>
            </w:r>
          </w:p>
        </w:tc>
        <w:tc>
          <w:tcPr>
            <w:tcW w:w="120" w:type="dxa"/>
            <w:vAlign w:val="bottom"/>
          </w:tcPr>
          <w:p>
            <w:pPr>
              <w:spacing w:after="0"/>
              <w:rPr>
                <w:sz w:val="17"/>
                <w:szCs w:val="17"/>
                <w:color w:val="auto"/>
              </w:rPr>
            </w:pPr>
          </w:p>
        </w:tc>
        <w:tc>
          <w:tcPr>
            <w:tcW w:w="58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7/29/2019</w:t>
            </w:r>
          </w:p>
        </w:tc>
        <w:tc>
          <w:tcPr>
            <w:tcW w:w="80" w:type="dxa"/>
            <w:vAlign w:val="bottom"/>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1,261</w:t>
            </w:r>
          </w:p>
        </w:tc>
        <w:tc>
          <w:tcPr>
            <w:tcW w:w="52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2,522</w:t>
            </w:r>
          </w:p>
        </w:tc>
        <w:tc>
          <w:tcPr>
            <w:tcW w:w="680" w:type="dxa"/>
            <w:vAlign w:val="bottom"/>
            <w:tcBorders>
              <w:right w:val="single" w:sz="8" w:color="9EACCA"/>
            </w:tcBorders>
          </w:tcPr>
          <w:p>
            <w:pPr>
              <w:jc w:val="right"/>
              <w:ind w:right="50"/>
              <w:spacing w:after="0"/>
              <w:rPr>
                <w:sz w:val="20"/>
                <w:szCs w:val="20"/>
                <w:color w:val="auto"/>
              </w:rPr>
            </w:pPr>
            <w:r>
              <w:rPr>
                <w:rFonts w:ascii="Arial" w:cs="Arial" w:eastAsia="Arial" w:hAnsi="Arial"/>
                <w:sz w:val="14"/>
                <w:szCs w:val="14"/>
                <w:color w:val="auto"/>
              </w:rPr>
              <w:t>5,044</w:t>
            </w:r>
          </w:p>
        </w:tc>
        <w:tc>
          <w:tcPr>
            <w:tcW w:w="740" w:type="dxa"/>
            <w:vAlign w:val="bottom"/>
            <w:tcBorders>
              <w:right w:val="single" w:sz="8" w:color="9EACCA"/>
            </w:tcBorders>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80,023</w:t>
            </w:r>
          </w:p>
        </w:tc>
        <w:tc>
          <w:tcPr>
            <w:tcW w:w="0" w:type="dxa"/>
            <w:vAlign w:val="bottom"/>
          </w:tcPr>
          <w:p>
            <w:pPr>
              <w:spacing w:after="0"/>
              <w:rPr>
                <w:sz w:val="1"/>
                <w:szCs w:val="1"/>
                <w:color w:val="auto"/>
              </w:rPr>
            </w:pPr>
          </w:p>
        </w:tc>
      </w:tr>
      <w:tr>
        <w:trPr>
          <w:trHeight w:val="229"/>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7/29/2019</w:t>
            </w:r>
          </w:p>
        </w:tc>
        <w:tc>
          <w:tcPr>
            <w:tcW w:w="80" w:type="dxa"/>
            <w:vAlign w:val="bottom"/>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spacing w:after="0"/>
              <w:rPr>
                <w:sz w:val="19"/>
                <w:szCs w:val="19"/>
                <w:color w:val="auto"/>
              </w:rPr>
            </w:pPr>
          </w:p>
        </w:tc>
        <w:tc>
          <w:tcPr>
            <w:tcW w:w="780" w:type="dxa"/>
            <w:vAlign w:val="bottom"/>
            <w:tcBorders>
              <w:right w:val="single" w:sz="8" w:color="9EACCA"/>
            </w:tcBorders>
          </w:tcPr>
          <w:p>
            <w:pPr>
              <w:jc w:val="right"/>
              <w:ind w:right="136"/>
              <w:spacing w:after="0"/>
              <w:rPr>
                <w:sz w:val="20"/>
                <w:szCs w:val="20"/>
                <w:color w:val="auto"/>
              </w:rPr>
            </w:pPr>
            <w:r>
              <w:rPr>
                <w:rFonts w:ascii="Arial" w:cs="Arial" w:eastAsia="Arial" w:hAnsi="Arial"/>
                <w:sz w:val="14"/>
                <w:szCs w:val="14"/>
                <w:color w:val="auto"/>
              </w:rPr>
              <w:t>6,879</w:t>
            </w:r>
          </w:p>
        </w:tc>
        <w:tc>
          <w:tcPr>
            <w:tcW w:w="7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31.73</w:t>
            </w: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80,003</w:t>
            </w:r>
          </w:p>
        </w:tc>
        <w:tc>
          <w:tcPr>
            <w:tcW w:w="0" w:type="dxa"/>
            <w:vAlign w:val="bottom"/>
          </w:tcPr>
          <w:p>
            <w:pPr>
              <w:spacing w:after="0"/>
              <w:rPr>
                <w:sz w:val="1"/>
                <w:szCs w:val="1"/>
                <w:color w:val="auto"/>
              </w:rPr>
            </w:pPr>
          </w:p>
        </w:tc>
      </w:tr>
      <w:tr>
        <w:trPr>
          <w:trHeight w:val="230"/>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11/18/2019</w:t>
            </w:r>
          </w:p>
        </w:tc>
        <w:tc>
          <w:tcPr>
            <w:tcW w:w="80" w:type="dxa"/>
            <w:vAlign w:val="bottom"/>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10,977</w:t>
            </w:r>
          </w:p>
        </w:tc>
        <w:tc>
          <w:tcPr>
            <w:tcW w:w="780" w:type="dxa"/>
            <w:vAlign w:val="bottom"/>
            <w:tcBorders>
              <w:right w:val="single" w:sz="8" w:color="9EACCA"/>
            </w:tcBorders>
          </w:tcPr>
          <w:p>
            <w:pPr>
              <w:spacing w:after="0"/>
              <w:rPr>
                <w:sz w:val="19"/>
                <w:szCs w:val="19"/>
                <w:color w:val="auto"/>
              </w:rPr>
            </w:pPr>
          </w:p>
        </w:tc>
        <w:tc>
          <w:tcPr>
            <w:tcW w:w="780" w:type="dxa"/>
            <w:vAlign w:val="bottom"/>
            <w:tcBorders>
              <w:right w:val="single" w:sz="8" w:color="9EACCA"/>
            </w:tcBorders>
          </w:tcPr>
          <w:p>
            <w:pPr>
              <w:spacing w:after="0"/>
              <w:rPr>
                <w:sz w:val="19"/>
                <w:szCs w:val="19"/>
                <w:color w:val="auto"/>
              </w:rPr>
            </w:pP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300,001</w:t>
            </w:r>
          </w:p>
        </w:tc>
        <w:tc>
          <w:tcPr>
            <w:tcW w:w="0" w:type="dxa"/>
            <w:vAlign w:val="bottom"/>
          </w:tcPr>
          <w:p>
            <w:pPr>
              <w:spacing w:after="0"/>
              <w:rPr>
                <w:sz w:val="1"/>
                <w:szCs w:val="1"/>
                <w:color w:val="auto"/>
              </w:rPr>
            </w:pPr>
          </w:p>
        </w:tc>
      </w:tr>
      <w:tr>
        <w:trPr>
          <w:trHeight w:val="25"/>
        </w:trPr>
        <w:tc>
          <w:tcPr>
            <w:tcW w:w="60" w:type="dxa"/>
            <w:vAlign w:val="bottom"/>
            <w:tcBorders>
              <w:lef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00" w:type="dxa"/>
            <w:vAlign w:val="bottom"/>
            <w:tcBorders>
              <w:right w:val="single" w:sz="8" w:color="9EACCA"/>
            </w:tcBorders>
            <w:gridSpan w:val="2"/>
          </w:tcPr>
          <w:p>
            <w:pPr>
              <w:spacing w:after="0"/>
              <w:rPr>
                <w:sz w:val="2"/>
                <w:szCs w:val="2"/>
                <w:color w:val="auto"/>
              </w:rPr>
            </w:pPr>
          </w:p>
        </w:tc>
        <w:tc>
          <w:tcPr>
            <w:tcW w:w="600" w:type="dxa"/>
            <w:vAlign w:val="bottom"/>
            <w:tcBorders>
              <w:right w:val="single" w:sz="8" w:color="9EACCA"/>
            </w:tcBorders>
            <w:gridSpan w:val="2"/>
          </w:tcPr>
          <w:p>
            <w:pPr>
              <w:spacing w:after="0"/>
              <w:rPr>
                <w:sz w:val="2"/>
                <w:szCs w:val="2"/>
                <w:color w:val="auto"/>
              </w:rPr>
            </w:pPr>
          </w:p>
        </w:tc>
        <w:tc>
          <w:tcPr>
            <w:tcW w:w="740" w:type="dxa"/>
            <w:vAlign w:val="bottom"/>
            <w:tcBorders>
              <w:right w:val="single" w:sz="8" w:color="9EACCA"/>
            </w:tcBorders>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9EACCA"/>
            </w:tcBorders>
          </w:tcPr>
          <w:p>
            <w:pPr>
              <w:spacing w:after="0"/>
              <w:rPr>
                <w:sz w:val="2"/>
                <w:szCs w:val="2"/>
                <w:color w:val="auto"/>
              </w:rPr>
            </w:pPr>
          </w:p>
        </w:tc>
        <w:tc>
          <w:tcPr>
            <w:tcW w:w="68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6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lef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00" w:type="dxa"/>
            <w:vAlign w:val="bottom"/>
            <w:tcBorders>
              <w:right w:val="single" w:sz="8" w:color="9EACCA"/>
            </w:tcBorders>
            <w:gridSpan w:val="2"/>
            <w:shd w:val="clear" w:color="auto" w:fill="CCCCCC"/>
          </w:tcPr>
          <w:p>
            <w:pPr>
              <w:jc w:val="right"/>
              <w:ind w:right="42"/>
              <w:spacing w:after="0"/>
              <w:rPr>
                <w:sz w:val="20"/>
                <w:szCs w:val="20"/>
                <w:color w:val="auto"/>
              </w:rPr>
            </w:pPr>
            <w:r>
              <w:rPr>
                <w:rFonts w:ascii="Arial" w:cs="Arial" w:eastAsia="Arial" w:hAnsi="Arial"/>
                <w:sz w:val="14"/>
                <w:szCs w:val="14"/>
                <w:color w:val="auto"/>
              </w:rPr>
              <w:t>354,205</w:t>
            </w:r>
          </w:p>
        </w:tc>
        <w:tc>
          <w:tcPr>
            <w:tcW w:w="60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highlight w:val="lightGray"/>
              </w:rPr>
              <w:t>354,205</w:t>
            </w:r>
          </w:p>
        </w:tc>
        <w:tc>
          <w:tcPr>
            <w:tcW w:w="74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rPr>
              <w:t>708,410</w:t>
            </w:r>
          </w:p>
        </w:tc>
        <w:tc>
          <w:tcPr>
            <w:tcW w:w="120" w:type="dxa"/>
            <w:vAlign w:val="bottom"/>
            <w:shd w:val="clear" w:color="auto" w:fill="CCCCCC"/>
          </w:tcPr>
          <w:p>
            <w:pPr>
              <w:spacing w:after="0"/>
              <w:rPr>
                <w:sz w:val="18"/>
                <w:szCs w:val="18"/>
                <w:color w:val="auto"/>
              </w:rPr>
            </w:pPr>
          </w:p>
        </w:tc>
        <w:tc>
          <w:tcPr>
            <w:tcW w:w="58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480" w:type="dxa"/>
            <w:vAlign w:val="bottom"/>
            <w:tcBorders>
              <w:right w:val="single" w:sz="8" w:color="9EACCA"/>
            </w:tcBorders>
            <w:shd w:val="clear" w:color="auto" w:fill="CCCCCC"/>
          </w:tcPr>
          <w:p>
            <w:pPr>
              <w:spacing w:after="0"/>
              <w:rPr>
                <w:sz w:val="18"/>
                <w:szCs w:val="18"/>
                <w:color w:val="auto"/>
              </w:rPr>
            </w:pPr>
          </w:p>
        </w:tc>
        <w:tc>
          <w:tcPr>
            <w:tcW w:w="680" w:type="dxa"/>
            <w:vAlign w:val="bottom"/>
            <w:tcBorders>
              <w:right w:val="single" w:sz="8" w:color="9EACCA"/>
            </w:tcBorders>
            <w:shd w:val="clear" w:color="auto" w:fill="CCCCCC"/>
          </w:tcPr>
          <w:p>
            <w:pPr>
              <w:spacing w:after="0"/>
              <w:rPr>
                <w:sz w:val="18"/>
                <w:szCs w:val="18"/>
                <w:color w:val="auto"/>
              </w:rPr>
            </w:pPr>
          </w:p>
        </w:tc>
        <w:tc>
          <w:tcPr>
            <w:tcW w:w="740" w:type="dxa"/>
            <w:vAlign w:val="bottom"/>
            <w:tcBorders>
              <w:righ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 w:type="dxa"/>
            <w:vAlign w:val="bottom"/>
            <w:tcBorders>
              <w:lef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00" w:type="dxa"/>
            <w:vAlign w:val="bottom"/>
            <w:tcBorders>
              <w:right w:val="single" w:sz="8" w:color="9EACCA"/>
            </w:tcBorders>
            <w:gridSpan w:val="2"/>
          </w:tcPr>
          <w:p>
            <w:pPr>
              <w:jc w:val="right"/>
              <w:ind w:right="42"/>
              <w:spacing w:after="0"/>
              <w:rPr>
                <w:sz w:val="20"/>
                <w:szCs w:val="20"/>
                <w:color w:val="auto"/>
              </w:rPr>
            </w:pPr>
            <w:r>
              <w:rPr>
                <w:rFonts w:ascii="Arial" w:cs="Arial" w:eastAsia="Arial" w:hAnsi="Arial"/>
                <w:sz w:val="14"/>
                <w:szCs w:val="14"/>
                <w:color w:val="auto"/>
              </w:rPr>
              <w:t>31,623</w:t>
            </w:r>
          </w:p>
        </w:tc>
        <w:tc>
          <w:tcPr>
            <w:tcW w:w="60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63,245</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126,490</w:t>
            </w:r>
          </w:p>
        </w:tc>
        <w:tc>
          <w:tcPr>
            <w:tcW w:w="120" w:type="dxa"/>
            <w:vAlign w:val="bottom"/>
          </w:tcPr>
          <w:p>
            <w:pPr>
              <w:spacing w:after="0"/>
              <w:rPr>
                <w:sz w:val="17"/>
                <w:szCs w:val="17"/>
                <w:color w:val="auto"/>
              </w:rPr>
            </w:pPr>
          </w:p>
        </w:tc>
        <w:tc>
          <w:tcPr>
            <w:tcW w:w="58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3/1/2019</w:t>
            </w:r>
          </w:p>
        </w:tc>
        <w:tc>
          <w:tcPr>
            <w:tcW w:w="80" w:type="dxa"/>
            <w:vAlign w:val="bottom"/>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1,137</w:t>
            </w:r>
          </w:p>
        </w:tc>
        <w:tc>
          <w:tcPr>
            <w:tcW w:w="52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2,274</w:t>
            </w:r>
          </w:p>
        </w:tc>
        <w:tc>
          <w:tcPr>
            <w:tcW w:w="680" w:type="dxa"/>
            <w:vAlign w:val="bottom"/>
            <w:tcBorders>
              <w:right w:val="single" w:sz="8" w:color="9EACCA"/>
            </w:tcBorders>
          </w:tcPr>
          <w:p>
            <w:pPr>
              <w:jc w:val="right"/>
              <w:ind w:right="50"/>
              <w:spacing w:after="0"/>
              <w:rPr>
                <w:sz w:val="20"/>
                <w:szCs w:val="20"/>
                <w:color w:val="auto"/>
              </w:rPr>
            </w:pPr>
            <w:r>
              <w:rPr>
                <w:rFonts w:ascii="Arial" w:cs="Arial" w:eastAsia="Arial" w:hAnsi="Arial"/>
                <w:sz w:val="14"/>
                <w:szCs w:val="14"/>
                <w:color w:val="auto"/>
              </w:rPr>
              <w:t>4,548</w:t>
            </w:r>
          </w:p>
        </w:tc>
        <w:tc>
          <w:tcPr>
            <w:tcW w:w="740" w:type="dxa"/>
            <w:vAlign w:val="bottom"/>
            <w:tcBorders>
              <w:right w:val="single" w:sz="8" w:color="9EACCA"/>
            </w:tcBorders>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80,022</w:t>
            </w:r>
          </w:p>
        </w:tc>
        <w:tc>
          <w:tcPr>
            <w:tcW w:w="0" w:type="dxa"/>
            <w:vAlign w:val="bottom"/>
          </w:tcPr>
          <w:p>
            <w:pPr>
              <w:spacing w:after="0"/>
              <w:rPr>
                <w:sz w:val="1"/>
                <w:szCs w:val="1"/>
                <w:color w:val="auto"/>
              </w:rPr>
            </w:pPr>
          </w:p>
        </w:tc>
      </w:tr>
      <w:tr>
        <w:trPr>
          <w:trHeight w:val="282"/>
        </w:trPr>
        <w:tc>
          <w:tcPr>
            <w:tcW w:w="840" w:type="dxa"/>
            <w:vAlign w:val="bottom"/>
            <w:tcBorders>
              <w:left w:val="single" w:sz="8" w:color="9EACCA"/>
              <w:right w:val="single" w:sz="8" w:color="9EACCA"/>
            </w:tcBorders>
            <w:gridSpan w:val="2"/>
          </w:tcPr>
          <w:p>
            <w:pPr>
              <w:jc w:val="right"/>
              <w:spacing w:after="0"/>
              <w:rPr>
                <w:sz w:val="20"/>
                <w:szCs w:val="20"/>
                <w:color w:val="auto"/>
              </w:rPr>
            </w:pPr>
            <w:r>
              <w:rPr>
                <w:rFonts w:ascii="Arial" w:cs="Arial" w:eastAsia="Arial" w:hAnsi="Arial"/>
                <w:sz w:val="14"/>
                <w:szCs w:val="14"/>
                <w:color w:val="auto"/>
              </w:rPr>
              <w:t>3/1/2019</w:t>
            </w:r>
          </w:p>
        </w:tc>
        <w:tc>
          <w:tcPr>
            <w:tcW w:w="80" w:type="dxa"/>
            <w:vAlign w:val="bottom"/>
          </w:tcPr>
          <w:p>
            <w:pPr>
              <w:spacing w:after="0"/>
              <w:rPr>
                <w:sz w:val="24"/>
                <w:szCs w:val="24"/>
                <w:color w:val="auto"/>
              </w:rPr>
            </w:pPr>
          </w:p>
        </w:tc>
        <w:tc>
          <w:tcPr>
            <w:tcW w:w="62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right w:val="single" w:sz="8" w:color="9EACCA"/>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right w:val="single" w:sz="8" w:color="9EACCA"/>
            </w:tcBorders>
          </w:tcPr>
          <w:p>
            <w:pPr>
              <w:spacing w:after="0"/>
              <w:rPr>
                <w:sz w:val="24"/>
                <w:szCs w:val="24"/>
                <w:color w:val="auto"/>
              </w:rPr>
            </w:pPr>
          </w:p>
        </w:tc>
        <w:tc>
          <w:tcPr>
            <w:tcW w:w="680" w:type="dxa"/>
            <w:vAlign w:val="bottom"/>
            <w:tcBorders>
              <w:right w:val="single" w:sz="8" w:color="9EACCA"/>
            </w:tcBorders>
          </w:tcPr>
          <w:p>
            <w:pPr>
              <w:spacing w:after="0"/>
              <w:rPr>
                <w:sz w:val="24"/>
                <w:szCs w:val="24"/>
                <w:color w:val="auto"/>
              </w:rPr>
            </w:pPr>
          </w:p>
        </w:tc>
        <w:tc>
          <w:tcPr>
            <w:tcW w:w="740" w:type="dxa"/>
            <w:vAlign w:val="bottom"/>
            <w:tcBorders>
              <w:right w:val="single" w:sz="8" w:color="9EACCA"/>
            </w:tcBorders>
          </w:tcPr>
          <w:p>
            <w:pPr>
              <w:spacing w:after="0"/>
              <w:rPr>
                <w:sz w:val="24"/>
                <w:szCs w:val="24"/>
                <w:color w:val="auto"/>
              </w:rPr>
            </w:pPr>
          </w:p>
        </w:tc>
        <w:tc>
          <w:tcPr>
            <w:tcW w:w="780" w:type="dxa"/>
            <w:vAlign w:val="bottom"/>
            <w:tcBorders>
              <w:right w:val="single" w:sz="8" w:color="9EACCA"/>
            </w:tcBorders>
          </w:tcPr>
          <w:p>
            <w:pPr>
              <w:jc w:val="right"/>
              <w:ind w:right="136"/>
              <w:spacing w:after="0"/>
              <w:rPr>
                <w:sz w:val="20"/>
                <w:szCs w:val="20"/>
                <w:color w:val="auto"/>
              </w:rPr>
            </w:pPr>
            <w:r>
              <w:rPr>
                <w:rFonts w:ascii="Arial" w:cs="Arial" w:eastAsia="Arial" w:hAnsi="Arial"/>
                <w:sz w:val="14"/>
                <w:szCs w:val="14"/>
                <w:color w:val="auto"/>
              </w:rPr>
              <w:t>5,626</w:t>
            </w:r>
          </w:p>
        </w:tc>
        <w:tc>
          <w:tcPr>
            <w:tcW w:w="7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35.19</w:t>
            </w:r>
          </w:p>
        </w:tc>
        <w:tc>
          <w:tcPr>
            <w:tcW w:w="760" w:type="dxa"/>
            <w:vAlign w:val="bottom"/>
            <w:tcBorders>
              <w:right w:val="single" w:sz="8" w:color="3C5896"/>
            </w:tcBorders>
          </w:tcPr>
          <w:p>
            <w:pPr>
              <w:jc w:val="right"/>
              <w:ind w:right="13"/>
              <w:spacing w:after="0"/>
              <w:rPr>
                <w:sz w:val="20"/>
                <w:szCs w:val="20"/>
                <w:color w:val="auto"/>
              </w:rPr>
            </w:pPr>
            <w:r>
              <w:rPr>
                <w:rFonts w:ascii="Arial" w:cs="Arial" w:eastAsia="Arial" w:hAnsi="Arial"/>
                <w:sz w:val="14"/>
                <w:szCs w:val="14"/>
                <w:color w:val="auto"/>
              </w:rPr>
              <w:t>80,002</w:t>
            </w:r>
          </w:p>
        </w:tc>
        <w:tc>
          <w:tcPr>
            <w:tcW w:w="0" w:type="dxa"/>
            <w:vAlign w:val="bottom"/>
          </w:tcPr>
          <w:p>
            <w:pPr>
              <w:spacing w:after="0"/>
              <w:rPr>
                <w:sz w:val="1"/>
                <w:szCs w:val="1"/>
                <w:color w:val="auto"/>
              </w:rPr>
            </w:pPr>
          </w:p>
        </w:tc>
      </w:tr>
      <w:tr>
        <w:trPr>
          <w:trHeight w:val="20"/>
        </w:trPr>
        <w:tc>
          <w:tcPr>
            <w:tcW w:w="60" w:type="dxa"/>
            <w:vAlign w:val="bottom"/>
            <w:tcBorders>
              <w:left w:val="single" w:sz="8" w:color="9EACCA"/>
            </w:tcBorders>
            <w:shd w:val="clear" w:color="auto" w:fill="3C5896"/>
          </w:tcPr>
          <w:p>
            <w:pPr>
              <w:spacing w:after="0" w:line="20" w:lineRule="exact"/>
              <w:rPr>
                <w:sz w:val="1"/>
                <w:szCs w:val="1"/>
                <w:color w:val="auto"/>
              </w:rPr>
            </w:pPr>
          </w:p>
        </w:tc>
        <w:tc>
          <w:tcPr>
            <w:tcW w:w="78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6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5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00" w:type="dxa"/>
            <w:vAlign w:val="bottom"/>
            <w:tcBorders>
              <w:right w:val="single" w:sz="8" w:color="3C5896"/>
            </w:tcBorders>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58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480" w:type="dxa"/>
            <w:vAlign w:val="bottom"/>
            <w:tcBorders>
              <w:right w:val="single" w:sz="8" w:color="3C5896"/>
            </w:tcBorders>
            <w:shd w:val="clear" w:color="auto" w:fill="3C5896"/>
          </w:tcPr>
          <w:p>
            <w:pPr>
              <w:spacing w:after="0" w:line="20" w:lineRule="exact"/>
              <w:rPr>
                <w:sz w:val="1"/>
                <w:szCs w:val="1"/>
                <w:color w:val="auto"/>
              </w:rPr>
            </w:pPr>
          </w:p>
        </w:tc>
        <w:tc>
          <w:tcPr>
            <w:tcW w:w="680" w:type="dxa"/>
            <w:vAlign w:val="bottom"/>
            <w:tcBorders>
              <w:right w:val="single" w:sz="8" w:color="3C5896"/>
            </w:tcBorders>
            <w:shd w:val="clear" w:color="auto" w:fill="3C5896"/>
          </w:tcPr>
          <w:p>
            <w:pPr>
              <w:spacing w:after="0" w:line="20" w:lineRule="exact"/>
              <w:rPr>
                <w:sz w:val="1"/>
                <w:szCs w:val="1"/>
                <w:color w:val="auto"/>
              </w:rPr>
            </w:pPr>
          </w:p>
        </w:tc>
        <w:tc>
          <w:tcPr>
            <w:tcW w:w="740" w:type="dxa"/>
            <w:vAlign w:val="bottom"/>
            <w:tcBorders>
              <w:right w:val="single" w:sz="8" w:color="3C5896"/>
            </w:tcBorders>
            <w:shd w:val="clear" w:color="auto" w:fill="3C5896"/>
          </w:tcPr>
          <w:p>
            <w:pPr>
              <w:spacing w:after="0" w:line="20" w:lineRule="exact"/>
              <w:rPr>
                <w:sz w:val="1"/>
                <w:szCs w:val="1"/>
                <w:color w:val="auto"/>
              </w:rPr>
            </w:pPr>
          </w:p>
        </w:tc>
        <w:tc>
          <w:tcPr>
            <w:tcW w:w="780" w:type="dxa"/>
            <w:vAlign w:val="bottom"/>
            <w:tcBorders>
              <w:right w:val="single" w:sz="8" w:color="3C5896"/>
            </w:tcBorders>
            <w:shd w:val="clear" w:color="auto" w:fill="3C5896"/>
          </w:tcPr>
          <w:p>
            <w:pPr>
              <w:spacing w:after="0" w:line="20" w:lineRule="exact"/>
              <w:rPr>
                <w:sz w:val="1"/>
                <w:szCs w:val="1"/>
                <w:color w:val="auto"/>
              </w:rPr>
            </w:pPr>
          </w:p>
        </w:tc>
        <w:tc>
          <w:tcPr>
            <w:tcW w:w="780" w:type="dxa"/>
            <w:vAlign w:val="bottom"/>
            <w:tcBorders>
              <w:right w:val="single" w:sz="8" w:color="3C5896"/>
            </w:tcBorders>
            <w:shd w:val="clear" w:color="auto" w:fill="3C5896"/>
          </w:tcPr>
          <w:p>
            <w:pPr>
              <w:spacing w:after="0" w:line="20" w:lineRule="exact"/>
              <w:rPr>
                <w:sz w:val="1"/>
                <w:szCs w:val="1"/>
                <w:color w:val="auto"/>
              </w:rPr>
            </w:pPr>
          </w:p>
        </w:tc>
        <w:tc>
          <w:tcPr>
            <w:tcW w:w="7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-3316605</wp:posOffset>
            </wp:positionV>
            <wp:extent cx="29660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-3556635</wp:posOffset>
            </wp:positionV>
            <wp:extent cx="24942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2080" w:space="40"/>
            <w:col w:w="8019"/>
          </w:cols>
          <w:pgMar w:left="320" w:top="132" w:right="1440" w:bottom="1440" w:gutter="0" w:footer="0" w:header="0"/>
          <w:type w:val="continuous"/>
        </w:sectPr>
      </w:pPr>
    </w:p>
    <w:p>
      <w:pPr>
        <w:ind w:left="1120" w:right="199" w:hanging="356"/>
        <w:spacing w:after="0" w:line="247"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Reflects the possible payouts of cash incentive compensation under the STIP. See “Annual Cash Incentive Program” in the Compensation Discussion and Analysis section above for a description of the STIP. Potential payouts under the STIP were based on performance in 2019 and resulted in a payout percentage of 139.4%. The actual amounts paid are described in the “Non-Equity Incentive Plan Compensation” column of the “Summary Compensation Table.” Mr. McAllister was entitled under the McAllister Transition Agreement to receive a STIP award with the threshold level set to be no less than the target level for such STIP award. Mr. Beasley was entitled under the Beasley Separation Agreement to receive a pro-rated STIP bonus for 8 months of service.</w:t>
      </w:r>
    </w:p>
    <w:p>
      <w:pPr>
        <w:spacing w:after="0" w:line="41" w:lineRule="exact"/>
        <w:rPr>
          <w:rFonts w:ascii="Arial" w:cs="Arial" w:eastAsia="Arial" w:hAnsi="Arial"/>
          <w:sz w:val="15"/>
          <w:szCs w:val="15"/>
          <w:color w:val="auto"/>
        </w:rPr>
      </w:pPr>
    </w:p>
    <w:p>
      <w:pPr>
        <w:ind w:left="1120" w:right="219" w:hanging="356"/>
        <w:spacing w:after="0" w:line="246"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Reflects the number of PSUs granted in 2019 to the NEOs under the LTIP. The target number of shares in the table for the PSUs reflects the number of shares that will be awarded if, for the PSUs granted in February 2019, the three-year total performance conditions are met at the target level. Actual shares, if any, will be awarded in February 2022 and may range from 50% to 200% of the target. Mr. McAllister did not receive a PSU award as a result of his transition to Special Advisor to the Board in January 2019 pursuant to the McAllister Transition Agreement. See “2019 PSU Awards” in the Compensation Discussion and Analysis section above for additional information on the PSUs. Mr. Clark and Ms. Rasmussen also received special sign-on equity awards when they joined the Company. See “2019 Special Retention and Sign-On Awards” in the Compensation Discussion and Analysis section above for additional information on these PSUs.</w:t>
      </w:r>
    </w:p>
    <w:p>
      <w:pPr>
        <w:spacing w:after="0" w:line="57" w:lineRule="exact"/>
        <w:rPr>
          <w:rFonts w:ascii="Arial" w:cs="Arial" w:eastAsia="Arial" w:hAnsi="Arial"/>
          <w:sz w:val="15"/>
          <w:szCs w:val="15"/>
          <w:color w:val="auto"/>
        </w:rPr>
      </w:pPr>
    </w:p>
    <w:p>
      <w:pPr>
        <w:ind w:left="1120" w:right="259" w:hanging="356"/>
        <w:spacing w:after="0" w:line="248"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Reflects the number of time-based RSUs granted to NEOs (other than Mr. Fahs) as part of a 2019 one-time special retention. The special retention RSU awards vest over four years, with half of the total number of shares underlying the RSUs vesting on the second anniversary of the grant date and one-quarter vesting on each of the third and fourth anniversaries of the grant date, subject to the executive’s continued employment through the applicable vesting date. Given that Mr. Beasley and Mr. McAllister were no longer NEOs at the time of the award, neither were eligible to receive the 2019 special retention RSU award.</w:t>
      </w:r>
    </w:p>
    <w:p>
      <w:pPr>
        <w:spacing w:after="0" w:line="53" w:lineRule="exact"/>
        <w:rPr>
          <w:rFonts w:ascii="Arial" w:cs="Arial" w:eastAsia="Arial" w:hAnsi="Arial"/>
          <w:sz w:val="15"/>
          <w:szCs w:val="15"/>
          <w:color w:val="auto"/>
        </w:rPr>
      </w:pPr>
    </w:p>
    <w:p>
      <w:pPr>
        <w:ind w:left="1120" w:right="199" w:hanging="356"/>
        <w:spacing w:after="0" w:line="248"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Reflects the number of stock options granted in 2019. Given that Mr. McAllister was no longer a NEO at the time of the award, he was not eligible to receive the award. See “2019 Option Awards” in the Compensation Discussion and Analysis section above for additional information on the 2019 stock option awards. Mr. Clark and Ms. Rasmussen also received special sign-on equity awards when they joined the Company. See “2019 Special Retention and Sign-On Awards” in the Compensation Discussion and Analysis section above for additional information on these stock options.</w:t>
      </w:r>
    </w:p>
    <w:p>
      <w:pPr>
        <w:spacing w:after="0" w:line="320"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4" w:lineRule="exact"/>
        <w:rPr>
          <w:sz w:val="20"/>
          <w:szCs w:val="20"/>
          <w:color w:val="auto"/>
        </w:rPr>
      </w:pPr>
    </w:p>
    <w:p>
      <w:pPr>
        <w:ind w:left="1120" w:right="199" w:hanging="356"/>
        <w:spacing w:after="0" w:line="246" w:lineRule="auto"/>
        <w:tabs>
          <w:tab w:leader="none" w:pos="1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Reflects the grant date fair value of awards of PSUs, the one-time special retention and sign-on PSUs and stock options granted to each of the NEOs in 2019 under FASB ASC Topic 18. The grant date fair values are calculated using the NASDAQ closing price of our common stock on the date of grant for PSUs and RSUs and the Black-Scholes option pricing model for stock options. The grant date fair value of the PSUs, which have performance conditions, are computed based on the probable outcome of the performance condition as of the grant date for the award. Mr. Clark and Ms. Rasmussen also received special sign-on equity awards when they joined the Company. See “2019 Special Retention and Sign-On Awards” in the Compensation Discussion and Analysis section above for additional information on these PSU awards.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139" w:lineRule="exact"/>
        <w:rPr>
          <w:sz w:val="20"/>
          <w:szCs w:val="20"/>
          <w:color w:val="auto"/>
        </w:rPr>
      </w:pPr>
    </w:p>
    <w:p>
      <w:pPr>
        <w:ind w:left="760" w:right="1279"/>
        <w:spacing w:after="0" w:line="246" w:lineRule="auto"/>
        <w:rPr>
          <w:sz w:val="20"/>
          <w:szCs w:val="20"/>
          <w:color w:val="auto"/>
        </w:rPr>
      </w:pPr>
      <w:r>
        <w:rPr>
          <w:rFonts w:ascii="Arial" w:cs="Arial" w:eastAsia="Arial" w:hAnsi="Arial"/>
          <w:sz w:val="18"/>
          <w:szCs w:val="18"/>
          <w:color w:val="auto"/>
        </w:rPr>
        <w:t>The following table sets forth information regarding outstanding equity awards held by our NEOs as of December 28, 2019.</w:t>
      </w:r>
    </w:p>
    <w:p>
      <w:pPr>
        <w:spacing w:after="0" w:line="110" w:lineRule="exact"/>
        <w:rPr>
          <w:sz w:val="20"/>
          <w:szCs w:val="20"/>
          <w:color w:val="auto"/>
        </w:rPr>
      </w:pPr>
    </w:p>
    <w:tbl>
      <w:tblPr>
        <w:tblLayout w:type="fixed"/>
        <w:tblInd w:w="770" w:type="dxa"/>
        <w:tblCellMar>
          <w:top w:w="0" w:type="dxa"/>
          <w:left w:w="0" w:type="dxa"/>
          <w:bottom w:w="0" w:type="dxa"/>
          <w:right w:w="0" w:type="dxa"/>
        </w:tblCellMar>
      </w:tblPr>
      <w:tr>
        <w:trPr>
          <w:trHeight w:val="210"/>
        </w:trPr>
        <w:tc>
          <w:tcPr>
            <w:tcW w:w="1260" w:type="dxa"/>
            <w:vAlign w:val="bottom"/>
            <w:tcBorders>
              <w:top w:val="single" w:sz="8" w:color="3C5896"/>
              <w:left w:val="single" w:sz="8" w:color="3C5896"/>
              <w:bottom w:val="single" w:sz="8" w:color="3C5896"/>
              <w:right w:val="single" w:sz="8" w:color="9EACCA"/>
            </w:tcBorders>
            <w:shd w:val="clear" w:color="auto" w:fill="3C5896"/>
          </w:tcPr>
          <w:p>
            <w:pPr>
              <w:spacing w:after="0"/>
              <w:rPr>
                <w:sz w:val="18"/>
                <w:szCs w:val="18"/>
                <w:color w:val="auto"/>
              </w:rPr>
            </w:pPr>
          </w:p>
        </w:tc>
        <w:tc>
          <w:tcPr>
            <w:tcW w:w="780" w:type="dxa"/>
            <w:vAlign w:val="bottom"/>
            <w:tcBorders>
              <w:top w:val="single" w:sz="8" w:color="3C5896"/>
              <w:bottom w:val="single" w:sz="8" w:color="3C5896"/>
              <w:right w:val="single" w:sz="8" w:color="9EACCA"/>
            </w:tcBorders>
            <w:shd w:val="clear" w:color="auto" w:fill="3C5896"/>
          </w:tcPr>
          <w:p>
            <w:pPr>
              <w:spacing w:after="0"/>
              <w:rPr>
                <w:sz w:val="18"/>
                <w:szCs w:val="18"/>
                <w:color w:val="auto"/>
              </w:rPr>
            </w:pPr>
          </w:p>
        </w:tc>
        <w:tc>
          <w:tcPr>
            <w:tcW w:w="84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680" w:type="dxa"/>
            <w:vAlign w:val="bottom"/>
            <w:tcBorders>
              <w:top w:val="single" w:sz="8" w:color="3C5896"/>
              <w:bottom w:val="single" w:sz="8" w:color="3C5896"/>
            </w:tcBorders>
            <w:shd w:val="clear" w:color="auto" w:fill="3C5896"/>
          </w:tcPr>
          <w:p>
            <w:pPr>
              <w:spacing w:after="0"/>
              <w:rPr>
                <w:sz w:val="18"/>
                <w:szCs w:val="18"/>
                <w:color w:val="auto"/>
              </w:rPr>
            </w:pPr>
          </w:p>
        </w:tc>
        <w:tc>
          <w:tcPr>
            <w:tcW w:w="1100" w:type="dxa"/>
            <w:vAlign w:val="bottom"/>
            <w:tcBorders>
              <w:top w:val="single" w:sz="8" w:color="3C5896"/>
              <w:bottom w:val="single" w:sz="8" w:color="3C5896"/>
              <w:right w:val="single" w:sz="8" w:color="3C5896"/>
            </w:tcBorders>
            <w:gridSpan w:val="2"/>
            <w:shd w:val="clear" w:color="auto" w:fill="3C5896"/>
          </w:tcPr>
          <w:p>
            <w:pPr>
              <w:jc w:val="right"/>
              <w:ind w:right="113"/>
              <w:spacing w:after="0"/>
              <w:rPr>
                <w:sz w:val="20"/>
                <w:szCs w:val="20"/>
                <w:color w:val="auto"/>
              </w:rPr>
            </w:pPr>
            <w:r>
              <w:rPr>
                <w:rFonts w:ascii="Arial" w:cs="Arial" w:eastAsia="Arial" w:hAnsi="Arial"/>
                <w:sz w:val="13"/>
                <w:szCs w:val="13"/>
                <w:b w:val="1"/>
                <w:bCs w:val="1"/>
                <w:color w:val="FFFFFF"/>
                <w:w w:val="97"/>
              </w:rPr>
              <w:t>Option Awards</w:t>
            </w:r>
          </w:p>
        </w:tc>
        <w:tc>
          <w:tcPr>
            <w:tcW w:w="120" w:type="dxa"/>
            <w:vAlign w:val="bottom"/>
            <w:tcBorders>
              <w:top w:val="single" w:sz="8" w:color="3C5896"/>
              <w:bottom w:val="single" w:sz="8" w:color="3C5896"/>
            </w:tcBorders>
            <w:shd w:val="clear" w:color="auto" w:fill="3C5896"/>
          </w:tcPr>
          <w:p>
            <w:pPr>
              <w:spacing w:after="0"/>
              <w:rPr>
                <w:sz w:val="18"/>
                <w:szCs w:val="18"/>
                <w:color w:val="auto"/>
              </w:rPr>
            </w:pPr>
          </w:p>
        </w:tc>
        <w:tc>
          <w:tcPr>
            <w:tcW w:w="46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800" w:type="dxa"/>
            <w:vAlign w:val="bottom"/>
            <w:tcBorders>
              <w:top w:val="single" w:sz="8" w:color="3C5896"/>
              <w:bottom w:val="single" w:sz="8" w:color="3C5896"/>
              <w:right w:val="single" w:sz="8" w:color="9EACCA"/>
            </w:tcBorders>
            <w:shd w:val="clear" w:color="auto" w:fill="3C5896"/>
          </w:tcPr>
          <w:p>
            <w:pPr>
              <w:spacing w:after="0"/>
              <w:rPr>
                <w:sz w:val="18"/>
                <w:szCs w:val="18"/>
                <w:color w:val="auto"/>
              </w:rPr>
            </w:pPr>
          </w:p>
        </w:tc>
        <w:tc>
          <w:tcPr>
            <w:tcW w:w="72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120" w:type="dxa"/>
            <w:vAlign w:val="bottom"/>
            <w:tcBorders>
              <w:top w:val="single" w:sz="8" w:color="3C5896"/>
              <w:bottom w:val="single" w:sz="8" w:color="3C5896"/>
            </w:tcBorders>
            <w:shd w:val="clear" w:color="auto" w:fill="3C5896"/>
          </w:tcPr>
          <w:p>
            <w:pPr>
              <w:spacing w:after="0"/>
              <w:rPr>
                <w:sz w:val="18"/>
                <w:szCs w:val="18"/>
                <w:color w:val="auto"/>
              </w:rPr>
            </w:pPr>
          </w:p>
        </w:tc>
        <w:tc>
          <w:tcPr>
            <w:tcW w:w="1500" w:type="dxa"/>
            <w:vAlign w:val="bottom"/>
            <w:tcBorders>
              <w:top w:val="single" w:sz="8" w:color="3C5896"/>
              <w:bottom w:val="single" w:sz="8" w:color="3C5896"/>
              <w:right w:val="single" w:sz="8" w:color="3C5896"/>
            </w:tcBorders>
            <w:gridSpan w:val="2"/>
            <w:shd w:val="clear" w:color="auto" w:fill="3C5896"/>
          </w:tcPr>
          <w:p>
            <w:pPr>
              <w:jc w:val="right"/>
              <w:ind w:right="314"/>
              <w:spacing w:after="0"/>
              <w:rPr>
                <w:sz w:val="20"/>
                <w:szCs w:val="20"/>
                <w:color w:val="auto"/>
              </w:rPr>
            </w:pPr>
            <w:r>
              <w:rPr>
                <w:rFonts w:ascii="Arial" w:cs="Arial" w:eastAsia="Arial" w:hAnsi="Arial"/>
                <w:sz w:val="13"/>
                <w:szCs w:val="13"/>
                <w:b w:val="1"/>
                <w:bCs w:val="1"/>
                <w:color w:val="FFFFFF"/>
              </w:rPr>
              <w:t>Stock Awards</w:t>
            </w:r>
          </w:p>
        </w:tc>
        <w:tc>
          <w:tcPr>
            <w:tcW w:w="120" w:type="dxa"/>
            <w:vAlign w:val="bottom"/>
            <w:tcBorders>
              <w:top w:val="single" w:sz="8" w:color="3C5896"/>
              <w:bottom w:val="single" w:sz="8" w:color="3C5896"/>
            </w:tcBorders>
            <w:shd w:val="clear" w:color="auto" w:fill="3C5896"/>
          </w:tcPr>
          <w:p>
            <w:pPr>
              <w:spacing w:after="0"/>
              <w:rPr>
                <w:sz w:val="18"/>
                <w:szCs w:val="18"/>
                <w:color w:val="auto"/>
              </w:rPr>
            </w:pPr>
          </w:p>
        </w:tc>
        <w:tc>
          <w:tcPr>
            <w:tcW w:w="70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35"/>
              <w:spacing w:after="0" w:line="140" w:lineRule="exact"/>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3C5896"/>
            </w:tcBorders>
            <w:gridSpan w:val="2"/>
            <w:shd w:val="clear" w:color="auto" w:fill="3C5896"/>
          </w:tcPr>
          <w:p>
            <w:pPr>
              <w:jc w:val="center"/>
              <w:ind w:right="15"/>
              <w:spacing w:after="0"/>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35"/>
              <w:spacing w:after="0"/>
              <w:rPr>
                <w:sz w:val="20"/>
                <w:szCs w:val="20"/>
                <w:color w:val="auto"/>
              </w:rPr>
            </w:pPr>
            <w:r>
              <w:rPr>
                <w:rFonts w:ascii="Arial" w:cs="Arial" w:eastAsia="Arial" w:hAnsi="Arial"/>
                <w:sz w:val="13"/>
                <w:szCs w:val="13"/>
                <w:b w:val="1"/>
                <w:bCs w:val="1"/>
                <w:color w:val="FFFFFF"/>
                <w:w w:val="94"/>
              </w:rPr>
              <w:t>Plan</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35"/>
              <w:spacing w:after="0"/>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49"/>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820" w:type="dxa"/>
            <w:vAlign w:val="bottom"/>
            <w:tcBorders>
              <w:right w:val="single" w:sz="8" w:color="3C5896"/>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Market or</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35"/>
              <w:spacing w:after="0"/>
              <w:rPr>
                <w:sz w:val="20"/>
                <w:szCs w:val="20"/>
                <w:color w:val="auto"/>
              </w:rPr>
            </w:pPr>
            <w:r>
              <w:rPr>
                <w:rFonts w:ascii="Arial" w:cs="Arial" w:eastAsia="Arial" w:hAnsi="Arial"/>
                <w:sz w:val="13"/>
                <w:szCs w:val="13"/>
                <w:b w:val="1"/>
                <w:bCs w:val="1"/>
                <w:color w:val="FFFFFF"/>
                <w:w w:val="96"/>
              </w:rPr>
              <w:t>Payout</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Plan</w:t>
            </w: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15"/>
              <w:spacing w:after="0"/>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Plan</w:t>
            </w: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820" w:type="dxa"/>
            <w:vAlign w:val="bottom"/>
            <w:tcBorders>
              <w:right w:val="single" w:sz="8" w:color="3C5896"/>
            </w:tcBorders>
            <w:gridSpan w:val="2"/>
            <w:shd w:val="clear" w:color="auto" w:fill="3C5896"/>
          </w:tcPr>
          <w:p>
            <w:pPr>
              <w:jc w:val="center"/>
              <w:ind w:right="15"/>
              <w:spacing w:after="0"/>
              <w:rPr>
                <w:sz w:val="20"/>
                <w:szCs w:val="20"/>
                <w:color w:val="auto"/>
              </w:rPr>
            </w:pPr>
            <w:r>
              <w:rPr>
                <w:rFonts w:ascii="Arial" w:cs="Arial" w:eastAsia="Arial" w:hAnsi="Arial"/>
                <w:sz w:val="13"/>
                <w:szCs w:val="13"/>
                <w:b w:val="1"/>
                <w:bCs w:val="1"/>
                <w:color w:val="FFFFFF"/>
                <w:w w:val="96"/>
              </w:rPr>
              <w:t>Unearned</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68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spacing w:after="0"/>
              <w:rPr>
                <w:sz w:val="12"/>
                <w:szCs w:val="12"/>
                <w:color w:val="auto"/>
              </w:rPr>
            </w:pPr>
          </w:p>
        </w:tc>
        <w:tc>
          <w:tcPr>
            <w:tcW w:w="120" w:type="dxa"/>
            <w:vAlign w:val="bottom"/>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jc w:val="center"/>
              <w:ind w:right="115"/>
              <w:spacing w:after="0"/>
              <w:rPr>
                <w:sz w:val="20"/>
                <w:szCs w:val="20"/>
                <w:color w:val="auto"/>
              </w:rPr>
            </w:pPr>
            <w:r>
              <w:rPr>
                <w:rFonts w:ascii="Arial" w:cs="Arial" w:eastAsia="Arial" w:hAnsi="Arial"/>
                <w:sz w:val="13"/>
                <w:szCs w:val="13"/>
                <w:b w:val="1"/>
                <w:bCs w:val="1"/>
                <w:color w:val="FFFFFF"/>
                <w:w w:val="95"/>
              </w:rPr>
              <w:t>Market</w:t>
            </w: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35"/>
              <w:spacing w:after="0"/>
              <w:rPr>
                <w:sz w:val="20"/>
                <w:szCs w:val="20"/>
                <w:color w:val="auto"/>
              </w:rPr>
            </w:pPr>
            <w:r>
              <w:rPr>
                <w:rFonts w:ascii="Arial" w:cs="Arial" w:eastAsia="Arial" w:hAnsi="Arial"/>
                <w:sz w:val="13"/>
                <w:szCs w:val="13"/>
                <w:b w:val="1"/>
                <w:bCs w:val="1"/>
                <w:color w:val="FFFFFF"/>
                <w:w w:val="97"/>
              </w:rPr>
              <w:t>Shares,</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9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7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Value of</w:t>
            </w: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15"/>
              <w:spacing w:after="0"/>
              <w:rPr>
                <w:sz w:val="20"/>
                <w:szCs w:val="20"/>
                <w:color w:val="auto"/>
              </w:rPr>
            </w:pPr>
            <w:r>
              <w:rPr>
                <w:rFonts w:ascii="Arial" w:cs="Arial" w:eastAsia="Arial" w:hAnsi="Arial"/>
                <w:sz w:val="13"/>
                <w:szCs w:val="13"/>
                <w:b w:val="1"/>
                <w:bCs w:val="1"/>
                <w:color w:val="FFFFFF"/>
                <w:w w:val="97"/>
              </w:rPr>
              <w:t>Units or</w:t>
            </w:r>
          </w:p>
        </w:tc>
        <w:tc>
          <w:tcPr>
            <w:tcW w:w="0" w:type="dxa"/>
            <w:vAlign w:val="bottom"/>
          </w:tcPr>
          <w:p>
            <w:pPr>
              <w:spacing w:after="0"/>
              <w:rPr>
                <w:sz w:val="1"/>
                <w:szCs w:val="1"/>
                <w:color w:val="auto"/>
              </w:rPr>
            </w:pPr>
          </w:p>
        </w:tc>
      </w:tr>
      <w:tr>
        <w:trPr>
          <w:trHeight w:val="149"/>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9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840" w:type="dxa"/>
            <w:vAlign w:val="bottom"/>
            <w:tcBorders>
              <w:right w:val="single" w:sz="8" w:color="9EACCA"/>
            </w:tcBorders>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6"/>
              </w:rPr>
              <w:t>Securities</w:t>
            </w: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740" w:type="dxa"/>
            <w:vAlign w:val="bottom"/>
            <w:tcBorders>
              <w:right w:val="single" w:sz="8" w:color="9EACCA"/>
            </w:tcBorders>
            <w:gridSpan w:val="2"/>
            <w:shd w:val="clear" w:color="auto" w:fill="3C5896"/>
          </w:tcPr>
          <w:p>
            <w:pPr>
              <w:jc w:val="center"/>
              <w:ind w:right="15"/>
              <w:spacing w:after="0"/>
              <w:rPr>
                <w:sz w:val="20"/>
                <w:szCs w:val="20"/>
                <w:color w:val="auto"/>
              </w:rPr>
            </w:pPr>
            <w:r>
              <w:rPr>
                <w:rFonts w:ascii="Arial" w:cs="Arial" w:eastAsia="Arial" w:hAnsi="Arial"/>
                <w:sz w:val="13"/>
                <w:szCs w:val="13"/>
                <w:b w:val="1"/>
                <w:bCs w:val="1"/>
                <w:color w:val="FFFFFF"/>
                <w:w w:val="96"/>
              </w:rPr>
              <w:t>Shares or</w:t>
            </w: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35"/>
              <w:spacing w:after="0"/>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9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Underlying</w:t>
            </w: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20" w:type="dxa"/>
            <w:vAlign w:val="bottom"/>
            <w:shd w:val="clear" w:color="auto" w:fill="3C5896"/>
          </w:tcPr>
          <w:p>
            <w:pPr>
              <w:spacing w:after="0"/>
              <w:rPr>
                <w:sz w:val="12"/>
                <w:szCs w:val="12"/>
                <w:color w:val="auto"/>
              </w:rPr>
            </w:pPr>
          </w:p>
        </w:tc>
        <w:tc>
          <w:tcPr>
            <w:tcW w:w="4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Units of</w:t>
            </w:r>
          </w:p>
        </w:tc>
        <w:tc>
          <w:tcPr>
            <w:tcW w:w="740" w:type="dxa"/>
            <w:vAlign w:val="bottom"/>
            <w:tcBorders>
              <w:right w:val="single" w:sz="8" w:color="9EACCA"/>
            </w:tcBorders>
            <w:gridSpan w:val="2"/>
            <w:shd w:val="clear" w:color="auto" w:fill="3C5896"/>
          </w:tcPr>
          <w:p>
            <w:pPr>
              <w:jc w:val="center"/>
              <w:ind w:right="15"/>
              <w:spacing w:after="0"/>
              <w:rPr>
                <w:sz w:val="20"/>
                <w:szCs w:val="20"/>
                <w:color w:val="auto"/>
              </w:rPr>
            </w:pPr>
            <w:r>
              <w:rPr>
                <w:rFonts w:ascii="Arial" w:cs="Arial" w:eastAsia="Arial" w:hAnsi="Arial"/>
                <w:sz w:val="13"/>
                <w:szCs w:val="13"/>
                <w:b w:val="1"/>
                <w:bCs w:val="1"/>
                <w:color w:val="FFFFFF"/>
                <w:w w:val="94"/>
              </w:rPr>
              <w:t>Units of</w:t>
            </w: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3"/>
              </w:rPr>
              <w:t>Units or</w:t>
            </w: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15"/>
              <w:spacing w:after="0"/>
              <w:rPr>
                <w:sz w:val="20"/>
                <w:szCs w:val="20"/>
                <w:color w:val="auto"/>
              </w:rPr>
            </w:pPr>
            <w:r>
              <w:rPr>
                <w:rFonts w:ascii="Arial" w:cs="Arial" w:eastAsia="Arial" w:hAnsi="Arial"/>
                <w:sz w:val="13"/>
                <w:szCs w:val="13"/>
                <w:b w:val="1"/>
                <w:bCs w:val="1"/>
                <w:color w:val="FFFFFF"/>
                <w:w w:val="98"/>
              </w:rPr>
              <w:t>Rights</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8"/>
              </w:rPr>
              <w:t>Unexercised</w:t>
            </w:r>
          </w:p>
        </w:tc>
        <w:tc>
          <w:tcPr>
            <w:tcW w:w="9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8"/>
              </w:rPr>
              <w:t>Unexercised</w:t>
            </w: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580" w:type="dxa"/>
            <w:vAlign w:val="bottom"/>
            <w:tcBorders>
              <w:right w:val="single" w:sz="8" w:color="9EACCA"/>
            </w:tcBorders>
            <w:gridSpan w:val="2"/>
            <w:shd w:val="clear" w:color="auto" w:fill="3C5896"/>
          </w:tcPr>
          <w:p>
            <w:pPr>
              <w:ind w:left="60"/>
              <w:spacing w:after="0"/>
              <w:rPr>
                <w:sz w:val="20"/>
                <w:szCs w:val="20"/>
                <w:color w:val="auto"/>
              </w:rPr>
            </w:pPr>
            <w:r>
              <w:rPr>
                <w:rFonts w:ascii="Arial" w:cs="Arial" w:eastAsia="Arial" w:hAnsi="Arial"/>
                <w:sz w:val="13"/>
                <w:szCs w:val="13"/>
                <w:b w:val="1"/>
                <w:bCs w:val="1"/>
                <w:color w:val="FFFFFF"/>
              </w:rPr>
              <w:t>Option</w:t>
            </w:r>
          </w:p>
        </w:tc>
        <w:tc>
          <w:tcPr>
            <w:tcW w:w="800" w:type="dxa"/>
            <w:vAlign w:val="bottom"/>
            <w:tcBorders>
              <w:right w:val="single" w:sz="8" w:color="9EACCA"/>
            </w:tcBorders>
            <w:shd w:val="clear" w:color="auto" w:fill="3C5896"/>
          </w:tcPr>
          <w:p>
            <w:pPr>
              <w:spacing w:after="0"/>
              <w:rPr>
                <w:sz w:val="12"/>
                <w:szCs w:val="12"/>
                <w:color w:val="auto"/>
              </w:rPr>
            </w:pPr>
          </w:p>
        </w:tc>
        <w:tc>
          <w:tcPr>
            <w:tcW w:w="72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6"/>
              </w:rPr>
              <w:t>Stock That</w:t>
            </w:r>
          </w:p>
        </w:tc>
        <w:tc>
          <w:tcPr>
            <w:tcW w:w="7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Stock That</w:t>
            </w: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9"/>
              </w:rPr>
              <w:t>Other Rights</w:t>
            </w:r>
          </w:p>
        </w:tc>
        <w:tc>
          <w:tcPr>
            <w:tcW w:w="12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135"/>
              <w:spacing w:after="0"/>
              <w:rPr>
                <w:sz w:val="20"/>
                <w:szCs w:val="20"/>
                <w:color w:val="auto"/>
              </w:rPr>
            </w:pPr>
            <w:r>
              <w:rPr>
                <w:rFonts w:ascii="Arial" w:cs="Arial" w:eastAsia="Arial" w:hAnsi="Arial"/>
                <w:sz w:val="13"/>
                <w:szCs w:val="13"/>
                <w:b w:val="1"/>
                <w:bCs w:val="1"/>
                <w:color w:val="FFFFFF"/>
                <w:w w:val="94"/>
              </w:rPr>
              <w:t>That</w:t>
            </w:r>
          </w:p>
        </w:tc>
        <w:tc>
          <w:tcPr>
            <w:tcW w:w="0" w:type="dxa"/>
            <w:vAlign w:val="bottom"/>
          </w:tcPr>
          <w:p>
            <w:pPr>
              <w:spacing w:after="0"/>
              <w:rPr>
                <w:sz w:val="1"/>
                <w:szCs w:val="1"/>
                <w:color w:val="auto"/>
              </w:rPr>
            </w:pPr>
          </w:p>
        </w:tc>
      </w:tr>
      <w:tr>
        <w:trPr>
          <w:trHeight w:val="148"/>
        </w:trPr>
        <w:tc>
          <w:tcPr>
            <w:tcW w:w="12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9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58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8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rPr>
              <w:t>Option</w:t>
            </w:r>
          </w:p>
        </w:tc>
        <w:tc>
          <w:tcPr>
            <w:tcW w:w="7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740" w:type="dxa"/>
            <w:vAlign w:val="bottom"/>
            <w:tcBorders>
              <w:right w:val="single" w:sz="8" w:color="9EACCA"/>
            </w:tcBorders>
            <w:gridSpan w:val="2"/>
            <w:shd w:val="clear" w:color="auto" w:fill="3C5896"/>
          </w:tcPr>
          <w:p>
            <w:pPr>
              <w:jc w:val="center"/>
              <w:ind w:right="15"/>
              <w:spacing w:after="0"/>
              <w:rPr>
                <w:sz w:val="20"/>
                <w:szCs w:val="20"/>
                <w:color w:val="auto"/>
              </w:rPr>
            </w:pPr>
            <w:r>
              <w:rPr>
                <w:rFonts w:ascii="Arial" w:cs="Arial" w:eastAsia="Arial" w:hAnsi="Arial"/>
                <w:sz w:val="13"/>
                <w:szCs w:val="13"/>
                <w:b w:val="1"/>
                <w:bCs w:val="1"/>
                <w:color w:val="FFFFFF"/>
                <w:w w:val="95"/>
              </w:rPr>
              <w:t>Have Not</w:t>
            </w:r>
          </w:p>
        </w:tc>
        <w:tc>
          <w:tcPr>
            <w:tcW w:w="8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That Have</w:t>
            </w:r>
          </w:p>
        </w:tc>
        <w:tc>
          <w:tcPr>
            <w:tcW w:w="820" w:type="dxa"/>
            <w:vAlign w:val="bottom"/>
            <w:tcBorders>
              <w:right w:val="single" w:sz="8" w:color="3C5896"/>
            </w:tcBorders>
            <w:gridSpan w:val="2"/>
            <w:shd w:val="clear" w:color="auto" w:fill="3C5896"/>
          </w:tcPr>
          <w:p>
            <w:pPr>
              <w:jc w:val="center"/>
              <w:ind w:right="15"/>
              <w:spacing w:after="0"/>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30"/>
        </w:trPr>
        <w:tc>
          <w:tcPr>
            <w:tcW w:w="1260" w:type="dxa"/>
            <w:vAlign w:val="bottom"/>
            <w:tcBorders>
              <w:left w:val="single" w:sz="8" w:color="3C5896"/>
              <w:right w:val="single" w:sz="8" w:color="9EACCA"/>
            </w:tcBorders>
            <w:shd w:val="clear" w:color="auto" w:fill="3C5896"/>
          </w:tcPr>
          <w:p>
            <w:pPr>
              <w:spacing w:after="0"/>
              <w:rPr>
                <w:sz w:val="11"/>
                <w:szCs w:val="11"/>
                <w:color w:val="auto"/>
              </w:rPr>
            </w:pPr>
          </w:p>
        </w:tc>
        <w:tc>
          <w:tcPr>
            <w:tcW w:w="780" w:type="dxa"/>
            <w:vAlign w:val="bottom"/>
            <w:tcBorders>
              <w:right w:val="single" w:sz="8" w:color="9EACCA"/>
            </w:tcBorders>
            <w:shd w:val="clear" w:color="auto" w:fill="3C5896"/>
          </w:tcPr>
          <w:p>
            <w:pPr>
              <w:jc w:val="right"/>
              <w:ind w:right="169"/>
              <w:spacing w:after="0" w:line="130" w:lineRule="exact"/>
              <w:rPr>
                <w:sz w:val="20"/>
                <w:szCs w:val="20"/>
                <w:color w:val="auto"/>
              </w:rPr>
            </w:pPr>
            <w:r>
              <w:rPr>
                <w:rFonts w:ascii="Arial" w:cs="Arial" w:eastAsia="Arial" w:hAnsi="Arial"/>
                <w:sz w:val="13"/>
                <w:szCs w:val="13"/>
                <w:b w:val="1"/>
                <w:bCs w:val="1"/>
                <w:color w:val="FFFFFF"/>
              </w:rPr>
              <w:t>Grant</w:t>
            </w:r>
          </w:p>
        </w:tc>
        <w:tc>
          <w:tcPr>
            <w:tcW w:w="84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6"/>
              </w:rPr>
              <w:t>Exercisable</w:t>
            </w:r>
          </w:p>
        </w:tc>
        <w:tc>
          <w:tcPr>
            <w:tcW w:w="940" w:type="dxa"/>
            <w:vAlign w:val="bottom"/>
            <w:tcBorders>
              <w:right w:val="single" w:sz="8" w:color="9EACCA"/>
            </w:tcBorders>
            <w:gridSpan w:val="2"/>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5"/>
              </w:rPr>
              <w:t>Unexercisable</w:t>
            </w:r>
          </w:p>
        </w:tc>
        <w:tc>
          <w:tcPr>
            <w:tcW w:w="84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7"/>
              </w:rPr>
              <w:t>Options</w:t>
            </w:r>
          </w:p>
        </w:tc>
        <w:tc>
          <w:tcPr>
            <w:tcW w:w="120" w:type="dxa"/>
            <w:vAlign w:val="bottom"/>
            <w:shd w:val="clear" w:color="auto" w:fill="3C5896"/>
          </w:tcPr>
          <w:p>
            <w:pPr>
              <w:spacing w:after="0"/>
              <w:rPr>
                <w:sz w:val="11"/>
                <w:szCs w:val="11"/>
                <w:color w:val="auto"/>
              </w:rPr>
            </w:pPr>
          </w:p>
        </w:tc>
        <w:tc>
          <w:tcPr>
            <w:tcW w:w="460" w:type="dxa"/>
            <w:vAlign w:val="bottom"/>
            <w:tcBorders>
              <w:right w:val="single" w:sz="8" w:color="9EACCA"/>
            </w:tcBorders>
            <w:shd w:val="clear" w:color="auto" w:fill="3C5896"/>
          </w:tcPr>
          <w:p>
            <w:pPr>
              <w:jc w:val="center"/>
              <w:ind w:right="71"/>
              <w:spacing w:after="0" w:line="130" w:lineRule="exact"/>
              <w:rPr>
                <w:sz w:val="20"/>
                <w:szCs w:val="20"/>
                <w:color w:val="auto"/>
              </w:rPr>
            </w:pPr>
            <w:r>
              <w:rPr>
                <w:rFonts w:ascii="Arial" w:cs="Arial" w:eastAsia="Arial" w:hAnsi="Arial"/>
                <w:sz w:val="13"/>
                <w:szCs w:val="13"/>
                <w:b w:val="1"/>
                <w:bCs w:val="1"/>
                <w:color w:val="FFFFFF"/>
              </w:rPr>
              <w:t>Price</w:t>
            </w:r>
          </w:p>
        </w:tc>
        <w:tc>
          <w:tcPr>
            <w:tcW w:w="80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7"/>
              </w:rPr>
              <w:t>Expiration</w:t>
            </w:r>
          </w:p>
        </w:tc>
        <w:tc>
          <w:tcPr>
            <w:tcW w:w="72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3"/>
              </w:rPr>
              <w:t>Vested</w:t>
            </w:r>
          </w:p>
        </w:tc>
        <w:tc>
          <w:tcPr>
            <w:tcW w:w="120" w:type="dxa"/>
            <w:vAlign w:val="bottom"/>
            <w:shd w:val="clear" w:color="auto" w:fill="3C5896"/>
          </w:tcPr>
          <w:p>
            <w:pPr>
              <w:spacing w:after="0"/>
              <w:rPr>
                <w:sz w:val="11"/>
                <w:szCs w:val="11"/>
                <w:color w:val="auto"/>
              </w:rPr>
            </w:pPr>
          </w:p>
        </w:tc>
        <w:tc>
          <w:tcPr>
            <w:tcW w:w="620" w:type="dxa"/>
            <w:vAlign w:val="bottom"/>
            <w:tcBorders>
              <w:right w:val="single" w:sz="8" w:color="9EACCA"/>
            </w:tcBorders>
            <w:shd w:val="clear" w:color="auto" w:fill="3C5896"/>
          </w:tcPr>
          <w:p>
            <w:pPr>
              <w:jc w:val="center"/>
              <w:ind w:right="95"/>
              <w:spacing w:after="0" w:line="130" w:lineRule="exact"/>
              <w:rPr>
                <w:sz w:val="20"/>
                <w:szCs w:val="20"/>
                <w:color w:val="auto"/>
              </w:rPr>
            </w:pPr>
            <w:r>
              <w:rPr>
                <w:rFonts w:ascii="Arial" w:cs="Arial" w:eastAsia="Arial" w:hAnsi="Arial"/>
                <w:sz w:val="13"/>
                <w:szCs w:val="13"/>
                <w:b w:val="1"/>
                <w:bCs w:val="1"/>
                <w:color w:val="FFFFFF"/>
                <w:w w:val="98"/>
              </w:rPr>
              <w:t>Vested</w:t>
            </w:r>
          </w:p>
        </w:tc>
        <w:tc>
          <w:tcPr>
            <w:tcW w:w="88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7"/>
              </w:rPr>
              <w:t>Not Vested</w:t>
            </w:r>
          </w:p>
        </w:tc>
        <w:tc>
          <w:tcPr>
            <w:tcW w:w="120" w:type="dxa"/>
            <w:vAlign w:val="bottom"/>
            <w:shd w:val="clear" w:color="auto" w:fill="3C5896"/>
          </w:tcPr>
          <w:p>
            <w:pPr>
              <w:spacing w:after="0"/>
              <w:rPr>
                <w:sz w:val="11"/>
                <w:szCs w:val="11"/>
                <w:color w:val="auto"/>
              </w:rPr>
            </w:pPr>
          </w:p>
        </w:tc>
        <w:tc>
          <w:tcPr>
            <w:tcW w:w="700" w:type="dxa"/>
            <w:vAlign w:val="bottom"/>
            <w:tcBorders>
              <w:right w:val="single" w:sz="8" w:color="3C5896"/>
            </w:tcBorders>
            <w:shd w:val="clear" w:color="auto" w:fill="3C5896"/>
          </w:tcPr>
          <w:p>
            <w:pPr>
              <w:jc w:val="center"/>
              <w:ind w:right="95"/>
              <w:spacing w:after="0" w:line="130" w:lineRule="exact"/>
              <w:rPr>
                <w:sz w:val="20"/>
                <w:szCs w:val="20"/>
                <w:color w:val="auto"/>
              </w:rPr>
            </w:pPr>
            <w:r>
              <w:rPr>
                <w:rFonts w:ascii="Arial" w:cs="Arial" w:eastAsia="Arial" w:hAnsi="Arial"/>
                <w:sz w:val="13"/>
                <w:szCs w:val="13"/>
                <w:b w:val="1"/>
                <w:bCs w:val="1"/>
                <w:color w:val="FFFFFF"/>
                <w:w w:val="98"/>
              </w:rPr>
              <w:t>Vested</w:t>
            </w:r>
          </w:p>
        </w:tc>
        <w:tc>
          <w:tcPr>
            <w:tcW w:w="0" w:type="dxa"/>
            <w:vAlign w:val="bottom"/>
          </w:tcPr>
          <w:p>
            <w:pPr>
              <w:spacing w:after="0"/>
              <w:rPr>
                <w:sz w:val="1"/>
                <w:szCs w:val="1"/>
                <w:color w:val="auto"/>
              </w:rPr>
            </w:pPr>
          </w:p>
        </w:tc>
      </w:tr>
      <w:tr>
        <w:trPr>
          <w:trHeight w:val="216"/>
        </w:trPr>
        <w:tc>
          <w:tcPr>
            <w:tcW w:w="1260" w:type="dxa"/>
            <w:vAlign w:val="bottom"/>
            <w:tcBorders>
              <w:left w:val="single" w:sz="8" w:color="3C5896"/>
              <w:right w:val="single" w:sz="8" w:color="9EACCA"/>
            </w:tcBorders>
            <w:shd w:val="clear" w:color="auto" w:fill="3C5896"/>
          </w:tcPr>
          <w:p>
            <w:pPr>
              <w:ind w:left="460"/>
              <w:spacing w:after="0"/>
              <w:rPr>
                <w:sz w:val="20"/>
                <w:szCs w:val="20"/>
                <w:color w:val="auto"/>
              </w:rPr>
            </w:pPr>
            <w:r>
              <w:rPr>
                <w:rFonts w:ascii="Arial" w:cs="Arial" w:eastAsia="Arial" w:hAnsi="Arial"/>
                <w:sz w:val="13"/>
                <w:szCs w:val="13"/>
                <w:b w:val="1"/>
                <w:bCs w:val="1"/>
                <w:color w:val="FFFFFF"/>
              </w:rPr>
              <w:t>Name</w:t>
            </w:r>
          </w:p>
        </w:tc>
        <w:tc>
          <w:tcPr>
            <w:tcW w:w="780" w:type="dxa"/>
            <w:vAlign w:val="bottom"/>
            <w:tcBorders>
              <w:right w:val="single" w:sz="8" w:color="9EACCA"/>
            </w:tcBorders>
            <w:shd w:val="clear" w:color="auto" w:fill="3C5896"/>
          </w:tcPr>
          <w:p>
            <w:pPr>
              <w:jc w:val="right"/>
              <w:ind w:right="189"/>
              <w:spacing w:after="0"/>
              <w:rPr>
                <w:sz w:val="20"/>
                <w:szCs w:val="20"/>
                <w:color w:val="auto"/>
              </w:rPr>
            </w:pPr>
            <w:r>
              <w:rPr>
                <w:rFonts w:ascii="Arial" w:cs="Arial" w:eastAsia="Arial" w:hAnsi="Arial"/>
                <w:sz w:val="13"/>
                <w:szCs w:val="13"/>
                <w:b w:val="1"/>
                <w:bCs w:val="1"/>
                <w:color w:val="FFFFFF"/>
              </w:rPr>
              <w:t>Date</w:t>
            </w: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3C5896"/>
          </w:tcPr>
          <w:p>
            <w:pPr>
              <w:jc w:val="center"/>
              <w:ind w:left="172"/>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(1)</w:t>
            </w:r>
          </w:p>
        </w:tc>
        <w:tc>
          <w:tcPr>
            <w:tcW w:w="260" w:type="dxa"/>
            <w:vAlign w:val="bottom"/>
            <w:tcBorders>
              <w:right w:val="single" w:sz="8" w:color="9EACCA"/>
            </w:tcBorders>
            <w:shd w:val="clear" w:color="auto" w:fill="3C5896"/>
          </w:tcPr>
          <w:p>
            <w:pPr>
              <w:spacing w:after="0"/>
              <w:rPr>
                <w:sz w:val="18"/>
                <w:szCs w:val="18"/>
                <w:color w:val="auto"/>
              </w:rPr>
            </w:pPr>
          </w:p>
        </w:tc>
        <w:tc>
          <w:tcPr>
            <w:tcW w:w="84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(2)</w:t>
            </w:r>
          </w:p>
        </w:tc>
        <w:tc>
          <w:tcPr>
            <w:tcW w:w="120" w:type="dxa"/>
            <w:vAlign w:val="bottom"/>
            <w:shd w:val="clear" w:color="auto" w:fill="3C5896"/>
          </w:tcPr>
          <w:p>
            <w:pPr>
              <w:spacing w:after="0"/>
              <w:rPr>
                <w:sz w:val="18"/>
                <w:szCs w:val="18"/>
                <w:color w:val="auto"/>
              </w:rPr>
            </w:pPr>
          </w:p>
        </w:tc>
        <w:tc>
          <w:tcPr>
            <w:tcW w:w="460" w:type="dxa"/>
            <w:vAlign w:val="bottom"/>
            <w:tcBorders>
              <w:right w:val="single" w:sz="8" w:color="9EACCA"/>
            </w:tcBorders>
            <w:shd w:val="clear" w:color="auto" w:fill="3C5896"/>
          </w:tcPr>
          <w:p>
            <w:pPr>
              <w:jc w:val="center"/>
              <w:ind w:right="71"/>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6"/>
              </w:rPr>
              <w:t>Date</w:t>
            </w:r>
            <w:r>
              <w:rPr>
                <w:rFonts w:ascii="Arial" w:cs="Arial" w:eastAsia="Arial" w:hAnsi="Arial"/>
                <w:sz w:val="19"/>
                <w:szCs w:val="19"/>
                <w:b w:val="1"/>
                <w:bCs w:val="1"/>
                <w:color w:val="FFFFFF"/>
                <w:w w:val="86"/>
                <w:vertAlign w:val="superscript"/>
              </w:rPr>
              <w:t>(3)</w:t>
            </w:r>
          </w:p>
        </w:tc>
        <w:tc>
          <w:tcPr>
            <w:tcW w:w="72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(4)</w:t>
            </w:r>
          </w:p>
        </w:tc>
        <w:tc>
          <w:tcPr>
            <w:tcW w:w="740" w:type="dxa"/>
            <w:vAlign w:val="bottom"/>
            <w:tcBorders>
              <w:right w:val="single" w:sz="8" w:color="9EACCA"/>
            </w:tcBorders>
            <w:gridSpan w:val="2"/>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9"/>
                <w:szCs w:val="19"/>
                <w:b w:val="1"/>
                <w:bCs w:val="1"/>
                <w:color w:val="FFFFFF"/>
                <w:w w:val="82"/>
                <w:vertAlign w:val="superscript"/>
              </w:rPr>
              <w:t>(5)</w:t>
            </w:r>
          </w:p>
        </w:tc>
        <w:tc>
          <w:tcPr>
            <w:tcW w:w="88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9"/>
                <w:szCs w:val="19"/>
                <w:b w:val="1"/>
                <w:bCs w:val="1"/>
                <w:color w:val="FFFFFF"/>
                <w:w w:val="82"/>
                <w:vertAlign w:val="superscript"/>
              </w:rPr>
              <w:t>(6)</w:t>
            </w:r>
          </w:p>
        </w:tc>
        <w:tc>
          <w:tcPr>
            <w:tcW w:w="120" w:type="dxa"/>
            <w:vAlign w:val="bottom"/>
            <w:shd w:val="clear" w:color="auto" w:fill="3C5896"/>
          </w:tcPr>
          <w:p>
            <w:pPr>
              <w:spacing w:after="0"/>
              <w:rPr>
                <w:sz w:val="18"/>
                <w:szCs w:val="18"/>
                <w:color w:val="auto"/>
              </w:rPr>
            </w:pPr>
          </w:p>
        </w:tc>
        <w:tc>
          <w:tcPr>
            <w:tcW w:w="700" w:type="dxa"/>
            <w:vAlign w:val="bottom"/>
            <w:tcBorders>
              <w:right w:val="single" w:sz="8" w:color="3C5896"/>
            </w:tcBorders>
            <w:shd w:val="clear" w:color="auto" w:fill="3C5896"/>
          </w:tcPr>
          <w:p>
            <w:pPr>
              <w:jc w:val="center"/>
              <w:ind w:right="95"/>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218"/>
        </w:trPr>
        <w:tc>
          <w:tcPr>
            <w:tcW w:w="126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L. Reade Fahs</w:t>
            </w: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3/13/2014</w:t>
            </w:r>
          </w:p>
        </w:tc>
        <w:tc>
          <w:tcPr>
            <w:tcW w:w="840" w:type="dxa"/>
            <w:vAlign w:val="bottom"/>
            <w:tcBorders>
              <w:right w:val="single" w:sz="8" w:color="9EACCA"/>
            </w:tcBorders>
          </w:tcPr>
          <w:p>
            <w:pPr>
              <w:jc w:val="right"/>
              <w:ind w:right="92"/>
              <w:spacing w:after="0"/>
              <w:rPr>
                <w:sz w:val="20"/>
                <w:szCs w:val="20"/>
                <w:color w:val="auto"/>
              </w:rPr>
            </w:pPr>
            <w:r>
              <w:rPr>
                <w:rFonts w:ascii="Arial" w:cs="Arial" w:eastAsia="Arial" w:hAnsi="Arial"/>
                <w:sz w:val="14"/>
                <w:szCs w:val="14"/>
                <w:color w:val="auto"/>
              </w:rPr>
              <w:t>976,470</w:t>
            </w:r>
          </w:p>
        </w:tc>
        <w:tc>
          <w:tcPr>
            <w:tcW w:w="94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9EACCA"/>
            </w:tcBorders>
          </w:tcPr>
          <w:p>
            <w:pPr>
              <w:jc w:val="right"/>
              <w:ind w:right="11"/>
              <w:spacing w:after="0"/>
              <w:rPr>
                <w:sz w:val="20"/>
                <w:szCs w:val="20"/>
                <w:color w:val="auto"/>
              </w:rPr>
            </w:pPr>
            <w:r>
              <w:rPr>
                <w:rFonts w:ascii="Arial" w:cs="Arial" w:eastAsia="Arial" w:hAnsi="Arial"/>
                <w:sz w:val="14"/>
                <w:szCs w:val="14"/>
                <w:color w:val="auto"/>
              </w:rPr>
              <w:t>4.27</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3/13/2024</w:t>
            </w:r>
          </w:p>
        </w:tc>
        <w:tc>
          <w:tcPr>
            <w:tcW w:w="720" w:type="dxa"/>
            <w:vAlign w:val="bottom"/>
            <w:tcBorders>
              <w:right w:val="single" w:sz="8" w:color="9EACCA"/>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880" w:type="dxa"/>
            <w:vAlign w:val="bottom"/>
            <w:tcBorders>
              <w:right w:val="single" w:sz="8" w:color="9EACCA"/>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3C5896"/>
              <w:right w:val="single" w:sz="8" w:color="9EACCA"/>
            </w:tcBorders>
          </w:tcPr>
          <w:p>
            <w:pPr>
              <w:spacing w:after="0"/>
              <w:rPr>
                <w:sz w:val="21"/>
                <w:szCs w:val="21"/>
                <w:color w:val="auto"/>
              </w:rPr>
            </w:pP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3/1/2019</w:t>
            </w:r>
          </w:p>
        </w:tc>
        <w:tc>
          <w:tcPr>
            <w:tcW w:w="840" w:type="dxa"/>
            <w:vAlign w:val="bottom"/>
            <w:tcBorders>
              <w:right w:val="single" w:sz="8" w:color="9EACCA"/>
            </w:tcBorders>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79,114</w:t>
            </w:r>
          </w:p>
        </w:tc>
        <w:tc>
          <w:tcPr>
            <w:tcW w:w="84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3/1/2029</w:t>
            </w:r>
          </w:p>
        </w:tc>
        <w:tc>
          <w:tcPr>
            <w:tcW w:w="720" w:type="dxa"/>
            <w:vAlign w:val="bottom"/>
            <w:tcBorders>
              <w:right w:val="single" w:sz="8" w:color="9EACCA"/>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Borders>
              <w:right w:val="single" w:sz="8" w:color="9EACCA"/>
            </w:tcBorders>
          </w:tcPr>
          <w:p>
            <w:pPr>
              <w:spacing w:after="0"/>
              <w:rPr>
                <w:sz w:val="21"/>
                <w:szCs w:val="21"/>
                <w:color w:val="auto"/>
              </w:rPr>
            </w:pPr>
          </w:p>
        </w:tc>
        <w:tc>
          <w:tcPr>
            <w:tcW w:w="880" w:type="dxa"/>
            <w:vAlign w:val="bottom"/>
            <w:tcBorders>
              <w:right w:val="single" w:sz="8" w:color="9EACCA"/>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Borders>
              <w:left w:val="single" w:sz="8" w:color="3C5896"/>
              <w:right w:val="single" w:sz="8" w:color="9EACCA"/>
            </w:tcBorders>
          </w:tcPr>
          <w:p>
            <w:pPr>
              <w:spacing w:after="0"/>
              <w:rPr>
                <w:sz w:val="19"/>
                <w:szCs w:val="19"/>
                <w:color w:val="auto"/>
              </w:rPr>
            </w:pP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3/1/2019</w:t>
            </w:r>
          </w:p>
        </w:tc>
        <w:tc>
          <w:tcPr>
            <w:tcW w:w="840" w:type="dxa"/>
            <w:vAlign w:val="bottom"/>
            <w:tcBorders>
              <w:right w:val="single" w:sz="8" w:color="9EACCA"/>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2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8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31,970</w:t>
            </w:r>
          </w:p>
        </w:tc>
        <w:tc>
          <w:tcPr>
            <w:tcW w:w="82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$1,058,207</w:t>
            </w:r>
          </w:p>
        </w:tc>
        <w:tc>
          <w:tcPr>
            <w:tcW w:w="0" w:type="dxa"/>
            <w:vAlign w:val="bottom"/>
          </w:tcPr>
          <w:p>
            <w:pPr>
              <w:spacing w:after="0"/>
              <w:rPr>
                <w:sz w:val="1"/>
                <w:szCs w:val="1"/>
                <w:color w:val="auto"/>
              </w:rPr>
            </w:pPr>
          </w:p>
        </w:tc>
      </w:tr>
      <w:tr>
        <w:trPr>
          <w:trHeight w:val="25"/>
        </w:trPr>
        <w:tc>
          <w:tcPr>
            <w:tcW w:w="1260" w:type="dxa"/>
            <w:vAlign w:val="bottom"/>
            <w:tcBorders>
              <w:left w:val="single" w:sz="8" w:color="3C5896"/>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right w:val="single" w:sz="8" w:color="9EACCA"/>
            </w:tcBorders>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88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Patrick R. Moore</w:t>
            </w: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9/16/2014</w:t>
            </w:r>
          </w:p>
        </w:tc>
        <w:tc>
          <w:tcPr>
            <w:tcW w:w="840" w:type="dxa"/>
            <w:vAlign w:val="bottom"/>
            <w:tcBorders>
              <w:right w:val="single" w:sz="8" w:color="9EACCA"/>
            </w:tcBorders>
            <w:shd w:val="clear" w:color="auto" w:fill="CCCCCC"/>
          </w:tcPr>
          <w:p>
            <w:pPr>
              <w:jc w:val="right"/>
              <w:ind w:right="92"/>
              <w:spacing w:after="0"/>
              <w:rPr>
                <w:sz w:val="20"/>
                <w:szCs w:val="20"/>
                <w:color w:val="auto"/>
              </w:rPr>
            </w:pPr>
            <w:r>
              <w:rPr>
                <w:rFonts w:ascii="Arial" w:cs="Arial" w:eastAsia="Arial" w:hAnsi="Arial"/>
                <w:sz w:val="14"/>
                <w:szCs w:val="14"/>
                <w:color w:val="auto"/>
              </w:rPr>
              <w:t>122,241</w:t>
            </w:r>
          </w:p>
        </w:tc>
        <w:tc>
          <w:tcPr>
            <w:tcW w:w="940" w:type="dxa"/>
            <w:vAlign w:val="bottom"/>
            <w:tcBorders>
              <w:right w:val="single" w:sz="8" w:color="9EACCA"/>
            </w:tcBorders>
            <w:gridSpan w:val="2"/>
            <w:shd w:val="clear" w:color="auto" w:fill="CCCCCC"/>
          </w:tcPr>
          <w:p>
            <w:pPr>
              <w:jc w:val="right"/>
              <w:ind w:right="197"/>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ind w:left="40"/>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9EACCA"/>
            </w:tcBorders>
            <w:shd w:val="clear" w:color="auto" w:fill="CCCCCC"/>
          </w:tcPr>
          <w:p>
            <w:pPr>
              <w:jc w:val="right"/>
              <w:ind w:right="11"/>
              <w:spacing w:after="0"/>
              <w:rPr>
                <w:sz w:val="20"/>
                <w:szCs w:val="20"/>
                <w:color w:val="auto"/>
              </w:rPr>
            </w:pPr>
            <w:r>
              <w:rPr>
                <w:rFonts w:ascii="Arial" w:cs="Arial" w:eastAsia="Arial" w:hAnsi="Arial"/>
                <w:sz w:val="14"/>
                <w:szCs w:val="14"/>
                <w:color w:val="auto"/>
              </w:rPr>
              <w:t>4.27</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9/16/2024</w:t>
            </w:r>
          </w:p>
        </w:tc>
        <w:tc>
          <w:tcPr>
            <w:tcW w:w="720" w:type="dxa"/>
            <w:vAlign w:val="bottom"/>
            <w:tcBorders>
              <w:right w:val="single" w:sz="8" w:color="9EACCA"/>
            </w:tcBorders>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spacing w:after="0"/>
              <w:rPr>
                <w:sz w:val="18"/>
                <w:szCs w:val="18"/>
                <w:color w:val="auto"/>
              </w:rPr>
            </w:pPr>
          </w:p>
        </w:tc>
        <w:tc>
          <w:tcPr>
            <w:tcW w:w="880" w:type="dxa"/>
            <w:vAlign w:val="bottom"/>
            <w:tcBorders>
              <w:right w:val="single" w:sz="8" w:color="9EACCA"/>
            </w:tcBorders>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0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3C5896"/>
              <w:right w:val="single" w:sz="8" w:color="9EACCA"/>
            </w:tcBorders>
            <w:shd w:val="clear" w:color="auto" w:fill="CCCCCC"/>
          </w:tcPr>
          <w:p>
            <w:pPr>
              <w:spacing w:after="0"/>
              <w:rPr>
                <w:sz w:val="21"/>
                <w:szCs w:val="21"/>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9/16/2014</w:t>
            </w:r>
          </w:p>
        </w:tc>
        <w:tc>
          <w:tcPr>
            <w:tcW w:w="840" w:type="dxa"/>
            <w:vAlign w:val="bottom"/>
            <w:tcBorders>
              <w:right w:val="single" w:sz="8" w:color="9EACCA"/>
            </w:tcBorders>
            <w:shd w:val="clear" w:color="auto" w:fill="CCCCCC"/>
          </w:tcPr>
          <w:p>
            <w:pPr>
              <w:jc w:val="right"/>
              <w:ind w:right="92"/>
              <w:spacing w:after="0"/>
              <w:rPr>
                <w:sz w:val="20"/>
                <w:szCs w:val="20"/>
                <w:color w:val="auto"/>
              </w:rPr>
            </w:pPr>
            <w:r>
              <w:rPr>
                <w:rFonts w:ascii="Arial" w:cs="Arial" w:eastAsia="Arial" w:hAnsi="Arial"/>
                <w:sz w:val="14"/>
                <w:szCs w:val="14"/>
                <w:color w:val="auto"/>
              </w:rPr>
              <w:t>21,360</w:t>
            </w:r>
          </w:p>
        </w:tc>
        <w:tc>
          <w:tcPr>
            <w:tcW w:w="940" w:type="dxa"/>
            <w:vAlign w:val="bottom"/>
            <w:tcBorders>
              <w:right w:val="single" w:sz="8" w:color="9EACCA"/>
            </w:tcBorders>
            <w:gridSpan w:val="2"/>
            <w:shd w:val="clear" w:color="auto" w:fill="CCCCCC"/>
          </w:tcPr>
          <w:p>
            <w:pPr>
              <w:jc w:val="right"/>
              <w:ind w:right="197"/>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ind w:left="40"/>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9EACCA"/>
            </w:tcBorders>
            <w:shd w:val="clear" w:color="auto" w:fill="CCCCCC"/>
          </w:tcPr>
          <w:p>
            <w:pPr>
              <w:jc w:val="right"/>
              <w:ind w:right="11"/>
              <w:spacing w:after="0"/>
              <w:rPr>
                <w:sz w:val="20"/>
                <w:szCs w:val="20"/>
                <w:color w:val="auto"/>
              </w:rPr>
            </w:pPr>
            <w:r>
              <w:rPr>
                <w:rFonts w:ascii="Arial" w:cs="Arial" w:eastAsia="Arial" w:hAnsi="Arial"/>
                <w:sz w:val="14"/>
                <w:szCs w:val="14"/>
                <w:color w:val="auto"/>
              </w:rPr>
              <w:t>7.25</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9/16/2024</w:t>
            </w:r>
          </w:p>
        </w:tc>
        <w:tc>
          <w:tcPr>
            <w:tcW w:w="720" w:type="dxa"/>
            <w:vAlign w:val="bottom"/>
            <w:tcBorders>
              <w:right w:val="single" w:sz="8" w:color="9EACCA"/>
            </w:tcBorders>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620" w:type="dxa"/>
            <w:vAlign w:val="bottom"/>
            <w:tcBorders>
              <w:right w:val="single" w:sz="8" w:color="9EACCA"/>
            </w:tcBorders>
            <w:shd w:val="clear" w:color="auto" w:fill="CCCCCC"/>
          </w:tcPr>
          <w:p>
            <w:pPr>
              <w:spacing w:after="0"/>
              <w:rPr>
                <w:sz w:val="21"/>
                <w:szCs w:val="21"/>
                <w:color w:val="auto"/>
              </w:rPr>
            </w:pPr>
          </w:p>
        </w:tc>
        <w:tc>
          <w:tcPr>
            <w:tcW w:w="880" w:type="dxa"/>
            <w:vAlign w:val="bottom"/>
            <w:tcBorders>
              <w:right w:val="single" w:sz="8" w:color="9EACCA"/>
            </w:tcBorders>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700" w:type="dxa"/>
            <w:vAlign w:val="bottom"/>
            <w:tcBorders>
              <w:right w:val="single" w:sz="8" w:color="3C5896"/>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Borders>
              <w:left w:val="single" w:sz="8" w:color="3C5896"/>
              <w:right w:val="single" w:sz="8" w:color="9EACCA"/>
            </w:tcBorders>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10/25/2017</w:t>
            </w:r>
          </w:p>
        </w:tc>
        <w:tc>
          <w:tcPr>
            <w:tcW w:w="840" w:type="dxa"/>
            <w:vAlign w:val="bottom"/>
            <w:tcBorders>
              <w:right w:val="single" w:sz="8" w:color="9EACCA"/>
            </w:tcBorders>
            <w:shd w:val="clear" w:color="auto" w:fill="CCCCCC"/>
          </w:tcPr>
          <w:p>
            <w:pPr>
              <w:jc w:val="right"/>
              <w:ind w:right="92"/>
              <w:spacing w:after="0"/>
              <w:rPr>
                <w:sz w:val="20"/>
                <w:szCs w:val="20"/>
                <w:color w:val="auto"/>
              </w:rPr>
            </w:pPr>
            <w:r>
              <w:rPr>
                <w:rFonts w:ascii="Arial" w:cs="Arial" w:eastAsia="Arial" w:hAnsi="Arial"/>
                <w:sz w:val="14"/>
                <w:szCs w:val="14"/>
                <w:color w:val="auto"/>
              </w:rPr>
              <w:t>61,628</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30,815</w:t>
            </w:r>
          </w:p>
        </w:tc>
        <w:tc>
          <w:tcPr>
            <w:tcW w:w="260" w:type="dxa"/>
            <w:vAlign w:val="bottom"/>
            <w:tcBorders>
              <w:right w:val="single" w:sz="8" w:color="9EACCA"/>
            </w:tcBorders>
            <w:shd w:val="clear" w:color="auto" w:fill="CCCCCC"/>
          </w:tcPr>
          <w:p>
            <w:pPr>
              <w:spacing w:after="0"/>
              <w:rPr>
                <w:sz w:val="19"/>
                <w:szCs w:val="19"/>
                <w:color w:val="auto"/>
              </w:rPr>
            </w:pPr>
          </w:p>
        </w:tc>
        <w:tc>
          <w:tcPr>
            <w:tcW w:w="84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ind w:left="40"/>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9EACCA"/>
            </w:tcBorders>
            <w:shd w:val="clear" w:color="auto" w:fill="CCCCCC"/>
          </w:tcPr>
          <w:p>
            <w:pPr>
              <w:jc w:val="right"/>
              <w:ind w:right="11"/>
              <w:spacing w:after="0"/>
              <w:rPr>
                <w:sz w:val="20"/>
                <w:szCs w:val="20"/>
                <w:color w:val="auto"/>
              </w:rPr>
            </w:pPr>
            <w:r>
              <w:rPr>
                <w:rFonts w:ascii="Arial" w:cs="Arial" w:eastAsia="Arial" w:hAnsi="Arial"/>
                <w:sz w:val="14"/>
                <w:szCs w:val="14"/>
                <w:color w:val="auto"/>
              </w:rPr>
              <w:t>22.00</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10/25/2027</w:t>
            </w:r>
          </w:p>
        </w:tc>
        <w:tc>
          <w:tcPr>
            <w:tcW w:w="720" w:type="dxa"/>
            <w:vAlign w:val="bottom"/>
            <w:tcBorders>
              <w:right w:val="single" w:sz="8" w:color="9EACCA"/>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80" w:type="dxa"/>
            <w:vAlign w:val="bottom"/>
            <w:tcBorders>
              <w:right w:val="single" w:sz="8" w:color="9EACCA"/>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Borders>
              <w:left w:val="single" w:sz="8" w:color="3C5896"/>
              <w:right w:val="single" w:sz="8" w:color="9EACCA"/>
            </w:tcBorders>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40" w:type="dxa"/>
            <w:vAlign w:val="bottom"/>
            <w:tcBorders>
              <w:right w:val="single" w:sz="8" w:color="9EACCA"/>
            </w:tcBorders>
            <w:shd w:val="clear" w:color="auto" w:fill="CCCCCC"/>
          </w:tcPr>
          <w:p>
            <w:pPr>
              <w:spacing w:after="0"/>
              <w:rPr>
                <w:sz w:val="19"/>
                <w:szCs w:val="19"/>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21,098</w:t>
            </w:r>
          </w:p>
        </w:tc>
        <w:tc>
          <w:tcPr>
            <w:tcW w:w="260" w:type="dxa"/>
            <w:vAlign w:val="bottom"/>
            <w:tcBorders>
              <w:right w:val="single" w:sz="8" w:color="9EACCA"/>
            </w:tcBorders>
            <w:shd w:val="clear" w:color="auto" w:fill="CCCCCC"/>
          </w:tcPr>
          <w:p>
            <w:pPr>
              <w:spacing w:after="0"/>
              <w:rPr>
                <w:sz w:val="19"/>
                <w:szCs w:val="19"/>
                <w:color w:val="auto"/>
              </w:rPr>
            </w:pPr>
          </w:p>
        </w:tc>
        <w:tc>
          <w:tcPr>
            <w:tcW w:w="84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ind w:left="40"/>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9EACCA"/>
            </w:tcBorders>
            <w:shd w:val="clear" w:color="auto" w:fill="CCCCCC"/>
          </w:tcPr>
          <w:p>
            <w:pPr>
              <w:jc w:val="right"/>
              <w:ind w:right="11"/>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3/1/2029</w:t>
            </w:r>
          </w:p>
        </w:tc>
        <w:tc>
          <w:tcPr>
            <w:tcW w:w="720" w:type="dxa"/>
            <w:vAlign w:val="bottom"/>
            <w:tcBorders>
              <w:right w:val="single" w:sz="8" w:color="9EACCA"/>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80" w:type="dxa"/>
            <w:vAlign w:val="bottom"/>
            <w:tcBorders>
              <w:right w:val="single" w:sz="8" w:color="9EACCA"/>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3C5896"/>
              <w:right w:val="single" w:sz="8" w:color="9EACCA"/>
            </w:tcBorders>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40" w:type="dxa"/>
            <w:vAlign w:val="bottom"/>
            <w:tcBorders>
              <w:right w:val="single" w:sz="8" w:color="9EACCA"/>
            </w:tcBorders>
            <w:shd w:val="clear" w:color="auto" w:fill="CCCCCC"/>
          </w:tcPr>
          <w:p>
            <w:pPr>
              <w:spacing w:after="0"/>
              <w:rPr>
                <w:sz w:val="19"/>
                <w:szCs w:val="19"/>
                <w:color w:val="auto"/>
              </w:rPr>
            </w:pPr>
          </w:p>
        </w:tc>
        <w:tc>
          <w:tcPr>
            <w:tcW w:w="68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40" w:type="dxa"/>
            <w:vAlign w:val="bottom"/>
            <w:tcBorders>
              <w:right w:val="single" w:sz="8" w:color="9EACCA"/>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46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20" w:type="dxa"/>
            <w:vAlign w:val="bottom"/>
            <w:tcBorders>
              <w:right w:val="single" w:sz="8" w:color="9EACCA"/>
            </w:tcBorders>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80" w:type="dxa"/>
            <w:vAlign w:val="bottom"/>
            <w:tcBorders>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8,526</w:t>
            </w:r>
          </w:p>
        </w:tc>
        <w:tc>
          <w:tcPr>
            <w:tcW w:w="1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282,211</w:t>
            </w:r>
          </w:p>
        </w:tc>
        <w:tc>
          <w:tcPr>
            <w:tcW w:w="0" w:type="dxa"/>
            <w:vAlign w:val="bottom"/>
          </w:tcPr>
          <w:p>
            <w:pPr>
              <w:spacing w:after="0"/>
              <w:rPr>
                <w:sz w:val="1"/>
                <w:szCs w:val="1"/>
                <w:color w:val="auto"/>
              </w:rPr>
            </w:pPr>
          </w:p>
        </w:tc>
      </w:tr>
      <w:tr>
        <w:trPr>
          <w:trHeight w:val="235"/>
        </w:trPr>
        <w:tc>
          <w:tcPr>
            <w:tcW w:w="126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11/18/2019</w:t>
            </w:r>
          </w:p>
        </w:tc>
        <w:tc>
          <w:tcPr>
            <w:tcW w:w="840" w:type="dxa"/>
            <w:vAlign w:val="bottom"/>
            <w:tcBorders>
              <w:bottom w:val="single" w:sz="8" w:color="CCCCCC"/>
              <w:right w:val="single" w:sz="8" w:color="9EACCA"/>
            </w:tcBorders>
            <w:shd w:val="clear" w:color="auto" w:fill="CCCCCC"/>
          </w:tcPr>
          <w:p>
            <w:pPr>
              <w:spacing w:after="0"/>
              <w:rPr>
                <w:sz w:val="20"/>
                <w:szCs w:val="20"/>
                <w:color w:val="auto"/>
              </w:rPr>
            </w:pPr>
          </w:p>
        </w:tc>
        <w:tc>
          <w:tcPr>
            <w:tcW w:w="680" w:type="dxa"/>
            <w:vAlign w:val="bottom"/>
            <w:tcBorders>
              <w:bottom w:val="single" w:sz="8" w:color="CCCCCC"/>
            </w:tcBorders>
            <w:shd w:val="clear" w:color="auto" w:fill="CCCCCC"/>
          </w:tcPr>
          <w:p>
            <w:pPr>
              <w:spacing w:after="0"/>
              <w:rPr>
                <w:sz w:val="20"/>
                <w:szCs w:val="20"/>
                <w:color w:val="auto"/>
              </w:rPr>
            </w:pPr>
          </w:p>
        </w:tc>
        <w:tc>
          <w:tcPr>
            <w:tcW w:w="260" w:type="dxa"/>
            <w:vAlign w:val="bottom"/>
            <w:tcBorders>
              <w:bottom w:val="single" w:sz="8" w:color="CCCCCC"/>
              <w:right w:val="single" w:sz="8" w:color="9EACCA"/>
            </w:tcBorders>
            <w:shd w:val="clear" w:color="auto" w:fill="CCCCCC"/>
          </w:tcPr>
          <w:p>
            <w:pPr>
              <w:spacing w:after="0"/>
              <w:rPr>
                <w:sz w:val="20"/>
                <w:szCs w:val="20"/>
                <w:color w:val="auto"/>
              </w:rPr>
            </w:pPr>
          </w:p>
        </w:tc>
        <w:tc>
          <w:tcPr>
            <w:tcW w:w="840" w:type="dxa"/>
            <w:vAlign w:val="bottom"/>
            <w:tcBorders>
              <w:bottom w:val="single" w:sz="8" w:color="CCCCCC"/>
              <w:right w:val="single" w:sz="8" w:color="9EACCA"/>
            </w:tcBorders>
            <w:shd w:val="clear" w:color="auto" w:fill="CCCCCC"/>
          </w:tcPr>
          <w:p>
            <w:pPr>
              <w:spacing w:after="0"/>
              <w:rPr>
                <w:sz w:val="20"/>
                <w:szCs w:val="20"/>
                <w:color w:val="auto"/>
              </w:rPr>
            </w:pPr>
          </w:p>
        </w:tc>
        <w:tc>
          <w:tcPr>
            <w:tcW w:w="120" w:type="dxa"/>
            <w:vAlign w:val="bottom"/>
            <w:tcBorders>
              <w:bottom w:val="single" w:sz="8" w:color="CCCCCC"/>
            </w:tcBorders>
            <w:shd w:val="clear" w:color="auto" w:fill="CCCCCC"/>
          </w:tcPr>
          <w:p>
            <w:pPr>
              <w:spacing w:after="0"/>
              <w:rPr>
                <w:sz w:val="20"/>
                <w:szCs w:val="20"/>
                <w:color w:val="auto"/>
              </w:rPr>
            </w:pPr>
          </w:p>
        </w:tc>
        <w:tc>
          <w:tcPr>
            <w:tcW w:w="460" w:type="dxa"/>
            <w:vAlign w:val="bottom"/>
            <w:tcBorders>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spacing w:after="0"/>
              <w:rPr>
                <w:sz w:val="20"/>
                <w:szCs w:val="20"/>
                <w:color w:val="auto"/>
              </w:rPr>
            </w:pPr>
          </w:p>
        </w:tc>
        <w:tc>
          <w:tcPr>
            <w:tcW w:w="720" w:type="dxa"/>
            <w:vAlign w:val="bottom"/>
            <w:tcBorders>
              <w:bottom w:val="single" w:sz="8" w:color="CCCCCC"/>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10,977</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CCCC"/>
              <w:right w:val="single" w:sz="8" w:color="9EACCA"/>
            </w:tcBorders>
            <w:shd w:val="clear" w:color="auto" w:fill="CCCCCC"/>
          </w:tcPr>
          <w:p>
            <w:pPr>
              <w:jc w:val="right"/>
              <w:ind w:right="15"/>
              <w:spacing w:after="0"/>
              <w:rPr>
                <w:sz w:val="20"/>
                <w:szCs w:val="20"/>
                <w:color w:val="auto"/>
              </w:rPr>
            </w:pPr>
            <w:r>
              <w:rPr>
                <w:rFonts w:ascii="Arial" w:cs="Arial" w:eastAsia="Arial" w:hAnsi="Arial"/>
                <w:sz w:val="14"/>
                <w:szCs w:val="14"/>
                <w:color w:val="auto"/>
              </w:rPr>
              <w:t>363,339</w:t>
            </w:r>
          </w:p>
        </w:tc>
        <w:tc>
          <w:tcPr>
            <w:tcW w:w="880" w:type="dxa"/>
            <w:vAlign w:val="bottom"/>
            <w:tcBorders>
              <w:bottom w:val="single" w:sz="8" w:color="CCCCCC"/>
              <w:right w:val="single" w:sz="8" w:color="9EACCA"/>
            </w:tcBorders>
            <w:shd w:val="clear" w:color="auto" w:fill="CCCCCC"/>
          </w:tcPr>
          <w:p>
            <w:pPr>
              <w:spacing w:after="0"/>
              <w:rPr>
                <w:sz w:val="20"/>
                <w:szCs w:val="20"/>
                <w:color w:val="auto"/>
              </w:rPr>
            </w:pPr>
          </w:p>
        </w:tc>
        <w:tc>
          <w:tcPr>
            <w:tcW w:w="12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3C5896"/>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Jared Brandman</w:t>
            </w: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8/14/2017</w:t>
            </w:r>
          </w:p>
        </w:tc>
        <w:tc>
          <w:tcPr>
            <w:tcW w:w="840" w:type="dxa"/>
            <w:vAlign w:val="bottom"/>
            <w:tcBorders>
              <w:right w:val="single" w:sz="8" w:color="9EACCA"/>
            </w:tcBorders>
          </w:tcPr>
          <w:p>
            <w:pPr>
              <w:jc w:val="right"/>
              <w:ind w:right="92"/>
              <w:spacing w:after="0"/>
              <w:rPr>
                <w:sz w:val="20"/>
                <w:szCs w:val="20"/>
                <w:color w:val="auto"/>
              </w:rPr>
            </w:pPr>
            <w:r>
              <w:rPr>
                <w:rFonts w:ascii="Arial" w:cs="Arial" w:eastAsia="Arial" w:hAnsi="Arial"/>
                <w:sz w:val="14"/>
                <w:szCs w:val="14"/>
                <w:color w:val="auto"/>
              </w:rPr>
              <w:t>45,098</w:t>
            </w:r>
          </w:p>
        </w:tc>
        <w:tc>
          <w:tcPr>
            <w:tcW w:w="94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24,412</w:t>
            </w:r>
          </w:p>
        </w:tc>
        <w:tc>
          <w:tcPr>
            <w:tcW w:w="84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$15.74</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8/14/2027</w:t>
            </w:r>
          </w:p>
        </w:tc>
        <w:tc>
          <w:tcPr>
            <w:tcW w:w="720" w:type="dxa"/>
            <w:vAlign w:val="bottom"/>
            <w:tcBorders>
              <w:right w:val="single" w:sz="8" w:color="9EACCA"/>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880" w:type="dxa"/>
            <w:vAlign w:val="bottom"/>
            <w:tcBorders>
              <w:right w:val="single" w:sz="8" w:color="9EACCA"/>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3C5896"/>
              <w:right w:val="single" w:sz="8" w:color="9EACCA"/>
            </w:tcBorders>
          </w:tcPr>
          <w:p>
            <w:pPr>
              <w:spacing w:after="0"/>
              <w:rPr>
                <w:sz w:val="21"/>
                <w:szCs w:val="21"/>
                <w:color w:val="auto"/>
              </w:rPr>
            </w:pP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3/1/2019</w:t>
            </w:r>
          </w:p>
        </w:tc>
        <w:tc>
          <w:tcPr>
            <w:tcW w:w="840" w:type="dxa"/>
            <w:vAlign w:val="bottom"/>
            <w:tcBorders>
              <w:right w:val="single" w:sz="8" w:color="9EACCA"/>
            </w:tcBorders>
          </w:tcPr>
          <w:p>
            <w:pPr>
              <w:spacing w:after="0"/>
              <w:rPr>
                <w:sz w:val="21"/>
                <w:szCs w:val="21"/>
                <w:color w:val="auto"/>
              </w:rPr>
            </w:pPr>
          </w:p>
        </w:tc>
        <w:tc>
          <w:tcPr>
            <w:tcW w:w="94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8,791</w:t>
            </w:r>
          </w:p>
        </w:tc>
        <w:tc>
          <w:tcPr>
            <w:tcW w:w="84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3/1/2029</w:t>
            </w:r>
          </w:p>
        </w:tc>
        <w:tc>
          <w:tcPr>
            <w:tcW w:w="720" w:type="dxa"/>
            <w:vAlign w:val="bottom"/>
            <w:tcBorders>
              <w:right w:val="single" w:sz="8" w:color="9EACCA"/>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Borders>
              <w:right w:val="single" w:sz="8" w:color="9EACCA"/>
            </w:tcBorders>
          </w:tcPr>
          <w:p>
            <w:pPr>
              <w:spacing w:after="0"/>
              <w:rPr>
                <w:sz w:val="21"/>
                <w:szCs w:val="21"/>
                <w:color w:val="auto"/>
              </w:rPr>
            </w:pPr>
          </w:p>
        </w:tc>
        <w:tc>
          <w:tcPr>
            <w:tcW w:w="880" w:type="dxa"/>
            <w:vAlign w:val="bottom"/>
            <w:tcBorders>
              <w:right w:val="single" w:sz="8" w:color="9EACCA"/>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3C5896"/>
              <w:right w:val="single" w:sz="8" w:color="9EACCA"/>
            </w:tcBorders>
          </w:tcPr>
          <w:p>
            <w:pPr>
              <w:spacing w:after="0"/>
              <w:rPr>
                <w:sz w:val="19"/>
                <w:szCs w:val="19"/>
                <w:color w:val="auto"/>
              </w:rPr>
            </w:pP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3/1/2019</w:t>
            </w:r>
          </w:p>
        </w:tc>
        <w:tc>
          <w:tcPr>
            <w:tcW w:w="840" w:type="dxa"/>
            <w:vAlign w:val="bottom"/>
            <w:tcBorders>
              <w:right w:val="single" w:sz="8" w:color="9EACCA"/>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2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8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3,553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3C5896"/>
            </w:tcBorders>
          </w:tcPr>
          <w:p>
            <w:pPr>
              <w:jc w:val="right"/>
              <w:spacing w:after="0"/>
              <w:rPr>
                <w:sz w:val="20"/>
                <w:szCs w:val="20"/>
                <w:color w:val="auto"/>
              </w:rPr>
            </w:pPr>
            <w:r>
              <w:rPr>
                <w:rFonts w:ascii="Arial" w:cs="Arial" w:eastAsia="Arial" w:hAnsi="Arial"/>
                <w:sz w:val="14"/>
                <w:szCs w:val="14"/>
                <w:color w:val="auto"/>
              </w:rPr>
              <w:t>117,604</w:t>
            </w:r>
          </w:p>
        </w:tc>
        <w:tc>
          <w:tcPr>
            <w:tcW w:w="0" w:type="dxa"/>
            <w:vAlign w:val="bottom"/>
          </w:tcPr>
          <w:p>
            <w:pPr>
              <w:spacing w:after="0"/>
              <w:rPr>
                <w:sz w:val="1"/>
                <w:szCs w:val="1"/>
                <w:color w:val="auto"/>
              </w:rPr>
            </w:pPr>
          </w:p>
        </w:tc>
      </w:tr>
      <w:tr>
        <w:trPr>
          <w:trHeight w:val="230"/>
        </w:trPr>
        <w:tc>
          <w:tcPr>
            <w:tcW w:w="1260" w:type="dxa"/>
            <w:vAlign w:val="bottom"/>
            <w:tcBorders>
              <w:left w:val="single" w:sz="8" w:color="3C5896"/>
              <w:right w:val="single" w:sz="8" w:color="9EACCA"/>
            </w:tcBorders>
          </w:tcPr>
          <w:p>
            <w:pPr>
              <w:spacing w:after="0"/>
              <w:rPr>
                <w:sz w:val="19"/>
                <w:szCs w:val="19"/>
                <w:color w:val="auto"/>
              </w:rPr>
            </w:pP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11/18/2019</w:t>
            </w:r>
          </w:p>
        </w:tc>
        <w:tc>
          <w:tcPr>
            <w:tcW w:w="840" w:type="dxa"/>
            <w:vAlign w:val="bottom"/>
            <w:tcBorders>
              <w:right w:val="single" w:sz="8" w:color="9EACCA"/>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2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10,977</w:t>
            </w:r>
          </w:p>
        </w:tc>
        <w:tc>
          <w:tcPr>
            <w:tcW w:w="740" w:type="dxa"/>
            <w:vAlign w:val="bottom"/>
            <w:tcBorders>
              <w:right w:val="single" w:sz="8" w:color="9EACCA"/>
            </w:tcBorders>
            <w:gridSpan w:val="2"/>
          </w:tcPr>
          <w:p>
            <w:pPr>
              <w:jc w:val="right"/>
              <w:ind w:right="15"/>
              <w:spacing w:after="0"/>
              <w:rPr>
                <w:sz w:val="20"/>
                <w:szCs w:val="20"/>
                <w:color w:val="auto"/>
              </w:rPr>
            </w:pPr>
            <w:r>
              <w:rPr>
                <w:rFonts w:ascii="Arial" w:cs="Arial" w:eastAsia="Arial" w:hAnsi="Arial"/>
                <w:sz w:val="14"/>
                <w:szCs w:val="14"/>
                <w:color w:val="auto"/>
              </w:rPr>
              <w:t>$ 363,339</w:t>
            </w:r>
          </w:p>
        </w:tc>
        <w:tc>
          <w:tcPr>
            <w:tcW w:w="88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260" w:type="dxa"/>
            <w:vAlign w:val="bottom"/>
            <w:tcBorders>
              <w:left w:val="single" w:sz="8" w:color="3C5896"/>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940" w:type="dxa"/>
            <w:vAlign w:val="bottom"/>
            <w:tcBorders>
              <w:right w:val="single" w:sz="8" w:color="9EACCA"/>
            </w:tcBorders>
            <w:gridSpan w:val="2"/>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580" w:type="dxa"/>
            <w:vAlign w:val="bottom"/>
            <w:tcBorders>
              <w:right w:val="single" w:sz="8" w:color="9EACCA"/>
            </w:tcBorders>
            <w:gridSpan w:val="2"/>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88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Bill Clark</w:t>
            </w: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6/11/2019</w:t>
            </w:r>
          </w:p>
        </w:tc>
        <w:tc>
          <w:tcPr>
            <w:tcW w:w="840" w:type="dxa"/>
            <w:vAlign w:val="bottom"/>
            <w:tcBorders>
              <w:right w:val="single" w:sz="8" w:color="9EACCA"/>
            </w:tcBorders>
            <w:shd w:val="clear" w:color="auto" w:fill="CCCCCC"/>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9EACCA"/>
            </w:tcBorders>
            <w:gridSpan w:val="2"/>
            <w:shd w:val="clear" w:color="auto" w:fill="CCCCCC"/>
          </w:tcPr>
          <w:p>
            <w:pPr>
              <w:jc w:val="right"/>
              <w:ind w:right="197"/>
              <w:spacing w:after="0"/>
              <w:rPr>
                <w:sz w:val="20"/>
                <w:szCs w:val="20"/>
                <w:color w:val="auto"/>
              </w:rPr>
            </w:pPr>
            <w:r>
              <w:rPr>
                <w:rFonts w:ascii="Arial" w:cs="Arial" w:eastAsia="Arial" w:hAnsi="Arial"/>
                <w:sz w:val="14"/>
                <w:szCs w:val="14"/>
                <w:color w:val="auto"/>
              </w:rPr>
              <w:t>23,630</w:t>
            </w:r>
          </w:p>
        </w:tc>
        <w:tc>
          <w:tcPr>
            <w:tcW w:w="84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9EACCA"/>
            </w:tcBorders>
            <w:gridSpan w:val="2"/>
            <w:shd w:val="clear" w:color="auto" w:fill="CCCCCC"/>
          </w:tcPr>
          <w:p>
            <w:pPr>
              <w:jc w:val="right"/>
              <w:ind w:right="11"/>
              <w:spacing w:after="0"/>
              <w:rPr>
                <w:sz w:val="20"/>
                <w:szCs w:val="20"/>
                <w:color w:val="auto"/>
              </w:rPr>
            </w:pPr>
            <w:r>
              <w:rPr>
                <w:rFonts w:ascii="Arial" w:cs="Arial" w:eastAsia="Arial" w:hAnsi="Arial"/>
                <w:sz w:val="14"/>
                <w:szCs w:val="14"/>
                <w:color w:val="auto"/>
              </w:rPr>
              <w:t>$28.48</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6/11/2029</w:t>
            </w:r>
          </w:p>
        </w:tc>
        <w:tc>
          <w:tcPr>
            <w:tcW w:w="720" w:type="dxa"/>
            <w:vAlign w:val="bottom"/>
            <w:tcBorders>
              <w:right w:val="single" w:sz="8" w:color="9EACCA"/>
            </w:tcBorders>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spacing w:after="0"/>
              <w:rPr>
                <w:sz w:val="18"/>
                <w:szCs w:val="18"/>
                <w:color w:val="auto"/>
              </w:rPr>
            </w:pPr>
          </w:p>
        </w:tc>
        <w:tc>
          <w:tcPr>
            <w:tcW w:w="880" w:type="dxa"/>
            <w:vAlign w:val="bottom"/>
            <w:tcBorders>
              <w:right w:val="single" w:sz="8" w:color="9EACCA"/>
            </w:tcBorders>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0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3C5896"/>
              <w:right w:val="single" w:sz="8" w:color="9EACCA"/>
            </w:tcBorders>
            <w:shd w:val="clear" w:color="auto" w:fill="CCCCCC"/>
          </w:tcPr>
          <w:p>
            <w:pPr>
              <w:spacing w:after="0"/>
              <w:rPr>
                <w:sz w:val="21"/>
                <w:szCs w:val="21"/>
                <w:color w:val="auto"/>
              </w:rPr>
            </w:pP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6/11/2019</w:t>
            </w:r>
          </w:p>
        </w:tc>
        <w:tc>
          <w:tcPr>
            <w:tcW w:w="840" w:type="dxa"/>
            <w:vAlign w:val="bottom"/>
            <w:tcBorders>
              <w:right w:val="single" w:sz="8" w:color="9EACCA"/>
            </w:tcBorders>
            <w:shd w:val="clear" w:color="auto" w:fill="CCCCCC"/>
          </w:tcPr>
          <w:p>
            <w:pPr>
              <w:spacing w:after="0"/>
              <w:rPr>
                <w:sz w:val="21"/>
                <w:szCs w:val="21"/>
                <w:color w:val="auto"/>
              </w:rPr>
            </w:pPr>
          </w:p>
        </w:tc>
        <w:tc>
          <w:tcPr>
            <w:tcW w:w="680" w:type="dxa"/>
            <w:vAlign w:val="bottom"/>
            <w:shd w:val="clear" w:color="auto" w:fill="CCCCCC"/>
          </w:tcPr>
          <w:p>
            <w:pPr>
              <w:spacing w:after="0"/>
              <w:rPr>
                <w:sz w:val="21"/>
                <w:szCs w:val="21"/>
                <w:color w:val="auto"/>
              </w:rPr>
            </w:pPr>
          </w:p>
        </w:tc>
        <w:tc>
          <w:tcPr>
            <w:tcW w:w="260" w:type="dxa"/>
            <w:vAlign w:val="bottom"/>
            <w:tcBorders>
              <w:right w:val="single" w:sz="8" w:color="9EACCA"/>
            </w:tcBorders>
            <w:shd w:val="clear" w:color="auto" w:fill="CCCCCC"/>
          </w:tcPr>
          <w:p>
            <w:pPr>
              <w:spacing w:after="0"/>
              <w:rPr>
                <w:sz w:val="21"/>
                <w:szCs w:val="21"/>
                <w:color w:val="auto"/>
              </w:rPr>
            </w:pPr>
          </w:p>
        </w:tc>
        <w:tc>
          <w:tcPr>
            <w:tcW w:w="840" w:type="dxa"/>
            <w:vAlign w:val="bottom"/>
            <w:tcBorders>
              <w:right w:val="single" w:sz="8" w:color="9EACCA"/>
            </w:tcBorders>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460" w:type="dxa"/>
            <w:vAlign w:val="bottom"/>
            <w:tcBorders>
              <w:right w:val="single" w:sz="8" w:color="9EACCA"/>
            </w:tcBorders>
            <w:shd w:val="clear" w:color="auto" w:fill="CCCCCC"/>
          </w:tcPr>
          <w:p>
            <w:pPr>
              <w:spacing w:after="0"/>
              <w:rPr>
                <w:sz w:val="21"/>
                <w:szCs w:val="21"/>
                <w:color w:val="auto"/>
              </w:rPr>
            </w:pPr>
          </w:p>
        </w:tc>
        <w:tc>
          <w:tcPr>
            <w:tcW w:w="800" w:type="dxa"/>
            <w:vAlign w:val="bottom"/>
            <w:tcBorders>
              <w:right w:val="single" w:sz="8" w:color="9EACCA"/>
            </w:tcBorders>
            <w:shd w:val="clear" w:color="auto" w:fill="CCCCCC"/>
          </w:tcPr>
          <w:p>
            <w:pPr>
              <w:spacing w:after="0"/>
              <w:rPr>
                <w:sz w:val="21"/>
                <w:szCs w:val="21"/>
                <w:color w:val="auto"/>
              </w:rPr>
            </w:pPr>
          </w:p>
        </w:tc>
        <w:tc>
          <w:tcPr>
            <w:tcW w:w="720" w:type="dxa"/>
            <w:vAlign w:val="bottom"/>
            <w:tcBorders>
              <w:right w:val="single" w:sz="8" w:color="9EACCA"/>
            </w:tcBorders>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620" w:type="dxa"/>
            <w:vAlign w:val="bottom"/>
            <w:tcBorders>
              <w:right w:val="single" w:sz="8" w:color="9EACCA"/>
            </w:tcBorders>
            <w:shd w:val="clear" w:color="auto" w:fill="CCCCCC"/>
          </w:tcPr>
          <w:p>
            <w:pPr>
              <w:spacing w:after="0"/>
              <w:rPr>
                <w:sz w:val="21"/>
                <w:szCs w:val="21"/>
                <w:color w:val="auto"/>
              </w:rPr>
            </w:pPr>
          </w:p>
        </w:tc>
        <w:tc>
          <w:tcPr>
            <w:tcW w:w="880" w:type="dxa"/>
            <w:vAlign w:val="bottom"/>
            <w:tcBorders>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8,779</w:t>
            </w:r>
          </w:p>
        </w:tc>
        <w:tc>
          <w:tcPr>
            <w:tcW w:w="1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290,585</w:t>
            </w:r>
          </w:p>
        </w:tc>
        <w:tc>
          <w:tcPr>
            <w:tcW w:w="0" w:type="dxa"/>
            <w:vAlign w:val="bottom"/>
          </w:tcPr>
          <w:p>
            <w:pPr>
              <w:spacing w:after="0"/>
              <w:rPr>
                <w:sz w:val="1"/>
                <w:szCs w:val="1"/>
                <w:color w:val="auto"/>
              </w:rPr>
            </w:pPr>
          </w:p>
        </w:tc>
      </w:tr>
      <w:tr>
        <w:trPr>
          <w:trHeight w:val="235"/>
        </w:trPr>
        <w:tc>
          <w:tcPr>
            <w:tcW w:w="126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11/18/2019</w:t>
            </w:r>
          </w:p>
        </w:tc>
        <w:tc>
          <w:tcPr>
            <w:tcW w:w="840" w:type="dxa"/>
            <w:vAlign w:val="bottom"/>
            <w:tcBorders>
              <w:bottom w:val="single" w:sz="8" w:color="CCCCCC"/>
              <w:right w:val="single" w:sz="8" w:color="9EACCA"/>
            </w:tcBorders>
            <w:shd w:val="clear" w:color="auto" w:fill="CCCCCC"/>
          </w:tcPr>
          <w:p>
            <w:pPr>
              <w:spacing w:after="0"/>
              <w:rPr>
                <w:sz w:val="20"/>
                <w:szCs w:val="20"/>
                <w:color w:val="auto"/>
              </w:rPr>
            </w:pPr>
          </w:p>
        </w:tc>
        <w:tc>
          <w:tcPr>
            <w:tcW w:w="680" w:type="dxa"/>
            <w:vAlign w:val="bottom"/>
            <w:tcBorders>
              <w:bottom w:val="single" w:sz="8" w:color="CCCCCC"/>
            </w:tcBorders>
            <w:shd w:val="clear" w:color="auto" w:fill="CCCCCC"/>
          </w:tcPr>
          <w:p>
            <w:pPr>
              <w:spacing w:after="0"/>
              <w:rPr>
                <w:sz w:val="20"/>
                <w:szCs w:val="20"/>
                <w:color w:val="auto"/>
              </w:rPr>
            </w:pPr>
          </w:p>
        </w:tc>
        <w:tc>
          <w:tcPr>
            <w:tcW w:w="260" w:type="dxa"/>
            <w:vAlign w:val="bottom"/>
            <w:tcBorders>
              <w:bottom w:val="single" w:sz="8" w:color="CCCCCC"/>
              <w:right w:val="single" w:sz="8" w:color="9EACCA"/>
            </w:tcBorders>
            <w:shd w:val="clear" w:color="auto" w:fill="CCCCCC"/>
          </w:tcPr>
          <w:p>
            <w:pPr>
              <w:spacing w:after="0"/>
              <w:rPr>
                <w:sz w:val="20"/>
                <w:szCs w:val="20"/>
                <w:color w:val="auto"/>
              </w:rPr>
            </w:pPr>
          </w:p>
        </w:tc>
        <w:tc>
          <w:tcPr>
            <w:tcW w:w="840" w:type="dxa"/>
            <w:vAlign w:val="bottom"/>
            <w:tcBorders>
              <w:bottom w:val="single" w:sz="8" w:color="CCCCCC"/>
              <w:right w:val="single" w:sz="8" w:color="9EACCA"/>
            </w:tcBorders>
            <w:shd w:val="clear" w:color="auto" w:fill="CCCCCC"/>
          </w:tcPr>
          <w:p>
            <w:pPr>
              <w:spacing w:after="0"/>
              <w:rPr>
                <w:sz w:val="20"/>
                <w:szCs w:val="20"/>
                <w:color w:val="auto"/>
              </w:rPr>
            </w:pPr>
          </w:p>
        </w:tc>
        <w:tc>
          <w:tcPr>
            <w:tcW w:w="120" w:type="dxa"/>
            <w:vAlign w:val="bottom"/>
            <w:tcBorders>
              <w:bottom w:val="single" w:sz="8" w:color="CCCCCC"/>
            </w:tcBorders>
            <w:shd w:val="clear" w:color="auto" w:fill="CCCCCC"/>
          </w:tcPr>
          <w:p>
            <w:pPr>
              <w:spacing w:after="0"/>
              <w:rPr>
                <w:sz w:val="20"/>
                <w:szCs w:val="20"/>
                <w:color w:val="auto"/>
              </w:rPr>
            </w:pPr>
          </w:p>
        </w:tc>
        <w:tc>
          <w:tcPr>
            <w:tcW w:w="460" w:type="dxa"/>
            <w:vAlign w:val="bottom"/>
            <w:tcBorders>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spacing w:after="0"/>
              <w:rPr>
                <w:sz w:val="20"/>
                <w:szCs w:val="20"/>
                <w:color w:val="auto"/>
              </w:rPr>
            </w:pPr>
          </w:p>
        </w:tc>
        <w:tc>
          <w:tcPr>
            <w:tcW w:w="720" w:type="dxa"/>
            <w:vAlign w:val="bottom"/>
            <w:tcBorders>
              <w:bottom w:val="single" w:sz="8" w:color="CCCCCC"/>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10,977</w:t>
            </w:r>
          </w:p>
        </w:tc>
        <w:tc>
          <w:tcPr>
            <w:tcW w:w="740" w:type="dxa"/>
            <w:vAlign w:val="bottom"/>
            <w:tcBorders>
              <w:bottom w:val="single" w:sz="8" w:color="CCCCCC"/>
              <w:right w:val="single" w:sz="8" w:color="9EACCA"/>
            </w:tcBorders>
            <w:gridSpan w:val="2"/>
            <w:shd w:val="clear" w:color="auto" w:fill="CCCCCC"/>
          </w:tcPr>
          <w:p>
            <w:pPr>
              <w:jc w:val="right"/>
              <w:ind w:right="15"/>
              <w:spacing w:after="0"/>
              <w:rPr>
                <w:sz w:val="20"/>
                <w:szCs w:val="20"/>
                <w:color w:val="auto"/>
              </w:rPr>
            </w:pPr>
            <w:r>
              <w:rPr>
                <w:rFonts w:ascii="Arial" w:cs="Arial" w:eastAsia="Arial" w:hAnsi="Arial"/>
                <w:sz w:val="14"/>
                <w:szCs w:val="14"/>
                <w:color w:val="auto"/>
              </w:rPr>
              <w:t>$ 363,339</w:t>
            </w:r>
          </w:p>
        </w:tc>
        <w:tc>
          <w:tcPr>
            <w:tcW w:w="880" w:type="dxa"/>
            <w:vAlign w:val="bottom"/>
            <w:tcBorders>
              <w:bottom w:val="single" w:sz="8" w:color="CCCCCC"/>
              <w:right w:val="single" w:sz="8" w:color="9EACCA"/>
            </w:tcBorders>
            <w:shd w:val="clear" w:color="auto" w:fill="CCCCCC"/>
          </w:tcPr>
          <w:p>
            <w:pPr>
              <w:spacing w:after="0"/>
              <w:rPr>
                <w:sz w:val="20"/>
                <w:szCs w:val="20"/>
                <w:color w:val="auto"/>
              </w:rPr>
            </w:pPr>
          </w:p>
        </w:tc>
        <w:tc>
          <w:tcPr>
            <w:tcW w:w="12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3C5896"/>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Melissa</w:t>
            </w: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7/29/2019</w:t>
            </w:r>
          </w:p>
        </w:tc>
        <w:tc>
          <w:tcPr>
            <w:tcW w:w="840" w:type="dxa"/>
            <w:vAlign w:val="bottom"/>
            <w:tcBorders>
              <w:right w:val="single" w:sz="8" w:color="9EACCA"/>
            </w:tcBorders>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6,879</w:t>
            </w:r>
          </w:p>
        </w:tc>
        <w:tc>
          <w:tcPr>
            <w:tcW w:w="84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$31.73</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7/29/2029</w:t>
            </w:r>
          </w:p>
        </w:tc>
        <w:tc>
          <w:tcPr>
            <w:tcW w:w="720" w:type="dxa"/>
            <w:vAlign w:val="bottom"/>
            <w:tcBorders>
              <w:right w:val="single" w:sz="8" w:color="9EACCA"/>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880" w:type="dxa"/>
            <w:vAlign w:val="bottom"/>
            <w:tcBorders>
              <w:right w:val="single" w:sz="8" w:color="9EACCA"/>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6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Rasmussen</w:t>
            </w:r>
          </w:p>
        </w:tc>
        <w:tc>
          <w:tcPr>
            <w:tcW w:w="78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4"/>
                <w:szCs w:val="14"/>
                <w:color w:val="auto"/>
              </w:rPr>
              <w:t>7/29/2019</w:t>
            </w:r>
          </w:p>
        </w:tc>
        <w:tc>
          <w:tcPr>
            <w:tcW w:w="840" w:type="dxa"/>
            <w:vAlign w:val="bottom"/>
            <w:tcBorders>
              <w:right w:val="single" w:sz="8" w:color="9EACCA"/>
            </w:tcBorders>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Borders>
              <w:right w:val="single" w:sz="8" w:color="9EACCA"/>
            </w:tcBorders>
          </w:tcPr>
          <w:p>
            <w:pPr>
              <w:spacing w:after="0"/>
              <w:rPr>
                <w:sz w:val="15"/>
                <w:szCs w:val="15"/>
                <w:color w:val="auto"/>
              </w:rPr>
            </w:pPr>
          </w:p>
        </w:tc>
        <w:tc>
          <w:tcPr>
            <w:tcW w:w="840" w:type="dxa"/>
            <w:vAlign w:val="bottom"/>
            <w:tcBorders>
              <w:right w:val="single" w:sz="8" w:color="9EACC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right w:val="single" w:sz="8" w:color="9EACCA"/>
            </w:tcBorders>
          </w:tcPr>
          <w:p>
            <w:pPr>
              <w:spacing w:after="0"/>
              <w:rPr>
                <w:sz w:val="15"/>
                <w:szCs w:val="15"/>
                <w:color w:val="auto"/>
              </w:rPr>
            </w:pPr>
          </w:p>
        </w:tc>
        <w:tc>
          <w:tcPr>
            <w:tcW w:w="800" w:type="dxa"/>
            <w:vAlign w:val="bottom"/>
            <w:tcBorders>
              <w:right w:val="single" w:sz="8" w:color="9EACCA"/>
            </w:tcBorders>
          </w:tcPr>
          <w:p>
            <w:pPr>
              <w:spacing w:after="0"/>
              <w:rPr>
                <w:sz w:val="15"/>
                <w:szCs w:val="15"/>
                <w:color w:val="auto"/>
              </w:rPr>
            </w:pPr>
          </w:p>
        </w:tc>
        <w:tc>
          <w:tcPr>
            <w:tcW w:w="720" w:type="dxa"/>
            <w:vAlign w:val="bottom"/>
            <w:tcBorders>
              <w:right w:val="single" w:sz="8" w:color="9EACCA"/>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right w:val="single" w:sz="8" w:color="9EACCA"/>
            </w:tcBorders>
          </w:tcPr>
          <w:p>
            <w:pPr>
              <w:spacing w:after="0"/>
              <w:rPr>
                <w:sz w:val="15"/>
                <w:szCs w:val="15"/>
                <w:color w:val="auto"/>
              </w:rPr>
            </w:pPr>
          </w:p>
        </w:tc>
        <w:tc>
          <w:tcPr>
            <w:tcW w:w="880" w:type="dxa"/>
            <w:vAlign w:val="bottom"/>
            <w:tcBorders>
              <w:right w:val="single" w:sz="8" w:color="9EACCA"/>
            </w:tcBorders>
            <w:vMerge w:val="restart"/>
          </w:tcPr>
          <w:p>
            <w:pPr>
              <w:jc w:val="right"/>
              <w:ind w:right="154"/>
              <w:spacing w:after="0"/>
              <w:rPr>
                <w:sz w:val="20"/>
                <w:szCs w:val="20"/>
                <w:color w:val="auto"/>
              </w:rPr>
            </w:pPr>
            <w:r>
              <w:rPr>
                <w:rFonts w:ascii="Arial" w:cs="Arial" w:eastAsia="Arial" w:hAnsi="Arial"/>
                <w:sz w:val="14"/>
                <w:szCs w:val="14"/>
                <w:color w:val="auto"/>
              </w:rPr>
              <w:t>2,522</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3C5896"/>
            </w:tcBorders>
            <w:vMerge w:val="restart"/>
          </w:tcPr>
          <w:p>
            <w:pPr>
              <w:jc w:val="right"/>
              <w:spacing w:after="0"/>
              <w:rPr>
                <w:sz w:val="20"/>
                <w:szCs w:val="20"/>
                <w:color w:val="auto"/>
              </w:rPr>
            </w:pPr>
            <w:r>
              <w:rPr>
                <w:rFonts w:ascii="Arial" w:cs="Arial" w:eastAsia="Arial" w:hAnsi="Arial"/>
                <w:sz w:val="14"/>
                <w:szCs w:val="14"/>
                <w:color w:val="auto"/>
              </w:rPr>
              <w:t>83,478</w:t>
            </w:r>
          </w:p>
        </w:tc>
        <w:tc>
          <w:tcPr>
            <w:tcW w:w="0" w:type="dxa"/>
            <w:vAlign w:val="bottom"/>
          </w:tcPr>
          <w:p>
            <w:pPr>
              <w:spacing w:after="0"/>
              <w:rPr>
                <w:sz w:val="1"/>
                <w:szCs w:val="1"/>
                <w:color w:val="auto"/>
              </w:rPr>
            </w:pPr>
          </w:p>
        </w:tc>
      </w:tr>
      <w:tr>
        <w:trPr>
          <w:trHeight w:val="68"/>
        </w:trPr>
        <w:tc>
          <w:tcPr>
            <w:tcW w:w="1260" w:type="dxa"/>
            <w:vAlign w:val="bottom"/>
            <w:tcBorders>
              <w:left w:val="single" w:sz="8" w:color="3C5896"/>
              <w:right w:val="single" w:sz="8" w:color="9EACCA"/>
            </w:tcBorders>
          </w:tcPr>
          <w:p>
            <w:pPr>
              <w:spacing w:after="0"/>
              <w:rPr>
                <w:sz w:val="5"/>
                <w:szCs w:val="5"/>
                <w:color w:val="auto"/>
              </w:rPr>
            </w:pPr>
          </w:p>
        </w:tc>
        <w:tc>
          <w:tcPr>
            <w:tcW w:w="780" w:type="dxa"/>
            <w:vAlign w:val="bottom"/>
            <w:tcBorders>
              <w:right w:val="single" w:sz="8" w:color="9EACCA"/>
            </w:tcBorders>
            <w:vMerge w:val="continue"/>
          </w:tcPr>
          <w:p>
            <w:pPr>
              <w:spacing w:after="0"/>
              <w:rPr>
                <w:sz w:val="5"/>
                <w:szCs w:val="5"/>
                <w:color w:val="auto"/>
              </w:rPr>
            </w:pPr>
          </w:p>
        </w:tc>
        <w:tc>
          <w:tcPr>
            <w:tcW w:w="840" w:type="dxa"/>
            <w:vAlign w:val="bottom"/>
            <w:tcBorders>
              <w:right w:val="single" w:sz="8" w:color="9EACCA"/>
            </w:tcBorders>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Borders>
              <w:right w:val="single" w:sz="8" w:color="9EACCA"/>
            </w:tcBorders>
          </w:tcPr>
          <w:p>
            <w:pPr>
              <w:spacing w:after="0"/>
              <w:rPr>
                <w:sz w:val="5"/>
                <w:szCs w:val="5"/>
                <w:color w:val="auto"/>
              </w:rPr>
            </w:pPr>
          </w:p>
        </w:tc>
        <w:tc>
          <w:tcPr>
            <w:tcW w:w="840" w:type="dxa"/>
            <w:vAlign w:val="bottom"/>
            <w:tcBorders>
              <w:right w:val="single" w:sz="8" w:color="9EACCA"/>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right w:val="single" w:sz="8" w:color="9EACCA"/>
            </w:tcBorders>
          </w:tcPr>
          <w:p>
            <w:pPr>
              <w:spacing w:after="0"/>
              <w:rPr>
                <w:sz w:val="5"/>
                <w:szCs w:val="5"/>
                <w:color w:val="auto"/>
              </w:rPr>
            </w:pPr>
          </w:p>
        </w:tc>
        <w:tc>
          <w:tcPr>
            <w:tcW w:w="800" w:type="dxa"/>
            <w:vAlign w:val="bottom"/>
            <w:tcBorders>
              <w:right w:val="single" w:sz="8" w:color="9EACCA"/>
            </w:tcBorders>
          </w:tcPr>
          <w:p>
            <w:pPr>
              <w:spacing w:after="0"/>
              <w:rPr>
                <w:sz w:val="5"/>
                <w:szCs w:val="5"/>
                <w:color w:val="auto"/>
              </w:rPr>
            </w:pPr>
          </w:p>
        </w:tc>
        <w:tc>
          <w:tcPr>
            <w:tcW w:w="720" w:type="dxa"/>
            <w:vAlign w:val="bottom"/>
            <w:tcBorders>
              <w:right w:val="single" w:sz="8" w:color="9EACCA"/>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right w:val="single" w:sz="8" w:color="9EACCA"/>
            </w:tcBorders>
          </w:tcPr>
          <w:p>
            <w:pPr>
              <w:spacing w:after="0"/>
              <w:rPr>
                <w:sz w:val="5"/>
                <w:szCs w:val="5"/>
                <w:color w:val="auto"/>
              </w:rPr>
            </w:pPr>
          </w:p>
        </w:tc>
        <w:tc>
          <w:tcPr>
            <w:tcW w:w="880" w:type="dxa"/>
            <w:vAlign w:val="bottom"/>
            <w:tcBorders>
              <w:right w:val="single" w:sz="8" w:color="9EACCA"/>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00" w:type="dxa"/>
            <w:vAlign w:val="bottom"/>
            <w:tcBorders>
              <w:right w:val="single" w:sz="8" w:color="3C589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260" w:type="dxa"/>
            <w:vAlign w:val="bottom"/>
            <w:tcBorders>
              <w:left w:val="single" w:sz="8" w:color="3C5896"/>
              <w:right w:val="single" w:sz="8" w:color="9EACCA"/>
            </w:tcBorders>
          </w:tcPr>
          <w:p>
            <w:pPr>
              <w:spacing w:after="0"/>
              <w:rPr>
                <w:sz w:val="19"/>
                <w:szCs w:val="19"/>
                <w:color w:val="auto"/>
              </w:rPr>
            </w:pPr>
          </w:p>
        </w:tc>
        <w:tc>
          <w:tcPr>
            <w:tcW w:w="78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11/18/2019</w:t>
            </w:r>
          </w:p>
        </w:tc>
        <w:tc>
          <w:tcPr>
            <w:tcW w:w="840" w:type="dxa"/>
            <w:vAlign w:val="bottom"/>
            <w:tcBorders>
              <w:right w:val="single" w:sz="8" w:color="9EACCA"/>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2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10,977</w:t>
            </w:r>
          </w:p>
        </w:tc>
        <w:tc>
          <w:tcPr>
            <w:tcW w:w="740" w:type="dxa"/>
            <w:vAlign w:val="bottom"/>
            <w:tcBorders>
              <w:right w:val="single" w:sz="8" w:color="9EACCA"/>
            </w:tcBorders>
            <w:gridSpan w:val="2"/>
          </w:tcPr>
          <w:p>
            <w:pPr>
              <w:jc w:val="right"/>
              <w:ind w:right="15"/>
              <w:spacing w:after="0"/>
              <w:rPr>
                <w:sz w:val="20"/>
                <w:szCs w:val="20"/>
                <w:color w:val="auto"/>
              </w:rPr>
            </w:pPr>
            <w:r>
              <w:rPr>
                <w:rFonts w:ascii="Arial" w:cs="Arial" w:eastAsia="Arial" w:hAnsi="Arial"/>
                <w:sz w:val="14"/>
                <w:szCs w:val="14"/>
                <w:color w:val="auto"/>
              </w:rPr>
              <w:t>$ 363,339</w:t>
            </w:r>
          </w:p>
        </w:tc>
        <w:tc>
          <w:tcPr>
            <w:tcW w:w="880" w:type="dxa"/>
            <w:vAlign w:val="bottom"/>
            <w:tcBorders>
              <w:right w:val="single" w:sz="8" w:color="9EACCA"/>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260" w:type="dxa"/>
            <w:vAlign w:val="bottom"/>
            <w:tcBorders>
              <w:left w:val="single" w:sz="8" w:color="3C5896"/>
              <w:right w:val="single" w:sz="8" w:color="9EACCA"/>
            </w:tcBorders>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940" w:type="dxa"/>
            <w:vAlign w:val="bottom"/>
            <w:tcBorders>
              <w:right w:val="single" w:sz="8" w:color="9EACCA"/>
            </w:tcBorders>
            <w:gridSpan w:val="2"/>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580" w:type="dxa"/>
            <w:vAlign w:val="bottom"/>
            <w:tcBorders>
              <w:right w:val="single" w:sz="8" w:color="9EACCA"/>
            </w:tcBorders>
            <w:gridSpan w:val="2"/>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88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Jeff McAllister</w:t>
            </w:r>
          </w:p>
        </w:tc>
        <w:tc>
          <w:tcPr>
            <w:tcW w:w="78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8/14/2017</w:t>
            </w:r>
          </w:p>
        </w:tc>
        <w:tc>
          <w:tcPr>
            <w:tcW w:w="840" w:type="dxa"/>
            <w:vAlign w:val="bottom"/>
            <w:tcBorders>
              <w:right w:val="single" w:sz="8" w:color="9EACCA"/>
            </w:tcBorders>
            <w:shd w:val="clear" w:color="auto" w:fill="CCCCCC"/>
          </w:tcPr>
          <w:p>
            <w:pPr>
              <w:jc w:val="right"/>
              <w:ind w:right="92"/>
              <w:spacing w:after="0"/>
              <w:rPr>
                <w:sz w:val="20"/>
                <w:szCs w:val="20"/>
                <w:color w:val="auto"/>
              </w:rPr>
            </w:pPr>
            <w:r>
              <w:rPr>
                <w:rFonts w:ascii="Arial" w:cs="Arial" w:eastAsia="Arial" w:hAnsi="Arial"/>
                <w:sz w:val="14"/>
                <w:szCs w:val="14"/>
                <w:color w:val="auto"/>
              </w:rPr>
              <w:t>3,324</w:t>
            </w:r>
          </w:p>
        </w:tc>
        <w:tc>
          <w:tcPr>
            <w:tcW w:w="940" w:type="dxa"/>
            <w:vAlign w:val="bottom"/>
            <w:tcBorders>
              <w:right w:val="single" w:sz="8" w:color="9EACCA"/>
            </w:tcBorders>
            <w:gridSpan w:val="2"/>
            <w:shd w:val="clear" w:color="auto" w:fill="CCCCCC"/>
          </w:tcPr>
          <w:p>
            <w:pPr>
              <w:jc w:val="right"/>
              <w:ind w:right="197"/>
              <w:spacing w:after="0"/>
              <w:rPr>
                <w:sz w:val="20"/>
                <w:szCs w:val="20"/>
                <w:color w:val="auto"/>
              </w:rPr>
            </w:pPr>
            <w:r>
              <w:rPr>
                <w:rFonts w:ascii="Arial" w:cs="Arial" w:eastAsia="Arial" w:hAnsi="Arial"/>
                <w:sz w:val="14"/>
                <w:szCs w:val="14"/>
                <w:color w:val="auto"/>
              </w:rPr>
              <w:t>86,956</w:t>
            </w:r>
          </w:p>
        </w:tc>
        <w:tc>
          <w:tcPr>
            <w:tcW w:w="84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130,434</w:t>
            </w:r>
          </w:p>
        </w:tc>
        <w:tc>
          <w:tcPr>
            <w:tcW w:w="580" w:type="dxa"/>
            <w:vAlign w:val="bottom"/>
            <w:tcBorders>
              <w:right w:val="single" w:sz="8" w:color="9EACCA"/>
            </w:tcBorders>
            <w:gridSpan w:val="2"/>
            <w:shd w:val="clear" w:color="auto" w:fill="CCCCCC"/>
          </w:tcPr>
          <w:p>
            <w:pPr>
              <w:jc w:val="right"/>
              <w:ind w:right="11"/>
              <w:spacing w:after="0"/>
              <w:rPr>
                <w:sz w:val="20"/>
                <w:szCs w:val="20"/>
                <w:color w:val="auto"/>
              </w:rPr>
            </w:pPr>
            <w:r>
              <w:rPr>
                <w:rFonts w:ascii="Arial" w:cs="Arial" w:eastAsia="Arial" w:hAnsi="Arial"/>
                <w:sz w:val="14"/>
                <w:szCs w:val="14"/>
                <w:color w:val="auto"/>
              </w:rPr>
              <w:t>$15.74</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8/14/2027</w:t>
            </w:r>
          </w:p>
        </w:tc>
        <w:tc>
          <w:tcPr>
            <w:tcW w:w="720" w:type="dxa"/>
            <w:vAlign w:val="bottom"/>
            <w:tcBorders>
              <w:right w:val="single" w:sz="8" w:color="9EACCA"/>
            </w:tcBorders>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spacing w:after="0"/>
              <w:rPr>
                <w:sz w:val="18"/>
                <w:szCs w:val="18"/>
                <w:color w:val="auto"/>
              </w:rPr>
            </w:pPr>
          </w:p>
        </w:tc>
        <w:tc>
          <w:tcPr>
            <w:tcW w:w="880" w:type="dxa"/>
            <w:vAlign w:val="bottom"/>
            <w:tcBorders>
              <w:right w:val="single" w:sz="8" w:color="9EACCA"/>
            </w:tcBorders>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0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3C5896"/>
              <w:bottom w:val="single" w:sz="8" w:color="3C5896"/>
              <w:right w:val="single" w:sz="8" w:color="9EACCA"/>
            </w:tcBorders>
          </w:tcPr>
          <w:p>
            <w:pPr>
              <w:ind w:left="40"/>
              <w:spacing w:after="0" w:line="230" w:lineRule="exact"/>
              <w:rPr>
                <w:sz w:val="20"/>
                <w:szCs w:val="20"/>
                <w:color w:val="auto"/>
              </w:rPr>
            </w:pPr>
            <w:r>
              <w:rPr>
                <w:rFonts w:ascii="Arial" w:cs="Arial" w:eastAsia="Arial" w:hAnsi="Arial"/>
                <w:sz w:val="14"/>
                <w:szCs w:val="14"/>
                <w:color w:val="auto"/>
              </w:rPr>
              <w:t>Chris Beasley</w:t>
            </w:r>
            <w:r>
              <w:rPr>
                <w:rFonts w:ascii="Arial" w:cs="Arial" w:eastAsia="Arial" w:hAnsi="Arial"/>
                <w:sz w:val="21"/>
                <w:szCs w:val="21"/>
                <w:color w:val="auto"/>
                <w:vertAlign w:val="superscript"/>
              </w:rPr>
              <w:t>(7)</w:t>
            </w:r>
          </w:p>
        </w:tc>
        <w:tc>
          <w:tcPr>
            <w:tcW w:w="780" w:type="dxa"/>
            <w:vAlign w:val="bottom"/>
            <w:tcBorders>
              <w:bottom w:val="single" w:sz="8" w:color="3C5896"/>
              <w:right w:val="single" w:sz="8" w:color="9EACCA"/>
            </w:tcBorders>
          </w:tcPr>
          <w:p>
            <w:pPr>
              <w:spacing w:after="0"/>
              <w:rPr>
                <w:sz w:val="19"/>
                <w:szCs w:val="19"/>
                <w:color w:val="auto"/>
              </w:rPr>
            </w:pPr>
          </w:p>
        </w:tc>
        <w:tc>
          <w:tcPr>
            <w:tcW w:w="840" w:type="dxa"/>
            <w:vAlign w:val="bottom"/>
            <w:tcBorders>
              <w:bottom w:val="single" w:sz="8" w:color="3C5896"/>
              <w:right w:val="single" w:sz="8" w:color="9EACCA"/>
            </w:tcBorders>
          </w:tcPr>
          <w:p>
            <w:pPr>
              <w:spacing w:after="0"/>
              <w:rPr>
                <w:sz w:val="19"/>
                <w:szCs w:val="19"/>
                <w:color w:val="auto"/>
              </w:rPr>
            </w:pPr>
          </w:p>
        </w:tc>
        <w:tc>
          <w:tcPr>
            <w:tcW w:w="680" w:type="dxa"/>
            <w:vAlign w:val="bottom"/>
            <w:tcBorders>
              <w:bottom w:val="single" w:sz="8" w:color="3C5896"/>
            </w:tcBorders>
          </w:tcPr>
          <w:p>
            <w:pPr>
              <w:spacing w:after="0"/>
              <w:rPr>
                <w:sz w:val="19"/>
                <w:szCs w:val="19"/>
                <w:color w:val="auto"/>
              </w:rPr>
            </w:pPr>
          </w:p>
        </w:tc>
        <w:tc>
          <w:tcPr>
            <w:tcW w:w="260" w:type="dxa"/>
            <w:vAlign w:val="bottom"/>
            <w:tcBorders>
              <w:bottom w:val="single" w:sz="8" w:color="3C5896"/>
              <w:right w:val="single" w:sz="8" w:color="9EACCA"/>
            </w:tcBorders>
          </w:tcPr>
          <w:p>
            <w:pPr>
              <w:spacing w:after="0"/>
              <w:rPr>
                <w:sz w:val="19"/>
                <w:szCs w:val="19"/>
                <w:color w:val="auto"/>
              </w:rPr>
            </w:pPr>
          </w:p>
        </w:tc>
        <w:tc>
          <w:tcPr>
            <w:tcW w:w="840" w:type="dxa"/>
            <w:vAlign w:val="bottom"/>
            <w:tcBorders>
              <w:bottom w:val="single" w:sz="8" w:color="3C5896"/>
              <w:right w:val="single" w:sz="8" w:color="9EACCA"/>
            </w:tcBorders>
          </w:tcPr>
          <w:p>
            <w:pPr>
              <w:spacing w:after="0"/>
              <w:rPr>
                <w:sz w:val="19"/>
                <w:szCs w:val="19"/>
                <w:color w:val="auto"/>
              </w:rPr>
            </w:pPr>
          </w:p>
        </w:tc>
        <w:tc>
          <w:tcPr>
            <w:tcW w:w="120" w:type="dxa"/>
            <w:vAlign w:val="bottom"/>
            <w:tcBorders>
              <w:bottom w:val="single" w:sz="8" w:color="3C5896"/>
            </w:tcBorders>
          </w:tcPr>
          <w:p>
            <w:pPr>
              <w:spacing w:after="0"/>
              <w:rPr>
                <w:sz w:val="19"/>
                <w:szCs w:val="19"/>
                <w:color w:val="auto"/>
              </w:rPr>
            </w:pPr>
          </w:p>
        </w:tc>
        <w:tc>
          <w:tcPr>
            <w:tcW w:w="460" w:type="dxa"/>
            <w:vAlign w:val="bottom"/>
            <w:tcBorders>
              <w:bottom w:val="single" w:sz="8" w:color="3C5896"/>
              <w:right w:val="single" w:sz="8" w:color="9EACCA"/>
            </w:tcBorders>
          </w:tcPr>
          <w:p>
            <w:pPr>
              <w:spacing w:after="0"/>
              <w:rPr>
                <w:sz w:val="19"/>
                <w:szCs w:val="19"/>
                <w:color w:val="auto"/>
              </w:rPr>
            </w:pPr>
          </w:p>
        </w:tc>
        <w:tc>
          <w:tcPr>
            <w:tcW w:w="800" w:type="dxa"/>
            <w:vAlign w:val="bottom"/>
            <w:tcBorders>
              <w:bottom w:val="single" w:sz="8" w:color="3C5896"/>
              <w:right w:val="single" w:sz="8" w:color="9EACCA"/>
            </w:tcBorders>
          </w:tcPr>
          <w:p>
            <w:pPr>
              <w:spacing w:after="0"/>
              <w:rPr>
                <w:sz w:val="19"/>
                <w:szCs w:val="19"/>
                <w:color w:val="auto"/>
              </w:rPr>
            </w:pPr>
          </w:p>
        </w:tc>
        <w:tc>
          <w:tcPr>
            <w:tcW w:w="720" w:type="dxa"/>
            <w:vAlign w:val="bottom"/>
            <w:tcBorders>
              <w:bottom w:val="single" w:sz="8" w:color="3C5896"/>
              <w:right w:val="single" w:sz="8" w:color="9EACCA"/>
            </w:tcBorders>
          </w:tcPr>
          <w:p>
            <w:pPr>
              <w:spacing w:after="0"/>
              <w:rPr>
                <w:sz w:val="19"/>
                <w:szCs w:val="19"/>
                <w:color w:val="auto"/>
              </w:rPr>
            </w:pPr>
          </w:p>
        </w:tc>
        <w:tc>
          <w:tcPr>
            <w:tcW w:w="120" w:type="dxa"/>
            <w:vAlign w:val="bottom"/>
            <w:tcBorders>
              <w:bottom w:val="single" w:sz="8" w:color="3C5896"/>
            </w:tcBorders>
          </w:tcPr>
          <w:p>
            <w:pPr>
              <w:spacing w:after="0"/>
              <w:rPr>
                <w:sz w:val="19"/>
                <w:szCs w:val="19"/>
                <w:color w:val="auto"/>
              </w:rPr>
            </w:pPr>
          </w:p>
        </w:tc>
        <w:tc>
          <w:tcPr>
            <w:tcW w:w="620" w:type="dxa"/>
            <w:vAlign w:val="bottom"/>
            <w:tcBorders>
              <w:bottom w:val="single" w:sz="8" w:color="3C5896"/>
              <w:right w:val="single" w:sz="8" w:color="9EACCA"/>
            </w:tcBorders>
          </w:tcPr>
          <w:p>
            <w:pPr>
              <w:spacing w:after="0"/>
              <w:rPr>
                <w:sz w:val="19"/>
                <w:szCs w:val="19"/>
                <w:color w:val="auto"/>
              </w:rPr>
            </w:pPr>
          </w:p>
        </w:tc>
        <w:tc>
          <w:tcPr>
            <w:tcW w:w="880" w:type="dxa"/>
            <w:vAlign w:val="bottom"/>
            <w:tcBorders>
              <w:bottom w:val="single" w:sz="8" w:color="3C5896"/>
              <w:right w:val="single" w:sz="8" w:color="9EACCA"/>
            </w:tcBorders>
          </w:tcPr>
          <w:p>
            <w:pPr>
              <w:spacing w:after="0"/>
              <w:rPr>
                <w:sz w:val="19"/>
                <w:szCs w:val="19"/>
                <w:color w:val="auto"/>
              </w:rPr>
            </w:pPr>
          </w:p>
        </w:tc>
        <w:tc>
          <w:tcPr>
            <w:tcW w:w="120" w:type="dxa"/>
            <w:vAlign w:val="bottom"/>
            <w:tcBorders>
              <w:bottom w:val="single" w:sz="8" w:color="3C5896"/>
            </w:tcBorders>
          </w:tcPr>
          <w:p>
            <w:pPr>
              <w:spacing w:after="0"/>
              <w:rPr>
                <w:sz w:val="19"/>
                <w:szCs w:val="19"/>
                <w:color w:val="auto"/>
              </w:rPr>
            </w:pPr>
          </w:p>
        </w:tc>
        <w:tc>
          <w:tcPr>
            <w:tcW w:w="700" w:type="dxa"/>
            <w:vAlign w:val="bottom"/>
            <w:tcBorders>
              <w:bottom w:val="single" w:sz="8" w:color="3C5896"/>
              <w:right w:val="single" w:sz="8" w:color="3C5896"/>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-3145790</wp:posOffset>
            </wp:positionV>
            <wp:extent cx="58204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-4679950</wp:posOffset>
            </wp:positionV>
            <wp:extent cx="50488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44" w:lineRule="exact"/>
        <w:rPr>
          <w:sz w:val="20"/>
          <w:szCs w:val="20"/>
          <w:color w:val="auto"/>
        </w:rPr>
      </w:pPr>
    </w:p>
    <w:p>
      <w:pPr>
        <w:ind w:left="1120" w:right="199" w:hanging="356"/>
        <w:spacing w:after="0" w:line="245"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options. The Pre-IPO Options granted to Mr. Brandman vest as to 20% of the shares subject to such option on each anniversary of the grant date, subject to continued employment through the applicable vesting date. The Moore 2017 Options vest in three substantially equal installments on each of the first, second and third anniversaries of the grant date, subject to continued employment through the applicable vesting date. The McAllister 2017 Options vest as to 20% of the shares subject to such option on each anniversary of the grant date, subject to Mr. McAllister continuing to provide services through such vesting date, except that pursuant to the McAllister Transition Agreement, the time-based options which are scheduled to vest on August 14, 2021 will instead vest on December 31, 2021. The time-based options granted to NEOs in 2019 will vest in three substantially equal installments on each of the first, second and third anniversaries of the grant date, subject to continued employment through the applicable vesting date. See “Pre-IPO Options,” “Post-IPO Options,” and “McAllister Transition Agreement” in the Compensation Discussion and Analysis section above. Vesting of time-based options will be</w:t>
      </w:r>
    </w:p>
    <w:p>
      <w:pPr>
        <w:spacing w:after="0" w:line="200" w:lineRule="exact"/>
        <w:rPr>
          <w:sz w:val="20"/>
          <w:szCs w:val="20"/>
          <w:color w:val="auto"/>
        </w:rPr>
      </w:pPr>
    </w:p>
    <w:p>
      <w:pPr>
        <w:spacing w:after="0" w:line="29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36  </w:t>
      </w:r>
      <w:r>
        <w:rPr>
          <w:sz w:val="1"/>
          <w:szCs w:val="1"/>
          <w:color w:val="auto"/>
        </w:rPr>
        <w:drawing>
          <wp:inline distT="0" distB="0" distL="0" distR="0">
            <wp:extent cx="299720" cy="24003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4" w:lineRule="exact"/>
        <w:rPr>
          <w:sz w:val="20"/>
          <w:szCs w:val="20"/>
          <w:color w:val="auto"/>
        </w:rPr>
      </w:pPr>
    </w:p>
    <w:p>
      <w:pPr>
        <w:ind w:left="1120" w:right="779"/>
        <w:spacing w:after="0" w:line="260" w:lineRule="auto"/>
        <w:rPr>
          <w:sz w:val="20"/>
          <w:szCs w:val="20"/>
          <w:color w:val="auto"/>
        </w:rPr>
      </w:pPr>
      <w:r>
        <w:rPr>
          <w:rFonts w:ascii="Arial" w:cs="Arial" w:eastAsia="Arial" w:hAnsi="Arial"/>
          <w:sz w:val="15"/>
          <w:szCs w:val="15"/>
          <w:color w:val="auto"/>
        </w:rPr>
        <w:t>accelerated upon a change in control that occurs while the executive is still employed by us, as described under “Potential Payments upon Termination or Change in Control” below.</w:t>
      </w:r>
    </w:p>
    <w:p>
      <w:pPr>
        <w:spacing w:after="0" w:line="45" w:lineRule="exact"/>
        <w:rPr>
          <w:sz w:val="20"/>
          <w:szCs w:val="20"/>
          <w:color w:val="auto"/>
        </w:rPr>
      </w:pPr>
    </w:p>
    <w:p>
      <w:pPr>
        <w:ind w:left="1120" w:right="319" w:hanging="356"/>
        <w:spacing w:after="0" w:line="246"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performance-based options. All of the performance-based Pre-IPO Options granted in 2014 and 2017 vested. Pursuant to the terms of the McAllister Transition Agreement, the vesting of the performance-based McAllister 2017 Options was modified such that they are eligible to vest as follows: with respect to the two tranches of 43,478 options first scheduled to vest on December 31, 2019 and the second scheduled to vest on December 31, 2020, such options will vest on the aforementioned dates regardless of performance so long as Mr. McAllister is employed by the Company on the applicable vesting date. See “McAllister Transition Agreement” in the Compensation Discussion and Analysis section above.</w:t>
      </w:r>
    </w:p>
    <w:p>
      <w:pPr>
        <w:spacing w:after="0" w:line="71" w:lineRule="exact"/>
        <w:rPr>
          <w:rFonts w:ascii="Arial" w:cs="Arial" w:eastAsia="Arial" w:hAnsi="Arial"/>
          <w:sz w:val="15"/>
          <w:szCs w:val="15"/>
          <w:color w:val="auto"/>
        </w:rPr>
      </w:pPr>
    </w:p>
    <w:p>
      <w:pPr>
        <w:ind w:left="1120" w:right="379" w:hanging="356"/>
        <w:spacing w:after="0" w:line="252"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expiration date shown is the normal expiration date occurring on the tenth anniversary of the grant date. Options may terminate earlier in certain circumstances, such as in connection with an NEO’s termination of employment or in connection with certain corporate transactions, including a change in control of the Company.</w:t>
      </w:r>
    </w:p>
    <w:p>
      <w:pPr>
        <w:spacing w:after="0" w:line="50" w:lineRule="exact"/>
        <w:rPr>
          <w:rFonts w:ascii="Arial" w:cs="Arial" w:eastAsia="Arial" w:hAnsi="Arial"/>
          <w:sz w:val="15"/>
          <w:szCs w:val="15"/>
          <w:color w:val="auto"/>
        </w:rPr>
      </w:pPr>
    </w:p>
    <w:p>
      <w:pPr>
        <w:ind w:left="1120" w:right="299" w:hanging="356"/>
        <w:spacing w:after="0" w:line="252"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RSUs. The RSUs granted in 2019 will vest in three installments over four years, one-half on the second anniversary of the grant date and one-quarter on each of the third and fourth anniversaries of the grant date, subject to continued employment through the applicable vesting date.</w:t>
      </w:r>
    </w:p>
    <w:p>
      <w:pPr>
        <w:spacing w:after="0" w:line="50" w:lineRule="exact"/>
        <w:rPr>
          <w:rFonts w:ascii="Arial" w:cs="Arial" w:eastAsia="Arial" w:hAnsi="Arial"/>
          <w:sz w:val="15"/>
          <w:szCs w:val="15"/>
          <w:color w:val="auto"/>
        </w:rPr>
      </w:pPr>
    </w:p>
    <w:p>
      <w:pPr>
        <w:ind w:left="1120" w:hanging="356"/>
        <w:spacing w:after="0"/>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market value is based on the NASDAQ closing price on December 27, 2019.</w:t>
      </w:r>
    </w:p>
    <w:p>
      <w:pPr>
        <w:spacing w:after="0" w:line="84" w:lineRule="exact"/>
        <w:rPr>
          <w:rFonts w:ascii="Arial" w:cs="Arial" w:eastAsia="Arial" w:hAnsi="Arial"/>
          <w:sz w:val="15"/>
          <w:szCs w:val="15"/>
          <w:color w:val="auto"/>
        </w:rPr>
      </w:pPr>
    </w:p>
    <w:p>
      <w:pPr>
        <w:ind w:left="1120" w:right="239" w:hanging="356"/>
        <w:spacing w:after="0" w:line="246"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PSUs. The PSUs granted in 2019 will vest on the third anniversary of the grant date based on the Company’s achievement of certain Adjusted EBITDA growth targets, as set forth in the PSU award agreement. The actual value of the PSUs that become vested based on the performance measure (Adjusted EBITDA growth) is based on an achievement factor which, in each case, ranges from a 50% payout for threshold performance, to 100% for target performance, to 200% for maximum performance. To the extent that performance falls between the applicable threshold, target or maximum levels, payouts will be determined using linear interpolation. Mr. McAllister did not receive a PSU award in 2019 as he was no longer a NEO at the time of the award. Mr. Clark and Ms. Rasmussen also received special sign-on equity awards when they joined the Company. See “2019 Special Retention and Sign-On Awards” in the Compensation Discussion and Analysis section above for additional information on their respective PSU awards and the vesting terms.</w:t>
      </w:r>
    </w:p>
    <w:p>
      <w:pPr>
        <w:spacing w:after="0" w:line="55" w:lineRule="exact"/>
        <w:rPr>
          <w:rFonts w:ascii="Arial" w:cs="Arial" w:eastAsia="Arial" w:hAnsi="Arial"/>
          <w:sz w:val="15"/>
          <w:szCs w:val="15"/>
          <w:color w:val="auto"/>
        </w:rPr>
      </w:pPr>
    </w:p>
    <w:p>
      <w:pPr>
        <w:ind w:left="1120" w:hanging="356"/>
        <w:spacing w:after="0"/>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Mr. Beasley did not hold any outstanding equity awards at the end of fiscal 2019.</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2019 Option Exercises and Stock Vested</w:t>
      </w:r>
    </w:p>
    <w:p>
      <w:pPr>
        <w:spacing w:after="0" w:line="139" w:lineRule="exact"/>
        <w:rPr>
          <w:sz w:val="20"/>
          <w:szCs w:val="20"/>
          <w:color w:val="auto"/>
        </w:rPr>
      </w:pPr>
    </w:p>
    <w:p>
      <w:pPr>
        <w:ind w:left="760" w:right="619"/>
        <w:spacing w:after="0" w:line="261" w:lineRule="auto"/>
        <w:rPr>
          <w:sz w:val="20"/>
          <w:szCs w:val="20"/>
          <w:color w:val="auto"/>
        </w:rPr>
      </w:pPr>
      <w:r>
        <w:rPr>
          <w:rFonts w:ascii="Arial" w:cs="Arial" w:eastAsia="Arial" w:hAnsi="Arial"/>
          <w:sz w:val="18"/>
          <w:szCs w:val="18"/>
          <w:color w:val="auto"/>
        </w:rPr>
        <w:t>The following table provides information regarding options exercised by the NEOs during the fiscal year ended 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83185</wp:posOffset>
            </wp:positionV>
            <wp:extent cx="5837555" cy="1619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37555" cy="161988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700"/>
        <w:spacing w:after="0"/>
        <w:rPr>
          <w:sz w:val="20"/>
          <w:szCs w:val="20"/>
          <w:color w:val="auto"/>
        </w:rPr>
      </w:pPr>
      <w:r>
        <w:rPr>
          <w:rFonts w:ascii="Arial" w:cs="Arial" w:eastAsia="Arial" w:hAnsi="Arial"/>
          <w:sz w:val="18"/>
          <w:szCs w:val="18"/>
          <w:b w:val="1"/>
          <w:bCs w:val="1"/>
          <w:color w:val="FFFFFF"/>
        </w:rPr>
        <w:t>Name</w:t>
      </w:r>
    </w:p>
    <w:p>
      <w:pPr>
        <w:spacing w:after="0" w:line="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 Reade Fahs</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Patrick R. Moore</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Jared Brandman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Bill Clark</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Melissa Rasmussen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Jeff McAllister</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Chris Beasley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FFFFFF"/>
        </w:rPr>
        <w:t>Option Awards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880" w:type="dxa"/>
            <w:vAlign w:val="bottom"/>
            <w:tcBorders>
              <w:right w:val="single" w:sz="8" w:color="9EACCA"/>
            </w:tcBorders>
            <w:shd w:val="clear" w:color="auto" w:fill="3C5896"/>
          </w:tcPr>
          <w:p>
            <w:pPr>
              <w:jc w:val="right"/>
              <w:ind w:right="210"/>
              <w:spacing w:after="0"/>
              <w:rPr>
                <w:sz w:val="20"/>
                <w:szCs w:val="20"/>
                <w:color w:val="auto"/>
              </w:rPr>
            </w:pPr>
            <w:r>
              <w:rPr>
                <w:rFonts w:ascii="Arial" w:cs="Arial" w:eastAsia="Arial" w:hAnsi="Arial"/>
                <w:sz w:val="18"/>
                <w:szCs w:val="18"/>
                <w:b w:val="1"/>
                <w:bCs w:val="1"/>
                <w:color w:val="FFFFFF"/>
              </w:rPr>
              <w:t>Number of Shares Acquired</w:t>
            </w:r>
          </w:p>
        </w:tc>
        <w:tc>
          <w:tcPr>
            <w:tcW w:w="2920" w:type="dxa"/>
            <w:vAlign w:val="bottom"/>
            <w:shd w:val="clear" w:color="auto" w:fill="3C5896"/>
          </w:tcPr>
          <w:p>
            <w:pPr>
              <w:jc w:val="right"/>
              <w:ind w:right="770"/>
              <w:spacing w:after="0"/>
              <w:rPr>
                <w:sz w:val="20"/>
                <w:szCs w:val="20"/>
                <w:color w:val="auto"/>
              </w:rPr>
            </w:pPr>
            <w:r>
              <w:rPr>
                <w:rFonts w:ascii="Arial" w:cs="Arial" w:eastAsia="Arial" w:hAnsi="Arial"/>
                <w:sz w:val="18"/>
                <w:szCs w:val="18"/>
                <w:b w:val="1"/>
                <w:bCs w:val="1"/>
                <w:color w:val="FFFFFF"/>
              </w:rPr>
              <w:t>Value Realized</w:t>
            </w:r>
          </w:p>
        </w:tc>
        <w:tc>
          <w:tcPr>
            <w:tcW w:w="20" w:type="dxa"/>
            <w:vAlign w:val="bottom"/>
            <w:shd w:val="clear" w:color="auto" w:fill="3C5896"/>
          </w:tcPr>
          <w:p>
            <w:pPr>
              <w:spacing w:after="0"/>
              <w:rPr>
                <w:sz w:val="18"/>
                <w:szCs w:val="18"/>
                <w:color w:val="auto"/>
              </w:rPr>
            </w:pPr>
          </w:p>
        </w:tc>
      </w:tr>
      <w:tr>
        <w:trPr>
          <w:trHeight w:val="256"/>
        </w:trPr>
        <w:tc>
          <w:tcPr>
            <w:tcW w:w="40" w:type="dxa"/>
            <w:vAlign w:val="bottom"/>
          </w:tcPr>
          <w:p>
            <w:pPr>
              <w:spacing w:after="0"/>
              <w:rPr>
                <w:sz w:val="22"/>
                <w:szCs w:val="22"/>
                <w:color w:val="auto"/>
              </w:rPr>
            </w:pPr>
          </w:p>
        </w:tc>
        <w:tc>
          <w:tcPr>
            <w:tcW w:w="2880" w:type="dxa"/>
            <w:vAlign w:val="bottom"/>
            <w:tcBorders>
              <w:right w:val="single" w:sz="8" w:color="9EACCA"/>
            </w:tcBorders>
            <w:shd w:val="clear" w:color="auto" w:fill="3C5896"/>
          </w:tcPr>
          <w:p>
            <w:pPr>
              <w:jc w:val="right"/>
              <w:ind w:right="750"/>
              <w:spacing w:after="0"/>
              <w:rPr>
                <w:sz w:val="20"/>
                <w:szCs w:val="20"/>
                <w:color w:val="auto"/>
              </w:rPr>
            </w:pPr>
            <w:r>
              <w:rPr>
                <w:rFonts w:ascii="Arial" w:cs="Arial" w:eastAsia="Arial" w:hAnsi="Arial"/>
                <w:sz w:val="18"/>
                <w:szCs w:val="18"/>
                <w:b w:val="1"/>
                <w:bCs w:val="1"/>
                <w:color w:val="FFFFFF"/>
              </w:rPr>
              <w:t>on Exercise (#)</w:t>
            </w:r>
          </w:p>
        </w:tc>
        <w:tc>
          <w:tcPr>
            <w:tcW w:w="2920" w:type="dxa"/>
            <w:vAlign w:val="bottom"/>
            <w:shd w:val="clear" w:color="auto" w:fill="3C5896"/>
          </w:tcPr>
          <w:p>
            <w:pPr>
              <w:jc w:val="right"/>
              <w:ind w:right="650"/>
              <w:spacing w:after="0" w:line="256" w:lineRule="exact"/>
              <w:rPr>
                <w:sz w:val="20"/>
                <w:szCs w:val="20"/>
                <w:color w:val="auto"/>
              </w:rPr>
            </w:pPr>
            <w:r>
              <w:rPr>
                <w:rFonts w:ascii="Arial" w:cs="Arial" w:eastAsia="Arial" w:hAnsi="Arial"/>
                <w:sz w:val="18"/>
                <w:szCs w:val="18"/>
                <w:b w:val="1"/>
                <w:bCs w:val="1"/>
                <w:color w:val="FFFFFF"/>
              </w:rPr>
              <w:t>on Exercise ($)</w:t>
            </w:r>
            <w:r>
              <w:rPr>
                <w:rFonts w:ascii="Arial" w:cs="Arial" w:eastAsia="Arial" w:hAnsi="Arial"/>
                <w:sz w:val="26"/>
                <w:szCs w:val="26"/>
                <w:b w:val="1"/>
                <w:bCs w:val="1"/>
                <w:color w:val="FFFFFF"/>
                <w:vertAlign w:val="superscript"/>
              </w:rPr>
              <w:t>(1)</w:t>
            </w:r>
          </w:p>
        </w:tc>
        <w:tc>
          <w:tcPr>
            <w:tcW w:w="20" w:type="dxa"/>
            <w:vAlign w:val="bottom"/>
            <w:shd w:val="clear" w:color="auto" w:fill="3C5896"/>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2880" w:type="dxa"/>
            <w:vAlign w:val="bottom"/>
            <w:tcBorders>
              <w:right w:val="single" w:sz="8" w:color="9EACCA"/>
            </w:tcBorders>
          </w:tcPr>
          <w:p>
            <w:pPr>
              <w:jc w:val="right"/>
              <w:ind w:right="1110"/>
              <w:spacing w:after="0"/>
              <w:rPr>
                <w:sz w:val="20"/>
                <w:szCs w:val="20"/>
                <w:color w:val="auto"/>
              </w:rPr>
            </w:pPr>
            <w:r>
              <w:rPr>
                <w:rFonts w:ascii="Arial" w:cs="Arial" w:eastAsia="Arial" w:hAnsi="Arial"/>
                <w:sz w:val="18"/>
                <w:szCs w:val="18"/>
                <w:color w:val="auto"/>
              </w:rPr>
              <w:t>—</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63"/>
        </w:trPr>
        <w:tc>
          <w:tcPr>
            <w:tcW w:w="40" w:type="dxa"/>
            <w:vAlign w:val="bottom"/>
            <w:shd w:val="clear" w:color="auto" w:fill="CCCCCC"/>
          </w:tcPr>
          <w:p>
            <w:pPr>
              <w:spacing w:after="0"/>
              <w:rPr>
                <w:sz w:val="22"/>
                <w:szCs w:val="22"/>
                <w:color w:val="auto"/>
              </w:rPr>
            </w:pPr>
          </w:p>
        </w:tc>
        <w:tc>
          <w:tcPr>
            <w:tcW w:w="2880" w:type="dxa"/>
            <w:vAlign w:val="bottom"/>
            <w:tcBorders>
              <w:right w:val="single" w:sz="8" w:color="9EACCA"/>
            </w:tcBorders>
            <w:shd w:val="clear" w:color="auto" w:fill="CCCCCC"/>
          </w:tcPr>
          <w:p>
            <w:pPr>
              <w:jc w:val="right"/>
              <w:ind w:right="1110"/>
              <w:spacing w:after="0"/>
              <w:rPr>
                <w:sz w:val="20"/>
                <w:szCs w:val="20"/>
                <w:color w:val="auto"/>
              </w:rPr>
            </w:pPr>
            <w:r>
              <w:rPr>
                <w:rFonts w:ascii="Arial" w:cs="Arial" w:eastAsia="Arial" w:hAnsi="Arial"/>
                <w:sz w:val="18"/>
                <w:szCs w:val="18"/>
                <w:color w:val="auto"/>
              </w:rPr>
              <w:t>70,000</w:t>
            </w:r>
          </w:p>
        </w:tc>
        <w:tc>
          <w:tcPr>
            <w:tcW w:w="2920" w:type="dxa"/>
            <w:vAlign w:val="bottom"/>
            <w:shd w:val="clear" w:color="auto" w:fill="CCCCCC"/>
          </w:tcPr>
          <w:p>
            <w:pPr>
              <w:jc w:val="right"/>
              <w:ind w:right="910"/>
              <w:spacing w:after="0"/>
              <w:rPr>
                <w:sz w:val="20"/>
                <w:szCs w:val="20"/>
                <w:color w:val="auto"/>
              </w:rPr>
            </w:pPr>
            <w:r>
              <w:rPr>
                <w:rFonts w:ascii="Arial" w:cs="Arial" w:eastAsia="Arial" w:hAnsi="Arial"/>
                <w:sz w:val="18"/>
                <w:szCs w:val="18"/>
                <w:color w:val="auto"/>
              </w:rPr>
              <w:t>$1,941,100</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2880" w:type="dxa"/>
            <w:vAlign w:val="bottom"/>
            <w:tcBorders>
              <w:right w:val="single" w:sz="8" w:color="9EACCA"/>
            </w:tcBorders>
          </w:tcPr>
          <w:p>
            <w:pPr>
              <w:jc w:val="right"/>
              <w:ind w:right="1110"/>
              <w:spacing w:after="0"/>
              <w:rPr>
                <w:sz w:val="20"/>
                <w:szCs w:val="20"/>
                <w:color w:val="auto"/>
              </w:rPr>
            </w:pPr>
            <w:r>
              <w:rPr>
                <w:rFonts w:ascii="Arial" w:cs="Arial" w:eastAsia="Arial" w:hAnsi="Arial"/>
                <w:sz w:val="18"/>
                <w:szCs w:val="18"/>
                <w:color w:val="auto"/>
              </w:rPr>
              <w:t>—</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63"/>
        </w:trPr>
        <w:tc>
          <w:tcPr>
            <w:tcW w:w="40" w:type="dxa"/>
            <w:vAlign w:val="bottom"/>
            <w:shd w:val="clear" w:color="auto" w:fill="CCCCCC"/>
          </w:tcPr>
          <w:p>
            <w:pPr>
              <w:spacing w:after="0"/>
              <w:rPr>
                <w:sz w:val="22"/>
                <w:szCs w:val="22"/>
                <w:color w:val="auto"/>
              </w:rPr>
            </w:pPr>
          </w:p>
        </w:tc>
        <w:tc>
          <w:tcPr>
            <w:tcW w:w="2880" w:type="dxa"/>
            <w:vAlign w:val="bottom"/>
            <w:tcBorders>
              <w:right w:val="single" w:sz="8" w:color="9EACCA"/>
            </w:tcBorders>
            <w:shd w:val="clear" w:color="auto" w:fill="CCCCCC"/>
          </w:tcPr>
          <w:p>
            <w:pPr>
              <w:jc w:val="right"/>
              <w:ind w:right="1110"/>
              <w:spacing w:after="0"/>
              <w:rPr>
                <w:sz w:val="20"/>
                <w:szCs w:val="20"/>
                <w:color w:val="auto"/>
              </w:rPr>
            </w:pPr>
            <w:r>
              <w:rPr>
                <w:rFonts w:ascii="Arial" w:cs="Arial" w:eastAsia="Arial" w:hAnsi="Arial"/>
                <w:sz w:val="18"/>
                <w:szCs w:val="18"/>
                <w:color w:val="auto"/>
              </w:rPr>
              <w:t>—</w:t>
            </w:r>
          </w:p>
        </w:tc>
        <w:tc>
          <w:tcPr>
            <w:tcW w:w="2920" w:type="dxa"/>
            <w:vAlign w:val="bottom"/>
            <w:shd w:val="clear" w:color="auto" w:fill="CCCCCC"/>
          </w:tcPr>
          <w:p>
            <w:pPr>
              <w:jc w:val="right"/>
              <w:ind w:right="9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2880" w:type="dxa"/>
            <w:vAlign w:val="bottom"/>
            <w:tcBorders>
              <w:right w:val="single" w:sz="8" w:color="9EACCA"/>
            </w:tcBorders>
          </w:tcPr>
          <w:p>
            <w:pPr>
              <w:jc w:val="right"/>
              <w:ind w:right="1110"/>
              <w:spacing w:after="0"/>
              <w:rPr>
                <w:sz w:val="20"/>
                <w:szCs w:val="20"/>
                <w:color w:val="auto"/>
              </w:rPr>
            </w:pPr>
            <w:r>
              <w:rPr>
                <w:rFonts w:ascii="Arial" w:cs="Arial" w:eastAsia="Arial" w:hAnsi="Arial"/>
                <w:sz w:val="18"/>
                <w:szCs w:val="18"/>
                <w:color w:val="auto"/>
              </w:rPr>
              <w:t>—</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63"/>
        </w:trPr>
        <w:tc>
          <w:tcPr>
            <w:tcW w:w="40" w:type="dxa"/>
            <w:vAlign w:val="bottom"/>
            <w:shd w:val="clear" w:color="auto" w:fill="CCCCCC"/>
          </w:tcPr>
          <w:p>
            <w:pPr>
              <w:spacing w:after="0"/>
              <w:rPr>
                <w:sz w:val="22"/>
                <w:szCs w:val="22"/>
                <w:color w:val="auto"/>
              </w:rPr>
            </w:pPr>
          </w:p>
        </w:tc>
        <w:tc>
          <w:tcPr>
            <w:tcW w:w="2880" w:type="dxa"/>
            <w:vAlign w:val="bottom"/>
            <w:tcBorders>
              <w:right w:val="single" w:sz="8" w:color="9EACCA"/>
            </w:tcBorders>
            <w:shd w:val="clear" w:color="auto" w:fill="CCCCCC"/>
          </w:tcPr>
          <w:p>
            <w:pPr>
              <w:jc w:val="right"/>
              <w:ind w:right="1110"/>
              <w:spacing w:after="0"/>
              <w:rPr>
                <w:sz w:val="20"/>
                <w:szCs w:val="20"/>
                <w:color w:val="auto"/>
              </w:rPr>
            </w:pPr>
            <w:r>
              <w:rPr>
                <w:rFonts w:ascii="Arial" w:cs="Arial" w:eastAsia="Arial" w:hAnsi="Arial"/>
                <w:sz w:val="18"/>
                <w:szCs w:val="18"/>
                <w:color w:val="auto"/>
              </w:rPr>
              <w:t>63,212</w:t>
            </w:r>
          </w:p>
        </w:tc>
        <w:tc>
          <w:tcPr>
            <w:tcW w:w="2920" w:type="dxa"/>
            <w:vAlign w:val="bottom"/>
            <w:shd w:val="clear" w:color="auto" w:fill="CCCCCC"/>
          </w:tcPr>
          <w:p>
            <w:pPr>
              <w:jc w:val="right"/>
              <w:ind w:right="910"/>
              <w:spacing w:after="0"/>
              <w:rPr>
                <w:sz w:val="20"/>
                <w:szCs w:val="20"/>
                <w:color w:val="auto"/>
              </w:rPr>
            </w:pPr>
            <w:r>
              <w:rPr>
                <w:rFonts w:ascii="Arial" w:cs="Arial" w:eastAsia="Arial" w:hAnsi="Arial"/>
                <w:sz w:val="18"/>
                <w:szCs w:val="18"/>
                <w:color w:val="auto"/>
              </w:rPr>
              <w:t>$1,041,039</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2880" w:type="dxa"/>
            <w:vAlign w:val="bottom"/>
            <w:tcBorders>
              <w:right w:val="single" w:sz="8" w:color="9EACCA"/>
            </w:tcBorders>
          </w:tcPr>
          <w:p>
            <w:pPr>
              <w:jc w:val="right"/>
              <w:ind w:right="1110"/>
              <w:spacing w:after="0"/>
              <w:rPr>
                <w:sz w:val="20"/>
                <w:szCs w:val="20"/>
                <w:color w:val="auto"/>
              </w:rPr>
            </w:pPr>
            <w:r>
              <w:rPr>
                <w:rFonts w:ascii="Arial" w:cs="Arial" w:eastAsia="Arial" w:hAnsi="Arial"/>
                <w:sz w:val="18"/>
                <w:szCs w:val="18"/>
                <w:color w:val="auto"/>
              </w:rPr>
              <w:t>90,838</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$2,100,246</w:t>
            </w:r>
          </w:p>
        </w:tc>
        <w:tc>
          <w:tcPr>
            <w:tcW w:w="20" w:type="dxa"/>
            <w:vAlign w:val="bottom"/>
          </w:tcPr>
          <w:p>
            <w:pPr>
              <w:spacing w:after="0"/>
              <w:rPr>
                <w:sz w:val="21"/>
                <w:szCs w:val="21"/>
                <w:color w:val="auto"/>
              </w:rPr>
            </w:pPr>
          </w:p>
        </w:tc>
      </w:tr>
    </w:tbl>
    <w:p>
      <w:pPr>
        <w:spacing w:after="0" w:line="78" w:lineRule="exact"/>
        <w:rPr>
          <w:sz w:val="20"/>
          <w:szCs w:val="20"/>
          <w:color w:val="auto"/>
        </w:rPr>
      </w:pPr>
    </w:p>
    <w:p>
      <w:pPr>
        <w:sectPr>
          <w:pgSz w:w="11900" w:h="16838" w:orient="portrait"/>
          <w:cols w:equalWidth="0" w:num="2">
            <w:col w:w="3380" w:space="720"/>
            <w:col w:w="6039"/>
          </w:cols>
          <w:pgMar w:left="320" w:top="132" w:right="1440" w:bottom="1440" w:gutter="0" w:footer="0" w:header="0"/>
          <w:type w:val="continuous"/>
        </w:sectPr>
      </w:pPr>
    </w:p>
    <w:p>
      <w:pPr>
        <w:ind w:left="1120" w:right="279" w:hanging="356"/>
        <w:spacing w:after="0" w:line="260" w:lineRule="auto"/>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Represents the difference between the fair market value of the shares acquired on the exercise date and the exercise price of the options, multiplied by the number of options exercised.</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2019 Pension Benefits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no defined benefit pension plans for our executive officers.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2019 Non-Qualified Deferred Compensation</w:t>
      </w:r>
    </w:p>
    <w:p>
      <w:pPr>
        <w:spacing w:after="0" w:line="139" w:lineRule="exact"/>
        <w:rPr>
          <w:sz w:val="20"/>
          <w:szCs w:val="20"/>
          <w:color w:val="auto"/>
        </w:rPr>
      </w:pPr>
    </w:p>
    <w:p>
      <w:pPr>
        <w:ind w:left="760" w:right="219"/>
        <w:spacing w:after="0" w:line="261" w:lineRule="auto"/>
        <w:rPr>
          <w:sz w:val="20"/>
          <w:szCs w:val="20"/>
          <w:color w:val="auto"/>
        </w:rPr>
      </w:pPr>
      <w:r>
        <w:rPr>
          <w:rFonts w:ascii="Arial" w:cs="Arial" w:eastAsia="Arial" w:hAnsi="Arial"/>
          <w:sz w:val="18"/>
          <w:szCs w:val="18"/>
          <w:color w:val="auto"/>
        </w:rPr>
        <w:t>We have no non-qualified defined contribution or other non-qualified deferred compensation plans for our executive officers.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9" w:lineRule="exact"/>
        <w:rPr>
          <w:sz w:val="20"/>
          <w:szCs w:val="20"/>
          <w:color w:val="auto"/>
        </w:rPr>
      </w:pPr>
    </w:p>
    <w:p>
      <w:pPr>
        <w:ind w:left="760" w:right="459"/>
        <w:spacing w:after="0" w:line="256" w:lineRule="auto"/>
        <w:rPr>
          <w:sz w:val="20"/>
          <w:szCs w:val="20"/>
          <w:color w:val="auto"/>
        </w:rPr>
      </w:pPr>
      <w:r>
        <w:rPr>
          <w:rFonts w:ascii="Arial" w:cs="Arial" w:eastAsia="Arial" w:hAnsi="Arial"/>
          <w:sz w:val="18"/>
          <w:szCs w:val="18"/>
          <w:color w:val="auto"/>
        </w:rPr>
        <w:t>The following section describes the payments and benefits that may become payable to the NEOs in connection with their termination of employment and/or a change in control. All such payments and benefits will be paid or provided by us or National Vision, Inc.</w:t>
      </w:r>
    </w:p>
    <w:p>
      <w:pPr>
        <w:spacing w:after="0" w:line="304"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39" w:lineRule="exact"/>
        <w:rPr>
          <w:sz w:val="20"/>
          <w:szCs w:val="20"/>
          <w:color w:val="auto"/>
        </w:rPr>
      </w:pPr>
    </w:p>
    <w:p>
      <w:pPr>
        <w:ind w:left="760" w:right="199"/>
        <w:spacing w:after="0" w:line="238" w:lineRule="auto"/>
        <w:rPr>
          <w:sz w:val="20"/>
          <w:szCs w:val="20"/>
          <w:color w:val="auto"/>
        </w:rPr>
      </w:pPr>
      <w:r>
        <w:rPr>
          <w:rFonts w:ascii="Arial" w:cs="Arial" w:eastAsia="Arial" w:hAnsi="Arial"/>
          <w:sz w:val="18"/>
          <w:szCs w:val="18"/>
          <w:color w:val="auto"/>
        </w:rPr>
        <w:t>The Executive Severance Plan provides for severance payments and benefits to eligible employees, including our NEOs, upon a termination of employment by the Company without cause or by the executive for good reason (each as defined in the Executive Severance Plan, and each of which we refer to as a Qualifying Termination). In the event of a Qualifying Termination of employment, the Executive Severance Plan provides, in addition to certain accrued obligations, for the following payments and benefits:</w:t>
      </w:r>
    </w:p>
    <w:p>
      <w:pPr>
        <w:spacing w:after="0" w:line="94" w:lineRule="exact"/>
        <w:rPr>
          <w:sz w:val="20"/>
          <w:szCs w:val="20"/>
          <w:color w:val="auto"/>
        </w:rPr>
      </w:pPr>
    </w:p>
    <w:p>
      <w:pPr>
        <w:ind w:left="1120" w:hanging="212"/>
        <w:spacing w:after="0"/>
        <w:tabs>
          <w:tab w:leader="none" w:pos="1120" w:val="left"/>
        </w:tabs>
        <w:numPr>
          <w:ilvl w:val="0"/>
          <w:numId w:val="39"/>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actual performance;</w:t>
      </w:r>
    </w:p>
    <w:p>
      <w:pPr>
        <w:spacing w:after="0" w:line="103" w:lineRule="exact"/>
        <w:rPr>
          <w:rFonts w:ascii="Arial" w:cs="Arial" w:eastAsia="Arial" w:hAnsi="Arial"/>
          <w:sz w:val="18"/>
          <w:szCs w:val="18"/>
          <w:color w:val="3C5896"/>
        </w:rPr>
      </w:pPr>
    </w:p>
    <w:p>
      <w:pPr>
        <w:ind w:left="1120" w:right="459" w:hanging="212"/>
        <w:spacing w:after="0" w:line="238" w:lineRule="auto"/>
        <w:tabs>
          <w:tab w:leader="none" w:pos="1120" w:val="left"/>
        </w:tabs>
        <w:numPr>
          <w:ilvl w:val="0"/>
          <w:numId w:val="39"/>
        </w:numPr>
        <w:rPr>
          <w:rFonts w:ascii="Arial" w:cs="Arial" w:eastAsia="Arial" w:hAnsi="Arial"/>
          <w:sz w:val="18"/>
          <w:szCs w:val="18"/>
          <w:color w:val="3C5896"/>
        </w:rPr>
      </w:pPr>
      <w:r>
        <w:rPr>
          <w:rFonts w:ascii="Arial" w:cs="Arial" w:eastAsia="Arial" w:hAnsi="Arial"/>
          <w:sz w:val="18"/>
          <w:szCs w:val="18"/>
          <w:color w:val="auto"/>
        </w:rPr>
        <w:t>An amount equal to the sum of the executive’s (x) annual base salary and (y) bonus based on target performance, which we refer to collectively as the cash severance amount, times the multiplier applicable to such executive, which is 2.0 for Mr. Fahs, 1.5 for Messrs. Moore and Brandman, and 1.0 for Mr. Clark and Ms. Rasmussen, payable over a period of 24 months for Mr. Fahs, 18 months for Messrs. Moore and Brandman, and 12 months for Mr. Clark and Ms. Rasmussen; and</w:t>
      </w:r>
    </w:p>
    <w:p>
      <w:pPr>
        <w:spacing w:after="0" w:line="94" w:lineRule="exact"/>
        <w:rPr>
          <w:rFonts w:ascii="Arial" w:cs="Arial" w:eastAsia="Arial" w:hAnsi="Arial"/>
          <w:sz w:val="18"/>
          <w:szCs w:val="18"/>
          <w:color w:val="3C5896"/>
        </w:rPr>
      </w:pPr>
    </w:p>
    <w:p>
      <w:pPr>
        <w:ind w:left="1120" w:right="339" w:hanging="212"/>
        <w:spacing w:after="0" w:line="238" w:lineRule="auto"/>
        <w:tabs>
          <w:tab w:leader="none" w:pos="1120" w:val="left"/>
        </w:tabs>
        <w:numPr>
          <w:ilvl w:val="0"/>
          <w:numId w:val="39"/>
        </w:numPr>
        <w:rPr>
          <w:rFonts w:ascii="Arial" w:cs="Arial" w:eastAsia="Arial" w:hAnsi="Arial"/>
          <w:sz w:val="18"/>
          <w:szCs w:val="18"/>
          <w:color w:val="3C5896"/>
        </w:rPr>
      </w:pPr>
      <w:r>
        <w:rPr>
          <w:rFonts w:ascii="Arial" w:cs="Arial" w:eastAsia="Arial" w:hAnsi="Arial"/>
          <w:sz w:val="18"/>
          <w:szCs w:val="18"/>
          <w:color w:val="auto"/>
        </w:rPr>
        <w:t>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Fahs, 18 months for Messrs. Moore and Brandman, and 12 months for Mr. Clark and Ms. Rasmussen.</w:t>
      </w:r>
    </w:p>
    <w:p>
      <w:pPr>
        <w:spacing w:after="0" w:line="97" w:lineRule="exact"/>
        <w:rPr>
          <w:sz w:val="20"/>
          <w:szCs w:val="20"/>
          <w:color w:val="auto"/>
        </w:rPr>
      </w:pPr>
    </w:p>
    <w:p>
      <w:pPr>
        <w:jc w:val="both"/>
        <w:ind w:left="760" w:right="419"/>
        <w:spacing w:after="0"/>
        <w:rPr>
          <w:sz w:val="20"/>
          <w:szCs w:val="20"/>
          <w:color w:val="auto"/>
        </w:rPr>
      </w:pPr>
      <w:r>
        <w:rPr>
          <w:rFonts w:ascii="Arial" w:cs="Arial" w:eastAsia="Arial" w:hAnsi="Arial"/>
          <w:sz w:val="18"/>
          <w:szCs w:val="18"/>
          <w:color w:val="auto"/>
        </w:rPr>
        <w:t>In addition, upon a Qualifying Termination that occurs within the two-year period following a change in control (as defined in the Executive Severance Plan), the Executive Severance Plan provides, in addition to certain accrued obligations, for the following payments and benefits:</w:t>
      </w:r>
    </w:p>
    <w:p>
      <w:pPr>
        <w:spacing w:after="0" w:line="95" w:lineRule="exact"/>
        <w:rPr>
          <w:sz w:val="20"/>
          <w:szCs w:val="20"/>
          <w:color w:val="auto"/>
        </w:rPr>
      </w:pPr>
    </w:p>
    <w:p>
      <w:pPr>
        <w:ind w:left="1120" w:hanging="212"/>
        <w:spacing w:after="0"/>
        <w:tabs>
          <w:tab w:leader="none" w:pos="1120" w:val="left"/>
        </w:tabs>
        <w:numPr>
          <w:ilvl w:val="0"/>
          <w:numId w:val="40"/>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target performance;</w:t>
      </w:r>
    </w:p>
    <w:p>
      <w:pPr>
        <w:spacing w:after="0" w:line="103" w:lineRule="exact"/>
        <w:rPr>
          <w:rFonts w:ascii="Arial" w:cs="Arial" w:eastAsia="Arial" w:hAnsi="Arial"/>
          <w:sz w:val="18"/>
          <w:szCs w:val="18"/>
          <w:color w:val="3C5896"/>
        </w:rPr>
      </w:pPr>
    </w:p>
    <w:p>
      <w:pPr>
        <w:ind w:left="1120" w:right="179" w:hanging="212"/>
        <w:spacing w:after="0" w:line="234" w:lineRule="auto"/>
        <w:tabs>
          <w:tab w:leader="none" w:pos="1120" w:val="left"/>
        </w:tabs>
        <w:numPr>
          <w:ilvl w:val="0"/>
          <w:numId w:val="40"/>
        </w:numPr>
        <w:rPr>
          <w:rFonts w:ascii="Arial" w:cs="Arial" w:eastAsia="Arial" w:hAnsi="Arial"/>
          <w:sz w:val="18"/>
          <w:szCs w:val="18"/>
          <w:color w:val="3C5896"/>
        </w:rPr>
      </w:pPr>
      <w:r>
        <w:rPr>
          <w:rFonts w:ascii="Arial" w:cs="Arial" w:eastAsia="Arial" w:hAnsi="Arial"/>
          <w:sz w:val="18"/>
          <w:szCs w:val="18"/>
          <w:color w:val="auto"/>
        </w:rPr>
        <w:t>The cash severance amount, times the multiplier applicable to such executive, which is 2.5 for Mr. Fahs, 2.0 for Messrs. Moore and Brandman, and 1.5 for Mr. Clark and Ms. Rasmussen, payable in a lump sum within</w:t>
      </w:r>
    </w:p>
    <w:p>
      <w:pPr>
        <w:spacing w:after="0" w:line="1" w:lineRule="exact"/>
        <w:rPr>
          <w:rFonts w:ascii="Arial" w:cs="Arial" w:eastAsia="Arial" w:hAnsi="Arial"/>
          <w:sz w:val="18"/>
          <w:szCs w:val="18"/>
          <w:color w:val="3C5896"/>
        </w:rPr>
      </w:pPr>
    </w:p>
    <w:p>
      <w:pPr>
        <w:ind w:left="1120"/>
        <w:spacing w:after="0"/>
        <w:rPr>
          <w:rFonts w:ascii="Arial" w:cs="Arial" w:eastAsia="Arial" w:hAnsi="Arial"/>
          <w:sz w:val="18"/>
          <w:szCs w:val="18"/>
          <w:color w:val="3C5896"/>
        </w:rPr>
      </w:pPr>
      <w:r>
        <w:rPr>
          <w:rFonts w:ascii="Arial" w:cs="Arial" w:eastAsia="Arial" w:hAnsi="Arial"/>
          <w:sz w:val="18"/>
          <w:szCs w:val="18"/>
          <w:color w:val="auto"/>
        </w:rPr>
        <w:t>60 days following the covered termination;</w:t>
      </w:r>
    </w:p>
    <w:p>
      <w:pPr>
        <w:spacing w:after="0" w:line="103" w:lineRule="exact"/>
        <w:rPr>
          <w:rFonts w:ascii="Arial" w:cs="Arial" w:eastAsia="Arial" w:hAnsi="Arial"/>
          <w:sz w:val="18"/>
          <w:szCs w:val="18"/>
          <w:color w:val="3C5896"/>
        </w:rPr>
      </w:pPr>
    </w:p>
    <w:p>
      <w:pPr>
        <w:ind w:left="1120" w:right="359" w:hanging="212"/>
        <w:spacing w:after="0" w:line="246" w:lineRule="auto"/>
        <w:tabs>
          <w:tab w:leader="none" w:pos="1120" w:val="left"/>
        </w:tabs>
        <w:numPr>
          <w:ilvl w:val="0"/>
          <w:numId w:val="40"/>
        </w:numPr>
        <w:rPr>
          <w:rFonts w:ascii="Arial" w:cs="Arial" w:eastAsia="Arial" w:hAnsi="Arial"/>
          <w:sz w:val="18"/>
          <w:szCs w:val="18"/>
          <w:color w:val="3C5896"/>
        </w:rPr>
      </w:pPr>
      <w:r>
        <w:rPr>
          <w:rFonts w:ascii="Arial" w:cs="Arial" w:eastAsia="Arial" w:hAnsi="Arial"/>
          <w:sz w:val="18"/>
          <w:szCs w:val="18"/>
          <w:color w:val="auto"/>
        </w:rPr>
        <w:t>The welfare benefit for a period of 30 months for Mr. Fahs, 24 months for Messrs. Moore and Brandman, and 18 months for Mr. Clark and Ms. Rasmussen; and</w:t>
      </w:r>
    </w:p>
    <w:p>
      <w:pPr>
        <w:spacing w:after="0" w:line="88" w:lineRule="exact"/>
        <w:rPr>
          <w:rFonts w:ascii="Arial" w:cs="Arial" w:eastAsia="Arial" w:hAnsi="Arial"/>
          <w:sz w:val="18"/>
          <w:szCs w:val="18"/>
          <w:color w:val="3C5896"/>
        </w:rPr>
      </w:pPr>
    </w:p>
    <w:p>
      <w:pPr>
        <w:ind w:left="1120" w:right="919" w:hanging="212"/>
        <w:spacing w:after="0" w:line="246" w:lineRule="auto"/>
        <w:tabs>
          <w:tab w:leader="none" w:pos="1120" w:val="left"/>
        </w:tabs>
        <w:numPr>
          <w:ilvl w:val="0"/>
          <w:numId w:val="40"/>
        </w:numPr>
        <w:rPr>
          <w:rFonts w:ascii="Arial" w:cs="Arial" w:eastAsia="Arial" w:hAnsi="Arial"/>
          <w:sz w:val="18"/>
          <w:szCs w:val="18"/>
          <w:color w:val="3C5896"/>
        </w:rPr>
      </w:pPr>
      <w:r>
        <w:rPr>
          <w:rFonts w:ascii="Arial" w:cs="Arial" w:eastAsia="Arial" w:hAnsi="Arial"/>
          <w:sz w:val="18"/>
          <w:szCs w:val="18"/>
          <w:color w:val="auto"/>
        </w:rPr>
        <w:t>Payment of, or reimbursement for, up to $20,000 in outplacement services within the six-month period following termination of employment.</w:t>
      </w:r>
    </w:p>
    <w:p>
      <w:pPr>
        <w:spacing w:after="0" w:line="89" w:lineRule="exact"/>
        <w:rPr>
          <w:sz w:val="20"/>
          <w:szCs w:val="20"/>
          <w:color w:val="auto"/>
        </w:rPr>
      </w:pPr>
    </w:p>
    <w:p>
      <w:pPr>
        <w:ind w:left="760" w:right="239"/>
        <w:spacing w:after="0" w:line="246" w:lineRule="auto"/>
        <w:rPr>
          <w:sz w:val="20"/>
          <w:szCs w:val="20"/>
          <w:color w:val="auto"/>
        </w:rPr>
      </w:pPr>
      <w:r>
        <w:rPr>
          <w:rFonts w:ascii="Arial" w:cs="Arial" w:eastAsia="Arial" w:hAnsi="Arial"/>
          <w:sz w:val="18"/>
          <w:szCs w:val="18"/>
          <w:color w:val="auto"/>
        </w:rPr>
        <w:t>Any outstanding awards granted to NEOs under the Company’s Equity Plans will vest in accordance with the terms of the respective Equity Plan and the applicable award agreement, as detailed further below.</w:t>
      </w:r>
    </w:p>
    <w:p>
      <w:pPr>
        <w:spacing w:after="0" w:line="89" w:lineRule="exact"/>
        <w:rPr>
          <w:sz w:val="20"/>
          <w:szCs w:val="20"/>
          <w:color w:val="auto"/>
        </w:rPr>
      </w:pPr>
    </w:p>
    <w:p>
      <w:pPr>
        <w:ind w:left="760" w:right="419"/>
        <w:spacing w:after="0"/>
        <w:rPr>
          <w:sz w:val="20"/>
          <w:szCs w:val="20"/>
          <w:color w:val="auto"/>
        </w:rPr>
      </w:pPr>
      <w:r>
        <w:rPr>
          <w:rFonts w:ascii="Arial" w:cs="Arial" w:eastAsia="Arial" w:hAnsi="Arial"/>
          <w:sz w:val="18"/>
          <w:szCs w:val="18"/>
          <w:color w:val="auto"/>
        </w:rPr>
        <w:t>Payments and benefits under the Executive Severance Plan are subject to (i) the executive’s execution and non-revocation of a release of claims in favor of the Company and (ii) continued compliance with the executive’s confidentiality, non-interference and invention assignment obligations to the Company.</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Pre-IPO Options (Time-Based)</w:t>
      </w:r>
    </w:p>
    <w:p>
      <w:pPr>
        <w:spacing w:after="0" w:line="121" w:lineRule="exact"/>
        <w:rPr>
          <w:sz w:val="20"/>
          <w:szCs w:val="20"/>
          <w:color w:val="auto"/>
        </w:rPr>
      </w:pPr>
    </w:p>
    <w:p>
      <w:pPr>
        <w:ind w:left="760" w:right="459"/>
        <w:spacing w:after="0" w:line="267" w:lineRule="auto"/>
        <w:rPr>
          <w:sz w:val="20"/>
          <w:szCs w:val="20"/>
          <w:color w:val="auto"/>
        </w:rPr>
      </w:pPr>
      <w:r>
        <w:rPr>
          <w:rFonts w:ascii="Arial" w:cs="Arial" w:eastAsia="Arial" w:hAnsi="Arial"/>
          <w:sz w:val="18"/>
          <w:szCs w:val="18"/>
          <w:i w:val="1"/>
          <w:iCs w:val="1"/>
          <w:color w:val="auto"/>
        </w:rPr>
        <w:t xml:space="preserve">Effect of Change in Control on Vesting of Time-Based Options. </w:t>
      </w:r>
      <w:r>
        <w:rPr>
          <w:rFonts w:ascii="Arial" w:cs="Arial" w:eastAsia="Arial" w:hAnsi="Arial"/>
          <w:sz w:val="18"/>
          <w:szCs w:val="18"/>
          <w:color w:val="auto"/>
        </w:rPr>
        <w:t>Upon a change in control (as defined in the 2014</w:t>
      </w:r>
      <w:r>
        <w:rPr>
          <w:rFonts w:ascii="Arial" w:cs="Arial" w:eastAsia="Arial" w:hAnsi="Arial"/>
          <w:sz w:val="18"/>
          <w:szCs w:val="18"/>
          <w:i w:val="1"/>
          <w:iCs w:val="1"/>
          <w:color w:val="auto"/>
        </w:rPr>
        <w:t xml:space="preserve"> </w:t>
      </w:r>
      <w:r>
        <w:rPr>
          <w:rFonts w:ascii="Arial" w:cs="Arial" w:eastAsia="Arial" w:hAnsi="Arial"/>
          <w:sz w:val="18"/>
          <w:szCs w:val="18"/>
          <w:color w:val="auto"/>
        </w:rPr>
        <w:t>Stock Plan), unvested time-based options would become immediately vested and exercisable.</w:t>
      </w:r>
    </w:p>
    <w:p>
      <w:pPr>
        <w:spacing w:after="0" w:line="52" w:lineRule="exact"/>
        <w:rPr>
          <w:sz w:val="20"/>
          <w:szCs w:val="20"/>
          <w:color w:val="auto"/>
        </w:rPr>
      </w:pPr>
    </w:p>
    <w:p>
      <w:pPr>
        <w:ind w:left="760" w:right="319"/>
        <w:spacing w:after="0" w:line="250"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the next installment of time-based options that would have become exercisable on the next vesting date following the date of such termination of employment will become vested and exercisable.</w:t>
      </w:r>
    </w:p>
    <w:p>
      <w:pPr>
        <w:spacing w:after="0" w:line="69" w:lineRule="exact"/>
        <w:rPr>
          <w:sz w:val="20"/>
          <w:szCs w:val="20"/>
          <w:color w:val="auto"/>
        </w:rPr>
      </w:pPr>
    </w:p>
    <w:p>
      <w:pPr>
        <w:ind w:left="760" w:right="419"/>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time-based options, unvested options will not become vested and exercisable following termination of employment with us for any reason and any option that is unvested as of the date of termination of employment will immediately expire.</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McAllister 2017 Options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McAllister 2017 Options were subject to the following terms: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Effect of Change in Control on Vesting of Time-Based and Performance-Based Options. </w:t>
      </w:r>
      <w:r>
        <w:rPr>
          <w:rFonts w:ascii="Arial" w:cs="Arial" w:eastAsia="Arial" w:hAnsi="Arial"/>
          <w:sz w:val="18"/>
          <w:szCs w:val="18"/>
          <w:color w:val="auto"/>
        </w:rPr>
        <w:t>Upon a change in control</w:t>
      </w:r>
    </w:p>
    <w:p>
      <w:pPr>
        <w:spacing w:after="0" w:line="27" w:lineRule="exact"/>
        <w:rPr>
          <w:sz w:val="20"/>
          <w:szCs w:val="20"/>
          <w:color w:val="auto"/>
        </w:rPr>
      </w:pPr>
    </w:p>
    <w:p>
      <w:pPr>
        <w:ind w:left="760" w:right="699"/>
        <w:spacing w:after="0" w:line="261" w:lineRule="auto"/>
        <w:rPr>
          <w:sz w:val="20"/>
          <w:szCs w:val="20"/>
          <w:color w:val="auto"/>
        </w:rPr>
      </w:pPr>
      <w:r>
        <w:rPr>
          <w:rFonts w:ascii="Arial" w:cs="Arial" w:eastAsia="Arial" w:hAnsi="Arial"/>
          <w:sz w:val="18"/>
          <w:szCs w:val="18"/>
          <w:color w:val="auto"/>
        </w:rPr>
        <w:t>(as defined in the 2014 Stock Incentive Plan), unvested time options and performance options would become immediately vested and exercisable.</w:t>
      </w:r>
    </w:p>
    <w:p>
      <w:pPr>
        <w:spacing w:after="0" w:line="31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38  </w:t>
      </w:r>
      <w:r>
        <w:rPr>
          <w:sz w:val="1"/>
          <w:szCs w:val="1"/>
          <w:color w:val="auto"/>
        </w:rPr>
        <w:drawing>
          <wp:inline distT="0" distB="0" distL="0" distR="0">
            <wp:extent cx="299720" cy="24003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9" w:lineRule="exact"/>
        <w:rPr>
          <w:sz w:val="20"/>
          <w:szCs w:val="20"/>
          <w:color w:val="auto"/>
        </w:rPr>
      </w:pPr>
    </w:p>
    <w:p>
      <w:pPr>
        <w:ind w:left="760" w:right="259"/>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Mr. McAllister’s employment with the Company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death or disability, the next installment of time-based options that would have become exercisable on the next vesting date following the date of such termination of employment will become vested and exercisable.</w:t>
      </w:r>
    </w:p>
    <w:p>
      <w:pPr>
        <w:spacing w:after="0" w:line="68" w:lineRule="exact"/>
        <w:rPr>
          <w:sz w:val="20"/>
          <w:szCs w:val="20"/>
          <w:color w:val="auto"/>
        </w:rPr>
      </w:pPr>
    </w:p>
    <w:p>
      <w:pPr>
        <w:ind w:left="760" w:right="339"/>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time-based options, unvested options will continue to vest following any resignation prior to the expiration of his employment term under the McAllister Transition Agreement, provided he is not in violation of his restrictive covenant agreement.</w:t>
      </w:r>
    </w:p>
    <w:p>
      <w:pPr>
        <w:spacing w:after="0" w:line="90" w:lineRule="exact"/>
        <w:rPr>
          <w:sz w:val="20"/>
          <w:szCs w:val="20"/>
          <w:color w:val="auto"/>
        </w:rPr>
      </w:pPr>
    </w:p>
    <w:p>
      <w:pPr>
        <w:ind w:left="760" w:right="339"/>
        <w:spacing w:after="0" w:line="256" w:lineRule="auto"/>
        <w:rPr>
          <w:sz w:val="20"/>
          <w:szCs w:val="20"/>
          <w:color w:val="auto"/>
        </w:rPr>
      </w:pPr>
      <w:r>
        <w:rPr>
          <w:rFonts w:ascii="Arial" w:cs="Arial" w:eastAsia="Arial" w:hAnsi="Arial"/>
          <w:sz w:val="18"/>
          <w:szCs w:val="18"/>
          <w:color w:val="auto"/>
        </w:rPr>
        <w:t>Pursuant to the terms of the McAllister Transition Agreement, in the event that Mr. McAllister terminates his employment during his employment term under the McAllister Transition Agreement for any reason, the McAllister 2017 Options will continue to vest as if no such termination of employment had taken place.</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IPO-Related Options</w:t>
      </w:r>
    </w:p>
    <w:p>
      <w:pPr>
        <w:spacing w:after="0" w:line="121" w:lineRule="exact"/>
        <w:rPr>
          <w:sz w:val="20"/>
          <w:szCs w:val="20"/>
          <w:color w:val="auto"/>
        </w:rPr>
      </w:pPr>
    </w:p>
    <w:p>
      <w:pPr>
        <w:ind w:left="760" w:right="279"/>
        <w:spacing w:after="0" w:line="282"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(as defined in the 2017 Omnibus Plan),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time-based options would become immediately vested and exercisable.</w:t>
      </w:r>
    </w:p>
    <w:p>
      <w:pPr>
        <w:spacing w:after="0" w:line="54" w:lineRule="exact"/>
        <w:rPr>
          <w:sz w:val="20"/>
          <w:szCs w:val="20"/>
          <w:color w:val="auto"/>
        </w:rPr>
      </w:pPr>
    </w:p>
    <w:p>
      <w:pPr>
        <w:ind w:left="760" w:right="319"/>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the next installment of time-based options that would have become exercisable on the next vesting date following the date of such termination of employment will become vested and exercisable.</w:t>
      </w:r>
    </w:p>
    <w:p>
      <w:pPr>
        <w:spacing w:after="0" w:line="68" w:lineRule="exact"/>
        <w:rPr>
          <w:sz w:val="20"/>
          <w:szCs w:val="20"/>
          <w:color w:val="auto"/>
        </w:rPr>
      </w:pPr>
    </w:p>
    <w:p>
      <w:pPr>
        <w:ind w:left="760" w:right="419"/>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time-based options, unvested options will not become vested and exercisable following termination of employment with us for any reason and any option that is unvested as of the date of termination of employment will immediately expire.</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2019 Options</w:t>
      </w:r>
    </w:p>
    <w:p>
      <w:pPr>
        <w:spacing w:after="0" w:line="121" w:lineRule="exact"/>
        <w:rPr>
          <w:sz w:val="20"/>
          <w:szCs w:val="20"/>
          <w:color w:val="auto"/>
        </w:rPr>
      </w:pPr>
    </w:p>
    <w:p>
      <w:pPr>
        <w:ind w:left="760" w:right="259"/>
        <w:spacing w:after="0" w:line="261"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Qualifying Termination within the two-year period following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(as defined in the 2017 Omnibus Plan), unvested time-based options would become immediately vested and exercisable. Vested and exercisable options will remain exercisable until the earlier of 90 days from the termination date or the expiration of the option period, as defined in the grant agreement.</w:t>
      </w:r>
    </w:p>
    <w:p>
      <w:pPr>
        <w:spacing w:after="0" w:line="72" w:lineRule="exact"/>
        <w:rPr>
          <w:sz w:val="20"/>
          <w:szCs w:val="20"/>
          <w:color w:val="auto"/>
        </w:rPr>
      </w:pPr>
    </w:p>
    <w:p>
      <w:pPr>
        <w:ind w:left="760" w:right="319"/>
        <w:spacing w:after="0" w:line="261"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unvested time-based options will become vested and exercisable. Vested and exercisable options will remain exercisable until the earlier of one year from the termination date or the expiration of the option period, as defined in the grant agreement.</w:t>
      </w:r>
    </w:p>
    <w:p>
      <w:pPr>
        <w:spacing w:after="0" w:line="72" w:lineRule="exact"/>
        <w:rPr>
          <w:sz w:val="20"/>
          <w:szCs w:val="20"/>
          <w:color w:val="auto"/>
        </w:rPr>
      </w:pPr>
    </w:p>
    <w:p>
      <w:pPr>
        <w:ind w:left="760" w:right="259"/>
        <w:spacing w:after="0" w:line="258" w:lineRule="auto"/>
        <w:rPr>
          <w:sz w:val="20"/>
          <w:szCs w:val="20"/>
          <w:color w:val="auto"/>
        </w:rPr>
      </w:pPr>
      <w:r>
        <w:rPr>
          <w:rFonts w:ascii="Arial" w:cs="Arial" w:eastAsia="Arial" w:hAnsi="Arial"/>
          <w:sz w:val="18"/>
          <w:szCs w:val="18"/>
          <w:i w:val="1"/>
          <w:iCs w:val="1"/>
          <w:color w:val="auto"/>
        </w:rPr>
        <w:t xml:space="preserve">Effect of Qualifying Termination or Retirement on Vesting. </w:t>
      </w:r>
      <w:r>
        <w:rPr>
          <w:rFonts w:ascii="Arial" w:cs="Arial" w:eastAsia="Arial" w:hAnsi="Arial"/>
          <w:sz w:val="18"/>
          <w:szCs w:val="18"/>
          <w:color w:val="auto"/>
        </w:rPr>
        <w:t>Upon a termination of an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Plan), a pro rata portion of the options that would have vested on the next vesting date following the termination date would become immediately vested and exercisable. Vested and exercisable options will remain exercisable until the earlier of 90 days from the termination date or the expiration of the option period, as defined in the grant agreement.</w:t>
      </w:r>
    </w:p>
    <w:p>
      <w:pPr>
        <w:spacing w:after="0" w:line="75" w:lineRule="exact"/>
        <w:rPr>
          <w:sz w:val="20"/>
          <w:szCs w:val="20"/>
          <w:color w:val="auto"/>
        </w:rPr>
      </w:pPr>
    </w:p>
    <w:p>
      <w:pPr>
        <w:ind w:left="760" w:right="239"/>
        <w:spacing w:after="0" w:line="256"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or a Qualifying Termination on vesting of time-based options, unvested options will not become vested and exercisable following termination of employment with us for any reason and any option that is unvested as of the date of termination of employment will immediately expire. Vested and exercisable options will remain exercisable until the earlier of 90 days from the termination date or the expiration of the option period, as defined in the grant agreement.</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21" w:lineRule="exact"/>
        <w:rPr>
          <w:sz w:val="20"/>
          <w:szCs w:val="20"/>
          <w:color w:val="auto"/>
        </w:rPr>
      </w:pPr>
    </w:p>
    <w:p>
      <w:pPr>
        <w:ind w:left="760" w:right="279"/>
        <w:spacing w:after="0" w:line="256"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(as defined in the 2017 Omnibus Plan),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PSUs will be converted into time-based restricted stock equal to the greater of the target number of PSUs or the number of PSUs that would have been earned based on the actual performance as of the date of the change in control. If a successor does not assume, convert, or replace the award in connection with the change in control or upon a Qualifying Termination within the two-year period following a change in control, the converted award would become fully vested.</w:t>
      </w:r>
    </w:p>
    <w:p>
      <w:pPr>
        <w:spacing w:after="0" w:line="307"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9" w:lineRule="exact"/>
        <w:rPr>
          <w:sz w:val="20"/>
          <w:szCs w:val="20"/>
          <w:color w:val="auto"/>
        </w:rPr>
      </w:pPr>
    </w:p>
    <w:p>
      <w:pPr>
        <w:jc w:val="both"/>
        <w:ind w:left="760" w:right="259"/>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the outstanding and unvested PSUs would become vested assuming a payout at 100% of the target award.</w:t>
      </w:r>
    </w:p>
    <w:p>
      <w:pPr>
        <w:spacing w:after="0" w:line="68" w:lineRule="exact"/>
        <w:rPr>
          <w:sz w:val="20"/>
          <w:szCs w:val="20"/>
          <w:color w:val="auto"/>
        </w:rPr>
      </w:pPr>
    </w:p>
    <w:p>
      <w:pPr>
        <w:ind w:left="760" w:right="219"/>
        <w:spacing w:after="0" w:line="261" w:lineRule="auto"/>
        <w:rPr>
          <w:sz w:val="20"/>
          <w:szCs w:val="20"/>
          <w:color w:val="auto"/>
        </w:rPr>
      </w:pPr>
      <w:r>
        <w:rPr>
          <w:rFonts w:ascii="Arial" w:cs="Arial" w:eastAsia="Arial" w:hAnsi="Arial"/>
          <w:sz w:val="18"/>
          <w:szCs w:val="18"/>
          <w:i w:val="1"/>
          <w:iCs w:val="1"/>
          <w:color w:val="auto"/>
        </w:rPr>
        <w:t xml:space="preserve">Effect of Qualifying Termination. </w:t>
      </w:r>
      <w:r>
        <w:rPr>
          <w:rFonts w:ascii="Arial" w:cs="Arial" w:eastAsia="Arial" w:hAnsi="Arial"/>
          <w:sz w:val="18"/>
          <w:szCs w:val="18"/>
          <w:color w:val="auto"/>
        </w:rPr>
        <w:t>Upon a Qualifying Termination of an NEO’s employment with the Company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cause or by the executive for good reason (as defined in the 2017 Omnibus Plan), subject to compliance with applicable restrictive covenants during the performance period, a pro rata portion of the PSUs will remain outstanding and eligible to vest based on actual performance on the last day of the performance period.</w:t>
      </w:r>
    </w:p>
    <w:p>
      <w:pPr>
        <w:spacing w:after="0" w:line="72" w:lineRule="exact"/>
        <w:rPr>
          <w:sz w:val="20"/>
          <w:szCs w:val="20"/>
          <w:color w:val="auto"/>
        </w:rPr>
      </w:pPr>
    </w:p>
    <w:p>
      <w:pPr>
        <w:ind w:left="760" w:right="239"/>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or a Qualifying Termination on vesting of PSUs, unvested PSUs will not become vested following termination of employment with us for any reason and any PSU that is unvested as of the date of termination of employment will immediately be forfeited.</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1" w:lineRule="exact"/>
        <w:rPr>
          <w:sz w:val="20"/>
          <w:szCs w:val="20"/>
          <w:color w:val="auto"/>
        </w:rPr>
      </w:pPr>
    </w:p>
    <w:p>
      <w:pPr>
        <w:jc w:val="both"/>
        <w:ind w:left="760" w:right="759"/>
        <w:spacing w:after="0" w:line="313" w:lineRule="auto"/>
        <w:rPr>
          <w:sz w:val="20"/>
          <w:szCs w:val="20"/>
          <w:color w:val="auto"/>
        </w:rPr>
      </w:pPr>
      <w:r>
        <w:rPr>
          <w:rFonts w:ascii="Arial" w:cs="Arial" w:eastAsia="Arial" w:hAnsi="Arial"/>
          <w:sz w:val="17"/>
          <w:szCs w:val="17"/>
          <w:i w:val="1"/>
          <w:iCs w:val="1"/>
          <w:color w:val="auto"/>
        </w:rPr>
        <w:t xml:space="preserve">Effect of Change in Control on Vesting. </w:t>
      </w:r>
      <w:r>
        <w:rPr>
          <w:rFonts w:ascii="Arial" w:cs="Arial" w:eastAsia="Arial" w:hAnsi="Arial"/>
          <w:sz w:val="17"/>
          <w:szCs w:val="17"/>
          <w:color w:val="auto"/>
        </w:rPr>
        <w:t>Upon a Qualifying Termination within the two-year period following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in control (as defined in the 2017 Omnibus Plan), unvested time-based RSUs would become vested.</w:t>
      </w:r>
    </w:p>
    <w:p>
      <w:pPr>
        <w:spacing w:after="0" w:line="30" w:lineRule="exact"/>
        <w:rPr>
          <w:sz w:val="20"/>
          <w:szCs w:val="20"/>
          <w:color w:val="auto"/>
        </w:rPr>
      </w:pPr>
    </w:p>
    <w:p>
      <w:pPr>
        <w:ind w:left="760" w:right="319"/>
        <w:spacing w:after="0" w:line="282"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unvested time-based RSUs would become vested.</w:t>
      </w:r>
    </w:p>
    <w:p>
      <w:pPr>
        <w:spacing w:after="0" w:line="54" w:lineRule="exact"/>
        <w:rPr>
          <w:sz w:val="20"/>
          <w:szCs w:val="20"/>
          <w:color w:val="auto"/>
        </w:rPr>
      </w:pPr>
    </w:p>
    <w:p>
      <w:pPr>
        <w:ind w:left="760" w:right="219"/>
        <w:spacing w:after="0" w:line="266" w:lineRule="auto"/>
        <w:rPr>
          <w:sz w:val="20"/>
          <w:szCs w:val="20"/>
          <w:color w:val="auto"/>
        </w:rPr>
      </w:pPr>
      <w:r>
        <w:rPr>
          <w:rFonts w:ascii="Arial" w:cs="Arial" w:eastAsia="Arial" w:hAnsi="Arial"/>
          <w:sz w:val="18"/>
          <w:szCs w:val="18"/>
          <w:i w:val="1"/>
          <w:iCs w:val="1"/>
          <w:color w:val="auto"/>
        </w:rPr>
        <w:t xml:space="preserve">Effect of Qualifying Termination. </w:t>
      </w:r>
      <w:r>
        <w:rPr>
          <w:rFonts w:ascii="Arial" w:cs="Arial" w:eastAsia="Arial" w:hAnsi="Arial"/>
          <w:sz w:val="18"/>
          <w:szCs w:val="18"/>
          <w:color w:val="auto"/>
        </w:rPr>
        <w:t>Upon a Qualifying Termination of an NEO’s employment with the Company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cause or by the executive for good reason (as defined in the 2017 Omnibus Plan), a pro rata portion of the RSUs that would have vested on the next vesting date following the termination date would become vested.</w:t>
      </w:r>
    </w:p>
    <w:p>
      <w:pPr>
        <w:spacing w:after="0" w:line="68" w:lineRule="exact"/>
        <w:rPr>
          <w:sz w:val="20"/>
          <w:szCs w:val="20"/>
          <w:color w:val="auto"/>
        </w:rPr>
      </w:pPr>
    </w:p>
    <w:p>
      <w:pPr>
        <w:ind w:left="760" w:right="239"/>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or a Qualifying Termination on vesting of time-based RSUs, unvested RSUs will not become vested following termination of employment with us for any reason and any RSU that is unvested as of the date of termination of employment will immediately be forfeited.</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Separation and Transition Agreements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McAllister Transition Agreement</w:t>
      </w:r>
    </w:p>
    <w:p>
      <w:pPr>
        <w:spacing w:after="0" w:line="135" w:lineRule="exact"/>
        <w:rPr>
          <w:sz w:val="20"/>
          <w:szCs w:val="20"/>
          <w:color w:val="auto"/>
        </w:rPr>
      </w:pPr>
    </w:p>
    <w:p>
      <w:pPr>
        <w:ind w:left="760" w:right="219"/>
        <w:spacing w:after="0" w:line="250" w:lineRule="auto"/>
        <w:rPr>
          <w:sz w:val="20"/>
          <w:szCs w:val="20"/>
          <w:color w:val="auto"/>
        </w:rPr>
      </w:pPr>
      <w:r>
        <w:rPr>
          <w:rFonts w:ascii="Arial" w:cs="Arial" w:eastAsia="Arial" w:hAnsi="Arial"/>
          <w:sz w:val="18"/>
          <w:szCs w:val="18"/>
          <w:color w:val="auto"/>
        </w:rPr>
        <w:t>Mr. McAllister transitioned from his position as Chief Operating Officer of the Company to Special Advisor to the Board of Directors, effective January 10, 2019. In connection with his transition, the Company and Mr. McAllister entered into the McAllister Transition Agreement, pursuant to which Mr. McAllister will serve as a Special Advisor to the Company’s Board of Directors through December 31, 2020. Under the McAllister Transition Agreement,</w:t>
      </w:r>
    </w:p>
    <w:p>
      <w:pPr>
        <w:spacing w:after="0" w:line="2" w:lineRule="exact"/>
        <w:rPr>
          <w:sz w:val="20"/>
          <w:szCs w:val="20"/>
          <w:color w:val="auto"/>
        </w:rPr>
      </w:pPr>
    </w:p>
    <w:p>
      <w:pPr>
        <w:ind w:left="760" w:right="219" w:firstLine="4"/>
        <w:spacing w:after="0" w:line="251" w:lineRule="auto"/>
        <w:tabs>
          <w:tab w:leader="none" w:pos="9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McAllister will receive a base salary of $591,000 for 2019 and $606,000 for 2020, (ii) his other compensation and benefits will remain the same as in effect immediately prior to the role change, providing that his annual STIP award for 2019 and 2020 will be no lower than the target STIP amount, (iii) his outstanding stock option awards will continue to vest in ordinary course, provided that performance-vesting stock options scheduled to vest based on performance in 2019 or 2020 will vest at the end of the applicable performance period based solely upon continued employment through such date, and (iv) in the event Mr. McAllister resigns prior to the expiration of his employment term as a Special Advisor, provided he is not in violation of his restrictive covenant agreement, he will continue to receive his base salary, annual STIP award and continued vesting of his outstanding stock options as if no such termination of employment had taken place.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Beasley Separation Agreement</w:t>
      </w:r>
    </w:p>
    <w:p>
      <w:pPr>
        <w:spacing w:after="0" w:line="135" w:lineRule="exact"/>
        <w:rPr>
          <w:sz w:val="20"/>
          <w:szCs w:val="20"/>
          <w:color w:val="auto"/>
        </w:rPr>
      </w:pPr>
    </w:p>
    <w:p>
      <w:pPr>
        <w:ind w:left="760" w:right="259"/>
        <w:spacing w:after="0" w:line="251" w:lineRule="auto"/>
        <w:rPr>
          <w:sz w:val="20"/>
          <w:szCs w:val="20"/>
          <w:color w:val="auto"/>
        </w:rPr>
      </w:pPr>
      <w:r>
        <w:rPr>
          <w:rFonts w:ascii="Arial" w:cs="Arial" w:eastAsia="Arial" w:hAnsi="Arial"/>
          <w:sz w:val="18"/>
          <w:szCs w:val="18"/>
          <w:color w:val="auto"/>
        </w:rPr>
        <w:t>Mr. Beasley terminated his position as Senior Vice President, Accounting and Controller of the Company, effective September 4, 2019. In connection with Mr. Beasley’s separation, the Company and Mr. Beasley entered into the Beasley Separation Agreement, pursuant to which Mr. Beasley agreed to a customary release and restrictive covenants and received payments consistent with the Executive Severance Plan, including (i) a cash severance amount (as noted under the Executive Severance Plan) times a 1.0 multiplier, (ii) a lump-sum 8 month pro-rated 2019 STIP award based on actual performance, (iii) a welfare benefit (as noted under the Executive Severance Plan) for 12 months. Mr. Beasley is also entitled to continued vesting of the stock option awards previously granted to him pursuant to and as governed by the Management Stockholders’ Agreement, applicable stock option agreements and other related agreements.</w:t>
      </w:r>
    </w:p>
    <w:p>
      <w:pPr>
        <w:spacing w:after="0" w:line="31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40  </w:t>
      </w:r>
      <w:r>
        <w:rPr>
          <w:sz w:val="1"/>
          <w:szCs w:val="1"/>
          <w:color w:val="auto"/>
        </w:rPr>
        <w:drawing>
          <wp:inline distT="0" distB="0" distL="0" distR="0">
            <wp:extent cx="29972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Quantification of Payments upon Termination or Change in Control.</w:t>
      </w:r>
    </w:p>
    <w:p>
      <w:pPr>
        <w:spacing w:after="0" w:line="139" w:lineRule="exact"/>
        <w:rPr>
          <w:sz w:val="20"/>
          <w:szCs w:val="20"/>
          <w:color w:val="auto"/>
        </w:rPr>
      </w:pPr>
    </w:p>
    <w:p>
      <w:pPr>
        <w:ind w:left="760" w:right="179"/>
        <w:spacing w:after="0" w:line="236" w:lineRule="auto"/>
        <w:rPr>
          <w:sz w:val="20"/>
          <w:szCs w:val="20"/>
          <w:color w:val="auto"/>
        </w:rPr>
      </w:pPr>
      <w:r>
        <w:rPr>
          <w:rFonts w:ascii="Arial" w:cs="Arial" w:eastAsia="Arial" w:hAnsi="Arial"/>
          <w:sz w:val="18"/>
          <w:szCs w:val="18"/>
          <w:color w:val="auto"/>
        </w:rPr>
        <w:t>The following table lists the payments and benefits that would have been triggered for each of our NEOs under the circumstances described below assuming that the applicable triggering event occurred on December 28, 2019. Consistent with SEC requirements, these estimated amounts have been calculated as if the NEO’s employment had been terminated as of December 28, 2019, the last day of fiscal 2019, and using the closing market price of our common stock on December 27, 2019, the last trading day in fiscal 2019 ($33.10 per share). For purposes of this section, we have assumed that (1) we do not exercise any discretion to accelerate the vesting of outstanding options in connection with a change in control, and (2) the value of any stock options that may be accelerated is equal to the full value of such awards (i.e., the full “spread” value for stock options as of December 28, 2019).</w:t>
      </w:r>
    </w:p>
    <w:p>
      <w:pPr>
        <w:spacing w:after="0" w:line="121" w:lineRule="exact"/>
        <w:rPr>
          <w:sz w:val="20"/>
          <w:szCs w:val="20"/>
          <w:color w:val="auto"/>
        </w:rPr>
      </w:pPr>
    </w:p>
    <w:tbl>
      <w:tblPr>
        <w:tblLayout w:type="fixed"/>
        <w:tblInd w:w="770" w:type="dxa"/>
        <w:tblCellMar>
          <w:top w:w="0" w:type="dxa"/>
          <w:left w:w="0" w:type="dxa"/>
          <w:bottom w:w="0" w:type="dxa"/>
          <w:right w:w="0" w:type="dxa"/>
        </w:tblCellMar>
      </w:tblPr>
      <w:tr>
        <w:trPr>
          <w:trHeight w:val="211"/>
        </w:trPr>
        <w:tc>
          <w:tcPr>
            <w:tcW w:w="60" w:type="dxa"/>
            <w:vAlign w:val="bottom"/>
            <w:tcBorders>
              <w:top w:val="single" w:sz="8" w:color="3C5896"/>
              <w:left w:val="single" w:sz="8" w:color="3C5896"/>
            </w:tcBorders>
            <w:shd w:val="clear" w:color="auto" w:fill="3C5896"/>
          </w:tcPr>
          <w:p>
            <w:pPr>
              <w:spacing w:after="0"/>
              <w:rPr>
                <w:sz w:val="18"/>
                <w:szCs w:val="18"/>
                <w:color w:val="auto"/>
              </w:rPr>
            </w:pPr>
          </w:p>
        </w:tc>
        <w:tc>
          <w:tcPr>
            <w:tcW w:w="4160" w:type="dxa"/>
            <w:vAlign w:val="bottom"/>
            <w:tcBorders>
              <w:top w:val="single" w:sz="8" w:color="3C5896"/>
              <w:right w:val="single" w:sz="8" w:color="9EACCA"/>
            </w:tcBorders>
            <w:shd w:val="clear" w:color="auto" w:fill="3C5896"/>
          </w:tcPr>
          <w:p>
            <w:pPr>
              <w:spacing w:after="0"/>
              <w:rPr>
                <w:sz w:val="18"/>
                <w:szCs w:val="18"/>
                <w:color w:val="auto"/>
              </w:rPr>
            </w:pPr>
          </w:p>
        </w:tc>
        <w:tc>
          <w:tcPr>
            <w:tcW w:w="60" w:type="dxa"/>
            <w:vAlign w:val="bottom"/>
            <w:tcBorders>
              <w:top w:val="single" w:sz="8" w:color="3C5896"/>
            </w:tcBorders>
            <w:shd w:val="clear" w:color="auto" w:fill="3C5896"/>
          </w:tcPr>
          <w:p>
            <w:pPr>
              <w:spacing w:after="0"/>
              <w:rPr>
                <w:sz w:val="18"/>
                <w:szCs w:val="18"/>
                <w:color w:val="auto"/>
              </w:rPr>
            </w:pPr>
          </w:p>
        </w:tc>
        <w:tc>
          <w:tcPr>
            <w:tcW w:w="780" w:type="dxa"/>
            <w:vAlign w:val="bottom"/>
            <w:tcBorders>
              <w:top w:val="single" w:sz="8" w:color="3C5896"/>
            </w:tcBorders>
            <w:shd w:val="clear" w:color="auto" w:fill="3C5896"/>
          </w:tcPr>
          <w:p>
            <w:pPr>
              <w:spacing w:after="0"/>
              <w:rPr>
                <w:sz w:val="18"/>
                <w:szCs w:val="18"/>
                <w:color w:val="auto"/>
              </w:rPr>
            </w:pPr>
          </w:p>
        </w:tc>
        <w:tc>
          <w:tcPr>
            <w:tcW w:w="100" w:type="dxa"/>
            <w:vAlign w:val="bottom"/>
            <w:tcBorders>
              <w:top w:val="single" w:sz="8" w:color="3C5896"/>
              <w:right w:val="single" w:sz="8" w:color="9EACCA"/>
            </w:tcBorders>
            <w:shd w:val="clear" w:color="auto" w:fill="3C5896"/>
          </w:tcPr>
          <w:p>
            <w:pPr>
              <w:spacing w:after="0"/>
              <w:rPr>
                <w:sz w:val="18"/>
                <w:szCs w:val="18"/>
                <w:color w:val="auto"/>
              </w:rPr>
            </w:pPr>
          </w:p>
        </w:tc>
        <w:tc>
          <w:tcPr>
            <w:tcW w:w="1120" w:type="dxa"/>
            <w:vAlign w:val="bottom"/>
            <w:tcBorders>
              <w:top w:val="single" w:sz="8" w:color="3C5896"/>
              <w:right w:val="single" w:sz="8" w:color="9EACCA"/>
            </w:tcBorders>
            <w:gridSpan w:val="3"/>
            <w:shd w:val="clear" w:color="auto" w:fill="3C5896"/>
          </w:tcPr>
          <w:p>
            <w:pPr>
              <w:jc w:val="center"/>
              <w:ind w:right="80"/>
              <w:spacing w:after="0"/>
              <w:rPr>
                <w:sz w:val="20"/>
                <w:szCs w:val="20"/>
                <w:color w:val="auto"/>
              </w:rPr>
            </w:pPr>
            <w:r>
              <w:rPr>
                <w:rFonts w:ascii="Arial" w:cs="Arial" w:eastAsia="Arial" w:hAnsi="Arial"/>
                <w:sz w:val="16"/>
                <w:szCs w:val="16"/>
                <w:b w:val="1"/>
                <w:bCs w:val="1"/>
                <w:color w:val="FFFFFF"/>
              </w:rPr>
              <w:t>Continuation</w:t>
            </w:r>
          </w:p>
        </w:tc>
        <w:tc>
          <w:tcPr>
            <w:tcW w:w="800" w:type="dxa"/>
            <w:vAlign w:val="bottom"/>
            <w:tcBorders>
              <w:top w:val="single" w:sz="8" w:color="3C5896"/>
              <w:right w:val="single" w:sz="8" w:color="9EACCA"/>
            </w:tcBorders>
            <w:shd w:val="clear" w:color="auto" w:fill="3C5896"/>
          </w:tcPr>
          <w:p>
            <w:pPr>
              <w:spacing w:after="0"/>
              <w:rPr>
                <w:sz w:val="18"/>
                <w:szCs w:val="18"/>
                <w:color w:val="auto"/>
              </w:rPr>
            </w:pPr>
          </w:p>
        </w:tc>
        <w:tc>
          <w:tcPr>
            <w:tcW w:w="160" w:type="dxa"/>
            <w:vAlign w:val="bottom"/>
            <w:tcBorders>
              <w:top w:val="single" w:sz="8" w:color="3C5896"/>
            </w:tcBorders>
            <w:shd w:val="clear" w:color="auto" w:fill="3C5896"/>
          </w:tcPr>
          <w:p>
            <w:pPr>
              <w:spacing w:after="0"/>
              <w:rPr>
                <w:sz w:val="18"/>
                <w:szCs w:val="18"/>
                <w:color w:val="auto"/>
              </w:rPr>
            </w:pPr>
          </w:p>
        </w:tc>
        <w:tc>
          <w:tcPr>
            <w:tcW w:w="760" w:type="dxa"/>
            <w:vAlign w:val="bottom"/>
            <w:tcBorders>
              <w:top w:val="single" w:sz="8" w:color="3C5896"/>
            </w:tcBorders>
            <w:shd w:val="clear" w:color="auto" w:fill="3C5896"/>
          </w:tcPr>
          <w:p>
            <w:pPr>
              <w:spacing w:after="0"/>
              <w:rPr>
                <w:sz w:val="18"/>
                <w:szCs w:val="18"/>
                <w:color w:val="auto"/>
              </w:rPr>
            </w:pPr>
          </w:p>
        </w:tc>
        <w:tc>
          <w:tcPr>
            <w:tcW w:w="200" w:type="dxa"/>
            <w:vAlign w:val="bottom"/>
            <w:tcBorders>
              <w:top w:val="single" w:sz="8" w:color="3C5896"/>
              <w:right w:val="single" w:sz="8" w:color="9EACCA"/>
            </w:tcBorders>
            <w:shd w:val="clear" w:color="auto" w:fill="3C5896"/>
          </w:tcPr>
          <w:p>
            <w:pPr>
              <w:spacing w:after="0"/>
              <w:rPr>
                <w:sz w:val="18"/>
                <w:szCs w:val="18"/>
                <w:color w:val="auto"/>
              </w:rPr>
            </w:pPr>
          </w:p>
        </w:tc>
        <w:tc>
          <w:tcPr>
            <w:tcW w:w="180" w:type="dxa"/>
            <w:vAlign w:val="bottom"/>
            <w:tcBorders>
              <w:top w:val="single" w:sz="8" w:color="3C5896"/>
            </w:tcBorders>
            <w:shd w:val="clear" w:color="auto" w:fill="3C5896"/>
          </w:tcPr>
          <w:p>
            <w:pPr>
              <w:spacing w:after="0"/>
              <w:rPr>
                <w:sz w:val="18"/>
                <w:szCs w:val="18"/>
                <w:color w:val="auto"/>
              </w:rPr>
            </w:pPr>
          </w:p>
        </w:tc>
        <w:tc>
          <w:tcPr>
            <w:tcW w:w="580" w:type="dxa"/>
            <w:vAlign w:val="bottom"/>
            <w:tcBorders>
              <w:top w:val="single" w:sz="8" w:color="3C5896"/>
            </w:tcBorders>
            <w:shd w:val="clear" w:color="auto" w:fill="3C5896"/>
          </w:tcPr>
          <w:p>
            <w:pPr>
              <w:spacing w:after="0"/>
              <w:rPr>
                <w:sz w:val="18"/>
                <w:szCs w:val="18"/>
                <w:color w:val="auto"/>
              </w:rPr>
            </w:pPr>
          </w:p>
        </w:tc>
        <w:tc>
          <w:tcPr>
            <w:tcW w:w="240" w:type="dxa"/>
            <w:vAlign w:val="bottom"/>
            <w:tcBorders>
              <w:top w:val="single" w:sz="8" w:color="3C5896"/>
              <w:right w:val="single" w:sz="8" w:color="3C5896"/>
            </w:tcBorders>
            <w:shd w:val="clear" w:color="auto" w:fill="3C589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4160" w:type="dxa"/>
            <w:vAlign w:val="bottom"/>
            <w:tcBorders>
              <w:right w:val="single" w:sz="8" w:color="9EACCA"/>
            </w:tcBorders>
            <w:shd w:val="clear" w:color="auto" w:fill="3C5896"/>
          </w:tcPr>
          <w:p>
            <w:pPr>
              <w:spacing w:after="0"/>
              <w:rPr>
                <w:sz w:val="16"/>
                <w:szCs w:val="16"/>
                <w:color w:val="auto"/>
              </w:rPr>
            </w:pPr>
          </w:p>
        </w:tc>
        <w:tc>
          <w:tcPr>
            <w:tcW w:w="940" w:type="dxa"/>
            <w:vAlign w:val="bottom"/>
            <w:tcBorders>
              <w:right w:val="single" w:sz="8" w:color="9EACCA"/>
            </w:tcBorders>
            <w:gridSpan w:val="3"/>
            <w:shd w:val="clear" w:color="auto" w:fill="3C5896"/>
          </w:tcPr>
          <w:p>
            <w:pPr>
              <w:ind w:left="20"/>
              <w:spacing w:after="0"/>
              <w:rPr>
                <w:sz w:val="20"/>
                <w:szCs w:val="20"/>
                <w:color w:val="auto"/>
              </w:rPr>
            </w:pPr>
            <w:r>
              <w:rPr>
                <w:rFonts w:ascii="Arial" w:cs="Arial" w:eastAsia="Arial" w:hAnsi="Arial"/>
                <w:sz w:val="16"/>
                <w:szCs w:val="16"/>
                <w:b w:val="1"/>
                <w:bCs w:val="1"/>
                <w:color w:val="FFFFFF"/>
              </w:rPr>
              <w:t>Severance</w:t>
            </w:r>
          </w:p>
        </w:tc>
        <w:tc>
          <w:tcPr>
            <w:tcW w:w="1120" w:type="dxa"/>
            <w:vAlign w:val="bottom"/>
            <w:tcBorders>
              <w:right w:val="single" w:sz="8" w:color="9EACCA"/>
            </w:tcBorders>
            <w:gridSpan w:val="3"/>
            <w:shd w:val="clear" w:color="auto" w:fill="3C5896"/>
          </w:tcPr>
          <w:p>
            <w:pPr>
              <w:jc w:val="center"/>
              <w:ind w:right="80"/>
              <w:spacing w:after="0"/>
              <w:rPr>
                <w:sz w:val="20"/>
                <w:szCs w:val="20"/>
                <w:color w:val="auto"/>
              </w:rPr>
            </w:pPr>
            <w:r>
              <w:rPr>
                <w:rFonts w:ascii="Arial" w:cs="Arial" w:eastAsia="Arial" w:hAnsi="Arial"/>
                <w:sz w:val="16"/>
                <w:szCs w:val="16"/>
                <w:b w:val="1"/>
                <w:bCs w:val="1"/>
                <w:color w:val="FFFFFF"/>
                <w:w w:val="99"/>
              </w:rPr>
              <w:t>of Health</w:t>
            </w:r>
          </w:p>
        </w:tc>
        <w:tc>
          <w:tcPr>
            <w:tcW w:w="8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Stock</w:t>
            </w:r>
          </w:p>
        </w:tc>
        <w:tc>
          <w:tcPr>
            <w:tcW w:w="1120" w:type="dxa"/>
            <w:vAlign w:val="bottom"/>
            <w:tcBorders>
              <w:right w:val="single" w:sz="8" w:color="9EACCA"/>
            </w:tcBorders>
            <w:gridSpan w:val="3"/>
            <w:shd w:val="clear" w:color="auto" w:fill="3C5896"/>
          </w:tcPr>
          <w:p>
            <w:pPr>
              <w:jc w:val="center"/>
              <w:ind w:right="80"/>
              <w:spacing w:after="0"/>
              <w:rPr>
                <w:sz w:val="20"/>
                <w:szCs w:val="20"/>
                <w:color w:val="auto"/>
              </w:rPr>
            </w:pPr>
            <w:r>
              <w:rPr>
                <w:rFonts w:ascii="Arial" w:cs="Arial" w:eastAsia="Arial" w:hAnsi="Arial"/>
                <w:sz w:val="16"/>
                <w:szCs w:val="16"/>
                <w:b w:val="1"/>
                <w:bCs w:val="1"/>
                <w:color w:val="FFFFFF"/>
              </w:rPr>
              <w:t>Performance</w:t>
            </w:r>
          </w:p>
        </w:tc>
        <w:tc>
          <w:tcPr>
            <w:tcW w:w="1000" w:type="dxa"/>
            <w:vAlign w:val="bottom"/>
            <w:tcBorders>
              <w:right w:val="single" w:sz="8" w:color="3C5896"/>
            </w:tcBorders>
            <w:gridSpan w:val="3"/>
            <w:shd w:val="clear" w:color="auto" w:fill="3C5896"/>
          </w:tcPr>
          <w:p>
            <w:pPr>
              <w:jc w:val="right"/>
              <w:ind w:right="160"/>
              <w:spacing w:after="0"/>
              <w:rPr>
                <w:sz w:val="20"/>
                <w:szCs w:val="20"/>
                <w:color w:val="auto"/>
              </w:rPr>
            </w:pPr>
            <w:r>
              <w:rPr>
                <w:rFonts w:ascii="Arial" w:cs="Arial" w:eastAsia="Arial" w:hAnsi="Arial"/>
                <w:sz w:val="16"/>
                <w:szCs w:val="16"/>
                <w:b w:val="1"/>
                <w:bCs w:val="1"/>
                <w:color w:val="FFFFFF"/>
              </w:rPr>
              <w:t>Restricted</w:t>
            </w:r>
          </w:p>
        </w:tc>
        <w:tc>
          <w:tcPr>
            <w:tcW w:w="0" w:type="dxa"/>
            <w:vAlign w:val="bottom"/>
          </w:tcPr>
          <w:p>
            <w:pPr>
              <w:spacing w:after="0"/>
              <w:rPr>
                <w:sz w:val="1"/>
                <w:szCs w:val="1"/>
                <w:color w:val="auto"/>
              </w:rPr>
            </w:pPr>
          </w:p>
        </w:tc>
      </w:tr>
      <w:tr>
        <w:trPr>
          <w:trHeight w:val="167"/>
        </w:trPr>
        <w:tc>
          <w:tcPr>
            <w:tcW w:w="60" w:type="dxa"/>
            <w:vAlign w:val="bottom"/>
            <w:tcBorders>
              <w:left w:val="single" w:sz="8" w:color="3C5896"/>
            </w:tcBorders>
            <w:shd w:val="clear" w:color="auto" w:fill="3C5896"/>
          </w:tcPr>
          <w:p>
            <w:pPr>
              <w:spacing w:after="0"/>
              <w:rPr>
                <w:sz w:val="14"/>
                <w:szCs w:val="14"/>
                <w:color w:val="auto"/>
              </w:rPr>
            </w:pPr>
          </w:p>
        </w:tc>
        <w:tc>
          <w:tcPr>
            <w:tcW w:w="4160" w:type="dxa"/>
            <w:vAlign w:val="bottom"/>
            <w:tcBorders>
              <w:right w:val="single" w:sz="8" w:color="9EACCA"/>
            </w:tcBorders>
            <w:vMerge w:val="restart"/>
            <w:shd w:val="clear" w:color="auto" w:fill="3C5896"/>
          </w:tcPr>
          <w:p>
            <w:pPr>
              <w:ind w:left="1800"/>
              <w:spacing w:after="0"/>
              <w:rPr>
                <w:sz w:val="20"/>
                <w:szCs w:val="20"/>
                <w:color w:val="auto"/>
              </w:rPr>
            </w:pPr>
            <w:r>
              <w:rPr>
                <w:rFonts w:ascii="Arial" w:cs="Arial" w:eastAsia="Arial" w:hAnsi="Arial"/>
                <w:sz w:val="16"/>
                <w:szCs w:val="16"/>
                <w:b w:val="1"/>
                <w:bCs w:val="1"/>
                <w:color w:val="FFFFFF"/>
              </w:rPr>
              <w:t>NEO</w:t>
            </w:r>
            <w:r>
              <w:rPr>
                <w:rFonts w:ascii="Arial" w:cs="Arial" w:eastAsia="Arial" w:hAnsi="Arial"/>
                <w:sz w:val="25"/>
                <w:szCs w:val="25"/>
                <w:b w:val="1"/>
                <w:bCs w:val="1"/>
                <w:color w:val="FFFFFF"/>
                <w:vertAlign w:val="superscript"/>
              </w:rPr>
              <w:t>(1)</w:t>
            </w:r>
          </w:p>
        </w:tc>
        <w:tc>
          <w:tcPr>
            <w:tcW w:w="60" w:type="dxa"/>
            <w:vAlign w:val="bottom"/>
            <w:shd w:val="clear" w:color="auto" w:fill="3C5896"/>
          </w:tcPr>
          <w:p>
            <w:pPr>
              <w:spacing w:after="0"/>
              <w:rPr>
                <w:sz w:val="14"/>
                <w:szCs w:val="14"/>
                <w:color w:val="auto"/>
              </w:rPr>
            </w:pPr>
          </w:p>
        </w:tc>
        <w:tc>
          <w:tcPr>
            <w:tcW w:w="880" w:type="dxa"/>
            <w:vAlign w:val="bottom"/>
            <w:tcBorders>
              <w:right w:val="single" w:sz="8" w:color="9EACCA"/>
            </w:tcBorders>
            <w:gridSpan w:val="2"/>
            <w:shd w:val="clear" w:color="auto" w:fill="3C5896"/>
          </w:tcPr>
          <w:p>
            <w:pPr>
              <w:ind w:left="120"/>
              <w:spacing w:after="0" w:line="167" w:lineRule="exact"/>
              <w:rPr>
                <w:sz w:val="20"/>
                <w:szCs w:val="20"/>
                <w:color w:val="auto"/>
              </w:rPr>
            </w:pPr>
            <w:r>
              <w:rPr>
                <w:rFonts w:ascii="Arial" w:cs="Arial" w:eastAsia="Arial" w:hAnsi="Arial"/>
                <w:sz w:val="16"/>
                <w:szCs w:val="16"/>
                <w:b w:val="1"/>
                <w:bCs w:val="1"/>
                <w:color w:val="FFFFFF"/>
              </w:rPr>
              <w:t>Benefit</w:t>
            </w:r>
          </w:p>
        </w:tc>
        <w:tc>
          <w:tcPr>
            <w:tcW w:w="1120" w:type="dxa"/>
            <w:vAlign w:val="bottom"/>
            <w:tcBorders>
              <w:right w:val="single" w:sz="8" w:color="9EACCA"/>
            </w:tcBorders>
            <w:gridSpan w:val="3"/>
            <w:shd w:val="clear" w:color="auto" w:fill="3C5896"/>
          </w:tcPr>
          <w:p>
            <w:pPr>
              <w:jc w:val="center"/>
              <w:ind w:right="40"/>
              <w:spacing w:after="0" w:line="167" w:lineRule="exact"/>
              <w:rPr>
                <w:sz w:val="20"/>
                <w:szCs w:val="20"/>
                <w:color w:val="auto"/>
              </w:rPr>
            </w:pPr>
            <w:r>
              <w:rPr>
                <w:rFonts w:ascii="Arial" w:cs="Arial" w:eastAsia="Arial" w:hAnsi="Arial"/>
                <w:sz w:val="16"/>
                <w:szCs w:val="16"/>
                <w:b w:val="1"/>
                <w:bCs w:val="1"/>
                <w:color w:val="FFFFFF"/>
              </w:rPr>
              <w:t>Benefits</w:t>
            </w:r>
          </w:p>
        </w:tc>
        <w:tc>
          <w:tcPr>
            <w:tcW w:w="800" w:type="dxa"/>
            <w:vAlign w:val="bottom"/>
            <w:tcBorders>
              <w:right w:val="single" w:sz="8" w:color="9EACCA"/>
            </w:tcBorders>
            <w:shd w:val="clear" w:color="auto" w:fill="3C5896"/>
          </w:tcPr>
          <w:p>
            <w:pPr>
              <w:jc w:val="center"/>
              <w:spacing w:after="0" w:line="167" w:lineRule="exact"/>
              <w:rPr>
                <w:sz w:val="20"/>
                <w:szCs w:val="20"/>
                <w:color w:val="auto"/>
              </w:rPr>
            </w:pPr>
            <w:r>
              <w:rPr>
                <w:rFonts w:ascii="Arial" w:cs="Arial" w:eastAsia="Arial" w:hAnsi="Arial"/>
                <w:sz w:val="16"/>
                <w:szCs w:val="16"/>
                <w:b w:val="1"/>
                <w:bCs w:val="1"/>
                <w:color w:val="FFFFFF"/>
              </w:rPr>
              <w:t>Options</w:t>
            </w:r>
          </w:p>
        </w:tc>
        <w:tc>
          <w:tcPr>
            <w:tcW w:w="1120" w:type="dxa"/>
            <w:vAlign w:val="bottom"/>
            <w:tcBorders>
              <w:right w:val="single" w:sz="8" w:color="9EACCA"/>
            </w:tcBorders>
            <w:gridSpan w:val="3"/>
            <w:shd w:val="clear" w:color="auto" w:fill="3C5896"/>
          </w:tcPr>
          <w:p>
            <w:pPr>
              <w:jc w:val="center"/>
              <w:ind w:right="20"/>
              <w:spacing w:after="0" w:line="167" w:lineRule="exact"/>
              <w:rPr>
                <w:sz w:val="20"/>
                <w:szCs w:val="20"/>
                <w:color w:val="auto"/>
              </w:rPr>
            </w:pPr>
            <w:r>
              <w:rPr>
                <w:rFonts w:ascii="Arial" w:cs="Arial" w:eastAsia="Arial" w:hAnsi="Arial"/>
                <w:sz w:val="16"/>
                <w:szCs w:val="16"/>
                <w:b w:val="1"/>
                <w:bCs w:val="1"/>
                <w:color w:val="FFFFFF"/>
              </w:rPr>
              <w:t>Stock Units</w:t>
            </w:r>
          </w:p>
        </w:tc>
        <w:tc>
          <w:tcPr>
            <w:tcW w:w="1000" w:type="dxa"/>
            <w:vAlign w:val="bottom"/>
            <w:tcBorders>
              <w:right w:val="single" w:sz="8" w:color="3C5896"/>
            </w:tcBorders>
            <w:gridSpan w:val="3"/>
            <w:shd w:val="clear" w:color="auto" w:fill="3C5896"/>
          </w:tcPr>
          <w:p>
            <w:pPr>
              <w:jc w:val="right"/>
              <w:ind w:right="80"/>
              <w:spacing w:after="0" w:line="167" w:lineRule="exact"/>
              <w:rPr>
                <w:sz w:val="20"/>
                <w:szCs w:val="20"/>
                <w:color w:val="auto"/>
              </w:rPr>
            </w:pPr>
            <w:r>
              <w:rPr>
                <w:rFonts w:ascii="Arial" w:cs="Arial" w:eastAsia="Arial" w:hAnsi="Arial"/>
                <w:sz w:val="16"/>
                <w:szCs w:val="16"/>
                <w:b w:val="1"/>
                <w:bCs w:val="1"/>
                <w:color w:val="FFFFFF"/>
              </w:rPr>
              <w:t>Stock Units</w:t>
            </w:r>
          </w:p>
        </w:tc>
        <w:tc>
          <w:tcPr>
            <w:tcW w:w="0" w:type="dxa"/>
            <w:vAlign w:val="bottom"/>
          </w:tcPr>
          <w:p>
            <w:pPr>
              <w:spacing w:after="0"/>
              <w:rPr>
                <w:sz w:val="1"/>
                <w:szCs w:val="1"/>
                <w:color w:val="auto"/>
              </w:rPr>
            </w:pPr>
          </w:p>
        </w:tc>
      </w:tr>
      <w:tr>
        <w:trPr>
          <w:trHeight w:val="243"/>
        </w:trPr>
        <w:tc>
          <w:tcPr>
            <w:tcW w:w="60" w:type="dxa"/>
            <w:vAlign w:val="bottom"/>
            <w:tcBorders>
              <w:left w:val="single" w:sz="8" w:color="3C5896"/>
            </w:tcBorders>
            <w:shd w:val="clear" w:color="auto" w:fill="3C5896"/>
          </w:tcPr>
          <w:p>
            <w:pPr>
              <w:spacing w:after="0"/>
              <w:rPr>
                <w:sz w:val="21"/>
                <w:szCs w:val="21"/>
                <w:color w:val="auto"/>
              </w:rPr>
            </w:pPr>
          </w:p>
        </w:tc>
        <w:tc>
          <w:tcPr>
            <w:tcW w:w="4160" w:type="dxa"/>
            <w:vAlign w:val="bottom"/>
            <w:tcBorders>
              <w:right w:val="single" w:sz="8" w:color="9EACCA"/>
            </w:tcBorders>
            <w:vMerge w:val="continue"/>
            <w:shd w:val="clear" w:color="auto" w:fill="3C5896"/>
          </w:tcPr>
          <w:p>
            <w:pPr>
              <w:spacing w:after="0"/>
              <w:rPr>
                <w:sz w:val="21"/>
                <w:szCs w:val="21"/>
                <w:color w:val="auto"/>
              </w:rPr>
            </w:pPr>
          </w:p>
        </w:tc>
        <w:tc>
          <w:tcPr>
            <w:tcW w:w="840" w:type="dxa"/>
            <w:vAlign w:val="bottom"/>
            <w:gridSpan w:val="2"/>
            <w:shd w:val="clear" w:color="auto" w:fill="3C5896"/>
          </w:tcPr>
          <w:p>
            <w:pPr>
              <w:jc w:val="right"/>
              <w:ind w:right="119"/>
              <w:spacing w:after="0" w:line="242"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5"/>
                <w:szCs w:val="25"/>
                <w:b w:val="1"/>
                <w:bCs w:val="1"/>
                <w:color w:val="FFFFFF"/>
                <w:vertAlign w:val="superscript"/>
              </w:rPr>
              <w:t>(2)</w:t>
            </w:r>
          </w:p>
        </w:tc>
        <w:tc>
          <w:tcPr>
            <w:tcW w:w="100" w:type="dxa"/>
            <w:vAlign w:val="bottom"/>
            <w:tcBorders>
              <w:right w:val="single" w:sz="8" w:color="9EACCA"/>
            </w:tcBorders>
            <w:shd w:val="clear" w:color="auto" w:fill="3C5896"/>
          </w:tcPr>
          <w:p>
            <w:pPr>
              <w:spacing w:after="0"/>
              <w:rPr>
                <w:sz w:val="21"/>
                <w:szCs w:val="21"/>
                <w:color w:val="auto"/>
              </w:rPr>
            </w:pPr>
          </w:p>
        </w:tc>
        <w:tc>
          <w:tcPr>
            <w:tcW w:w="780" w:type="dxa"/>
            <w:vAlign w:val="bottom"/>
            <w:gridSpan w:val="2"/>
            <w:shd w:val="clear" w:color="auto" w:fill="3C5896"/>
          </w:tcPr>
          <w:p>
            <w:pPr>
              <w:jc w:val="center"/>
              <w:ind w:left="219"/>
              <w:spacing w:after="0" w:line="242" w:lineRule="exact"/>
              <w:rPr>
                <w:sz w:val="20"/>
                <w:szCs w:val="20"/>
                <w:color w:val="auto"/>
              </w:rPr>
            </w:pPr>
            <w:r>
              <w:rPr>
                <w:rFonts w:ascii="Arial" w:cs="Arial" w:eastAsia="Arial" w:hAnsi="Arial"/>
                <w:sz w:val="16"/>
                <w:szCs w:val="16"/>
                <w:b w:val="1"/>
                <w:bCs w:val="1"/>
                <w:color w:val="FFFFFF"/>
                <w:w w:val="90"/>
              </w:rPr>
              <w:t>($)</w:t>
            </w:r>
            <w:r>
              <w:rPr>
                <w:rFonts w:ascii="Arial" w:cs="Arial" w:eastAsia="Arial" w:hAnsi="Arial"/>
                <w:sz w:val="25"/>
                <w:szCs w:val="25"/>
                <w:b w:val="1"/>
                <w:bCs w:val="1"/>
                <w:color w:val="FFFFFF"/>
                <w:w w:val="90"/>
                <w:vertAlign w:val="superscript"/>
              </w:rPr>
              <w:t>(3)</w:t>
            </w:r>
          </w:p>
        </w:tc>
        <w:tc>
          <w:tcPr>
            <w:tcW w:w="340" w:type="dxa"/>
            <w:vAlign w:val="bottom"/>
            <w:tcBorders>
              <w:right w:val="single" w:sz="8" w:color="9EACCA"/>
            </w:tcBorders>
            <w:shd w:val="clear" w:color="auto" w:fill="3C5896"/>
          </w:tcPr>
          <w:p>
            <w:pPr>
              <w:spacing w:after="0"/>
              <w:rPr>
                <w:sz w:val="21"/>
                <w:szCs w:val="21"/>
                <w:color w:val="auto"/>
              </w:rPr>
            </w:pPr>
          </w:p>
        </w:tc>
        <w:tc>
          <w:tcPr>
            <w:tcW w:w="800" w:type="dxa"/>
            <w:vAlign w:val="bottom"/>
            <w:tcBorders>
              <w:right w:val="single" w:sz="8" w:color="9EACCA"/>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85"/>
              </w:rPr>
              <w:t>($)</w:t>
            </w:r>
            <w:r>
              <w:rPr>
                <w:rFonts w:ascii="Arial" w:cs="Arial" w:eastAsia="Arial" w:hAnsi="Arial"/>
                <w:sz w:val="25"/>
                <w:szCs w:val="25"/>
                <w:b w:val="1"/>
                <w:bCs w:val="1"/>
                <w:color w:val="FFFFFF"/>
                <w:w w:val="85"/>
                <w:vertAlign w:val="superscript"/>
              </w:rPr>
              <w:t>(4)</w:t>
            </w:r>
          </w:p>
        </w:tc>
        <w:tc>
          <w:tcPr>
            <w:tcW w:w="920" w:type="dxa"/>
            <w:vAlign w:val="bottom"/>
            <w:gridSpan w:val="2"/>
            <w:shd w:val="clear" w:color="auto" w:fill="3C5896"/>
          </w:tcPr>
          <w:p>
            <w:pPr>
              <w:jc w:val="center"/>
              <w:ind w:left="79"/>
              <w:spacing w:after="0" w:line="242" w:lineRule="exact"/>
              <w:rPr>
                <w:sz w:val="20"/>
                <w:szCs w:val="20"/>
                <w:color w:val="auto"/>
              </w:rPr>
            </w:pPr>
            <w:r>
              <w:rPr>
                <w:rFonts w:ascii="Arial" w:cs="Arial" w:eastAsia="Arial" w:hAnsi="Arial"/>
                <w:sz w:val="16"/>
                <w:szCs w:val="16"/>
                <w:b w:val="1"/>
                <w:bCs w:val="1"/>
                <w:color w:val="FFFFFF"/>
                <w:w w:val="90"/>
              </w:rPr>
              <w:t>($)</w:t>
            </w:r>
            <w:r>
              <w:rPr>
                <w:rFonts w:ascii="Arial" w:cs="Arial" w:eastAsia="Arial" w:hAnsi="Arial"/>
                <w:sz w:val="25"/>
                <w:szCs w:val="25"/>
                <w:b w:val="1"/>
                <w:bCs w:val="1"/>
                <w:color w:val="FFFFFF"/>
                <w:w w:val="90"/>
                <w:vertAlign w:val="superscript"/>
              </w:rPr>
              <w:t>(5)</w:t>
            </w:r>
          </w:p>
        </w:tc>
        <w:tc>
          <w:tcPr>
            <w:tcW w:w="200" w:type="dxa"/>
            <w:vAlign w:val="bottom"/>
            <w:tcBorders>
              <w:right w:val="single" w:sz="8" w:color="9EACCA"/>
            </w:tcBorders>
            <w:shd w:val="clear" w:color="auto" w:fill="3C5896"/>
          </w:tcPr>
          <w:p>
            <w:pPr>
              <w:spacing w:after="0"/>
              <w:rPr>
                <w:sz w:val="21"/>
                <w:szCs w:val="21"/>
                <w:color w:val="auto"/>
              </w:rPr>
            </w:pPr>
          </w:p>
        </w:tc>
        <w:tc>
          <w:tcPr>
            <w:tcW w:w="760" w:type="dxa"/>
            <w:vAlign w:val="bottom"/>
            <w:gridSpan w:val="2"/>
            <w:shd w:val="clear" w:color="auto" w:fill="3C5896"/>
          </w:tcPr>
          <w:p>
            <w:pPr>
              <w:jc w:val="right"/>
              <w:ind w:right="39"/>
              <w:spacing w:after="0" w:line="242"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5"/>
                <w:szCs w:val="25"/>
                <w:b w:val="1"/>
                <w:bCs w:val="1"/>
                <w:color w:val="FFFFFF"/>
                <w:vertAlign w:val="superscript"/>
              </w:rPr>
              <w:t>(6)</w:t>
            </w:r>
          </w:p>
        </w:tc>
        <w:tc>
          <w:tcPr>
            <w:tcW w:w="24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L. Reade Fahs</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right w:val="single" w:sz="8" w:color="9EACCA"/>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Borders>
              <w:right w:val="single" w:sz="8" w:color="9EACCA"/>
            </w:tcBorders>
          </w:tcPr>
          <w:p>
            <w:pPr>
              <w:spacing w:after="0"/>
              <w:rPr>
                <w:sz w:val="20"/>
                <w:szCs w:val="20"/>
                <w:color w:val="auto"/>
              </w:rPr>
            </w:pPr>
          </w:p>
        </w:tc>
        <w:tc>
          <w:tcPr>
            <w:tcW w:w="800" w:type="dxa"/>
            <w:vAlign w:val="bottom"/>
            <w:tcBorders>
              <w:right w:val="single" w:sz="8" w:color="9EACCA"/>
            </w:tcBorders>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right w:val="single" w:sz="8" w:color="9EACCA"/>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0" w:type="dxa"/>
            <w:vAlign w:val="bottom"/>
            <w:tcBorders>
              <w:left w:val="single" w:sz="8" w:color="3C5896"/>
            </w:tcBorders>
          </w:tcPr>
          <w:p>
            <w:pPr>
              <w:spacing w:after="0"/>
              <w:rPr>
                <w:sz w:val="21"/>
                <w:szCs w:val="21"/>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40" w:type="dxa"/>
            <w:vAlign w:val="bottom"/>
            <w:tcBorders>
              <w:right w:val="single" w:sz="8" w:color="9EACCA"/>
            </w:tcBorders>
            <w:gridSpan w:val="3"/>
          </w:tcPr>
          <w:p>
            <w:pPr>
              <w:jc w:val="right"/>
              <w:ind w:right="100"/>
              <w:spacing w:after="0"/>
              <w:rPr>
                <w:sz w:val="20"/>
                <w:szCs w:val="20"/>
                <w:color w:val="auto"/>
              </w:rPr>
            </w:pPr>
            <w:r>
              <w:rPr>
                <w:rFonts w:ascii="Arial" w:cs="Arial" w:eastAsia="Arial" w:hAnsi="Arial"/>
                <w:sz w:val="16"/>
                <w:szCs w:val="16"/>
                <w:color w:val="auto"/>
              </w:rPr>
              <w:t>3,708,000</w:t>
            </w:r>
          </w:p>
        </w:tc>
        <w:tc>
          <w:tcPr>
            <w:tcW w:w="1120" w:type="dxa"/>
            <w:vAlign w:val="bottom"/>
            <w:tcBorders>
              <w:right w:val="single" w:sz="8" w:color="9EACCA"/>
            </w:tcBorders>
            <w:gridSpan w:val="3"/>
          </w:tcPr>
          <w:p>
            <w:pPr>
              <w:jc w:val="right"/>
              <w:ind w:right="340"/>
              <w:spacing w:after="0"/>
              <w:rPr>
                <w:sz w:val="20"/>
                <w:szCs w:val="20"/>
                <w:color w:val="auto"/>
              </w:rPr>
            </w:pPr>
            <w:r>
              <w:rPr>
                <w:rFonts w:ascii="Arial" w:cs="Arial" w:eastAsia="Arial" w:hAnsi="Arial"/>
                <w:sz w:val="16"/>
                <w:szCs w:val="16"/>
                <w:color w:val="auto"/>
              </w:rPr>
              <w:t>2,350</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9EACCA"/>
            </w:tcBorders>
            <w:gridSpan w:val="3"/>
          </w:tcPr>
          <w:p>
            <w:pPr>
              <w:jc w:val="right"/>
              <w:ind w:right="200"/>
              <w:spacing w:after="0"/>
              <w:rPr>
                <w:sz w:val="20"/>
                <w:szCs w:val="20"/>
                <w:color w:val="auto"/>
              </w:rPr>
            </w:pPr>
            <w:r>
              <w:rPr>
                <w:rFonts w:ascii="Arial" w:cs="Arial" w:eastAsia="Arial" w:hAnsi="Arial"/>
                <w:sz w:val="16"/>
                <w:szCs w:val="16"/>
                <w:color w:val="auto"/>
              </w:rPr>
              <w:t>290,621</w:t>
            </w:r>
          </w:p>
        </w:tc>
        <w:tc>
          <w:tcPr>
            <w:tcW w:w="180" w:type="dxa"/>
            <w:vAlign w:val="bottom"/>
          </w:tcPr>
          <w:p>
            <w:pPr>
              <w:spacing w:after="0"/>
              <w:rPr>
                <w:sz w:val="21"/>
                <w:szCs w:val="21"/>
                <w:color w:val="auto"/>
              </w:rPr>
            </w:pPr>
          </w:p>
        </w:tc>
        <w:tc>
          <w:tcPr>
            <w:tcW w:w="820" w:type="dxa"/>
            <w:vAlign w:val="bottom"/>
            <w:tcBorders>
              <w:right w:val="single" w:sz="8" w:color="3C5896"/>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0" w:type="dxa"/>
            <w:vAlign w:val="bottom"/>
            <w:tcBorders>
              <w:left w:val="single" w:sz="8" w:color="3C5896"/>
            </w:tcBorders>
          </w:tcPr>
          <w:p>
            <w:pPr>
              <w:spacing w:after="0"/>
              <w:rPr>
                <w:sz w:val="19"/>
                <w:szCs w:val="19"/>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940" w:type="dxa"/>
            <w:vAlign w:val="bottom"/>
            <w:tcBorders>
              <w:right w:val="single" w:sz="8" w:color="9EACCA"/>
            </w:tcBorders>
            <w:gridSpan w:val="3"/>
          </w:tcPr>
          <w:p>
            <w:pPr>
              <w:jc w:val="right"/>
              <w:ind w:right="100"/>
              <w:spacing w:after="0"/>
              <w:rPr>
                <w:sz w:val="20"/>
                <w:szCs w:val="20"/>
                <w:color w:val="auto"/>
              </w:rPr>
            </w:pPr>
            <w:r>
              <w:rPr>
                <w:rFonts w:ascii="Arial" w:cs="Arial" w:eastAsia="Arial" w:hAnsi="Arial"/>
                <w:sz w:val="16"/>
                <w:szCs w:val="16"/>
                <w:color w:val="auto"/>
              </w:rPr>
              <w:t>4,635,000</w:t>
            </w:r>
          </w:p>
        </w:tc>
        <w:tc>
          <w:tcPr>
            <w:tcW w:w="1120" w:type="dxa"/>
            <w:vAlign w:val="bottom"/>
            <w:tcBorders>
              <w:right w:val="single" w:sz="8" w:color="9EACCA"/>
            </w:tcBorders>
            <w:gridSpan w:val="3"/>
          </w:tcPr>
          <w:p>
            <w:pPr>
              <w:jc w:val="right"/>
              <w:ind w:right="340"/>
              <w:spacing w:after="0"/>
              <w:rPr>
                <w:sz w:val="20"/>
                <w:szCs w:val="20"/>
                <w:color w:val="auto"/>
              </w:rPr>
            </w:pPr>
            <w:r>
              <w:rPr>
                <w:rFonts w:ascii="Arial" w:cs="Arial" w:eastAsia="Arial" w:hAnsi="Arial"/>
                <w:sz w:val="16"/>
                <w:szCs w:val="16"/>
                <w:color w:val="auto"/>
              </w:rPr>
              <w:t>2,938</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9EACCA"/>
            </w:tcBorders>
            <w:gridSpan w:val="3"/>
          </w:tcPr>
          <w:p>
            <w:pPr>
              <w:jc w:val="right"/>
              <w:ind w:right="200"/>
              <w:spacing w:after="0"/>
              <w:rPr>
                <w:sz w:val="20"/>
                <w:szCs w:val="20"/>
                <w:color w:val="auto"/>
              </w:rPr>
            </w:pPr>
            <w:r>
              <w:rPr>
                <w:rFonts w:ascii="Arial" w:cs="Arial" w:eastAsia="Arial" w:hAnsi="Arial"/>
                <w:sz w:val="16"/>
                <w:szCs w:val="16"/>
                <w:color w:val="auto"/>
              </w:rPr>
              <w:t>1,058,207</w:t>
            </w:r>
          </w:p>
        </w:tc>
        <w:tc>
          <w:tcPr>
            <w:tcW w:w="1000" w:type="dxa"/>
            <w:vAlign w:val="bottom"/>
            <w:tcBorders>
              <w:right w:val="single" w:sz="8" w:color="3C5896"/>
            </w:tcBorders>
            <w:gridSpan w:val="3"/>
          </w:tcPr>
          <w:p>
            <w:pPr>
              <w:jc w:val="right"/>
              <w:ind w:right="240"/>
              <w:spacing w:after="0"/>
              <w:rPr>
                <w:sz w:val="20"/>
                <w:szCs w:val="20"/>
                <w:color w:val="auto"/>
              </w:rPr>
            </w:pPr>
            <w:r>
              <w:rPr>
                <w:rFonts w:ascii="Arial" w:cs="Arial" w:eastAsia="Arial" w:hAnsi="Arial"/>
                <w:sz w:val="16"/>
                <w:szCs w:val="16"/>
                <w:color w:val="auto"/>
              </w:rPr>
              <w:t>363,339</w:t>
            </w:r>
          </w:p>
        </w:tc>
        <w:tc>
          <w:tcPr>
            <w:tcW w:w="0" w:type="dxa"/>
            <w:vAlign w:val="bottom"/>
          </w:tcPr>
          <w:p>
            <w:pPr>
              <w:spacing w:after="0"/>
              <w:rPr>
                <w:sz w:val="1"/>
                <w:szCs w:val="1"/>
                <w:color w:val="auto"/>
              </w:rPr>
            </w:pPr>
          </w:p>
        </w:tc>
      </w:tr>
      <w:tr>
        <w:trPr>
          <w:trHeight w:val="225"/>
        </w:trPr>
        <w:tc>
          <w:tcPr>
            <w:tcW w:w="60" w:type="dxa"/>
            <w:vAlign w:val="bottom"/>
            <w:tcBorders>
              <w:left w:val="single" w:sz="8" w:color="3C5896"/>
            </w:tcBorders>
          </w:tcPr>
          <w:p>
            <w:pPr>
              <w:spacing w:after="0"/>
              <w:rPr>
                <w:sz w:val="19"/>
                <w:szCs w:val="19"/>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Pr>
          <w:p>
            <w:pPr>
              <w:spacing w:after="0"/>
              <w:rPr>
                <w:sz w:val="19"/>
                <w:szCs w:val="19"/>
                <w:color w:val="auto"/>
              </w:rPr>
            </w:pPr>
          </w:p>
        </w:tc>
        <w:tc>
          <w:tcPr>
            <w:tcW w:w="880" w:type="dxa"/>
            <w:vAlign w:val="bottom"/>
            <w:tcBorders>
              <w:right w:val="single" w:sz="8" w:color="9EACCA"/>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9EACCA"/>
            </w:tcBorders>
            <w:gridSpan w:val="3"/>
          </w:tcPr>
          <w:p>
            <w:pPr>
              <w:jc w:val="right"/>
              <w:ind w:right="200"/>
              <w:spacing w:after="0"/>
              <w:rPr>
                <w:sz w:val="20"/>
                <w:szCs w:val="20"/>
                <w:color w:val="auto"/>
              </w:rPr>
            </w:pPr>
            <w:r>
              <w:rPr>
                <w:rFonts w:ascii="Arial" w:cs="Arial" w:eastAsia="Arial" w:hAnsi="Arial"/>
                <w:sz w:val="16"/>
                <w:szCs w:val="16"/>
                <w:color w:val="auto"/>
              </w:rPr>
              <w:t>1,058,207</w:t>
            </w:r>
          </w:p>
        </w:tc>
        <w:tc>
          <w:tcPr>
            <w:tcW w:w="1000" w:type="dxa"/>
            <w:vAlign w:val="bottom"/>
            <w:tcBorders>
              <w:right w:val="single" w:sz="8" w:color="3C5896"/>
            </w:tcBorders>
            <w:gridSpan w:val="3"/>
          </w:tcPr>
          <w:p>
            <w:pPr>
              <w:jc w:val="right"/>
              <w:ind w:right="240"/>
              <w:spacing w:after="0"/>
              <w:rPr>
                <w:sz w:val="20"/>
                <w:szCs w:val="20"/>
                <w:color w:val="auto"/>
              </w:rPr>
            </w:pPr>
            <w:r>
              <w:rPr>
                <w:rFonts w:ascii="Arial" w:cs="Arial" w:eastAsia="Arial" w:hAnsi="Arial"/>
                <w:sz w:val="16"/>
                <w:szCs w:val="16"/>
                <w:color w:val="auto"/>
              </w:rPr>
              <w:t>363,339</w:t>
            </w:r>
          </w:p>
        </w:tc>
        <w:tc>
          <w:tcPr>
            <w:tcW w:w="0" w:type="dxa"/>
            <w:vAlign w:val="bottom"/>
          </w:tcPr>
          <w:p>
            <w:pPr>
              <w:spacing w:after="0"/>
              <w:rPr>
                <w:sz w:val="1"/>
                <w:szCs w:val="1"/>
                <w:color w:val="auto"/>
              </w:rPr>
            </w:pPr>
          </w:p>
        </w:tc>
      </w:tr>
      <w:tr>
        <w:trPr>
          <w:trHeight w:val="232"/>
        </w:trPr>
        <w:tc>
          <w:tcPr>
            <w:tcW w:w="60" w:type="dxa"/>
            <w:vAlign w:val="bottom"/>
            <w:tcBorders>
              <w:left w:val="single" w:sz="8" w:color="3C5896"/>
            </w:tcBorders>
            <w:shd w:val="clear" w:color="auto" w:fill="CCCCCC"/>
          </w:tcPr>
          <w:p>
            <w:pPr>
              <w:spacing w:after="0"/>
              <w:rPr>
                <w:sz w:val="20"/>
                <w:szCs w:val="20"/>
                <w:color w:val="auto"/>
              </w:rPr>
            </w:pPr>
          </w:p>
        </w:tc>
        <w:tc>
          <w:tcPr>
            <w:tcW w:w="41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Patrick R. Moore</w:t>
            </w:r>
          </w:p>
        </w:tc>
        <w:tc>
          <w:tcPr>
            <w:tcW w:w="60" w:type="dxa"/>
            <w:vAlign w:val="bottom"/>
            <w:shd w:val="clear" w:color="auto" w:fill="CCCCCC"/>
          </w:tcPr>
          <w:p>
            <w:pPr>
              <w:spacing w:after="0"/>
              <w:rPr>
                <w:sz w:val="20"/>
                <w:szCs w:val="20"/>
                <w:color w:val="auto"/>
              </w:rPr>
            </w:pPr>
          </w:p>
        </w:tc>
        <w:tc>
          <w:tcPr>
            <w:tcW w:w="780" w:type="dxa"/>
            <w:vAlign w:val="bottom"/>
            <w:shd w:val="clear" w:color="auto" w:fill="CCCCCC"/>
          </w:tcPr>
          <w:p>
            <w:pPr>
              <w:spacing w:after="0"/>
              <w:rPr>
                <w:sz w:val="20"/>
                <w:szCs w:val="20"/>
                <w:color w:val="auto"/>
              </w:rPr>
            </w:pPr>
          </w:p>
        </w:tc>
        <w:tc>
          <w:tcPr>
            <w:tcW w:w="100" w:type="dxa"/>
            <w:vAlign w:val="bottom"/>
            <w:tcBorders>
              <w:right w:val="single" w:sz="8" w:color="9EACCA"/>
            </w:tcBorders>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500" w:type="dxa"/>
            <w:vAlign w:val="bottom"/>
            <w:shd w:val="clear" w:color="auto" w:fill="CCCCCC"/>
          </w:tcPr>
          <w:p>
            <w:pPr>
              <w:spacing w:after="0"/>
              <w:rPr>
                <w:sz w:val="20"/>
                <w:szCs w:val="20"/>
                <w:color w:val="auto"/>
              </w:rPr>
            </w:pPr>
          </w:p>
        </w:tc>
        <w:tc>
          <w:tcPr>
            <w:tcW w:w="340" w:type="dxa"/>
            <w:vAlign w:val="bottom"/>
            <w:tcBorders>
              <w:right w:val="single" w:sz="8" w:color="9EACCA"/>
            </w:tcBorders>
            <w:shd w:val="clear" w:color="auto" w:fill="CCCCCC"/>
          </w:tcPr>
          <w:p>
            <w:pPr>
              <w:spacing w:after="0"/>
              <w:rPr>
                <w:sz w:val="20"/>
                <w:szCs w:val="20"/>
                <w:color w:val="auto"/>
              </w:rPr>
            </w:pPr>
          </w:p>
        </w:tc>
        <w:tc>
          <w:tcPr>
            <w:tcW w:w="800" w:type="dxa"/>
            <w:vAlign w:val="bottom"/>
            <w:tcBorders>
              <w:right w:val="single" w:sz="8" w:color="9EACCA"/>
            </w:tcBorders>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760" w:type="dxa"/>
            <w:vAlign w:val="bottom"/>
            <w:shd w:val="clear" w:color="auto" w:fill="CCCCCC"/>
          </w:tcPr>
          <w:p>
            <w:pPr>
              <w:spacing w:after="0"/>
              <w:rPr>
                <w:sz w:val="20"/>
                <w:szCs w:val="20"/>
                <w:color w:val="auto"/>
              </w:rPr>
            </w:pPr>
          </w:p>
        </w:tc>
        <w:tc>
          <w:tcPr>
            <w:tcW w:w="200" w:type="dxa"/>
            <w:vAlign w:val="bottom"/>
            <w:tcBorders>
              <w:right w:val="single" w:sz="8" w:color="9EACCA"/>
            </w:tcBorders>
            <w:shd w:val="clear" w:color="auto" w:fill="CCCCCC"/>
          </w:tcPr>
          <w:p>
            <w:pPr>
              <w:spacing w:after="0"/>
              <w:rPr>
                <w:sz w:val="20"/>
                <w:szCs w:val="20"/>
                <w:color w:val="auto"/>
              </w:rPr>
            </w:pPr>
          </w:p>
        </w:tc>
        <w:tc>
          <w:tcPr>
            <w:tcW w:w="180" w:type="dxa"/>
            <w:vAlign w:val="bottom"/>
            <w:shd w:val="clear" w:color="auto" w:fill="CCCCCC"/>
          </w:tcPr>
          <w:p>
            <w:pPr>
              <w:spacing w:after="0"/>
              <w:rPr>
                <w:sz w:val="20"/>
                <w:szCs w:val="20"/>
                <w:color w:val="auto"/>
              </w:rPr>
            </w:pPr>
          </w:p>
        </w:tc>
        <w:tc>
          <w:tcPr>
            <w:tcW w:w="580" w:type="dxa"/>
            <w:vAlign w:val="bottom"/>
            <w:shd w:val="clear" w:color="auto" w:fill="CCCCCC"/>
          </w:tcPr>
          <w:p>
            <w:pPr>
              <w:spacing w:after="0"/>
              <w:rPr>
                <w:sz w:val="20"/>
                <w:szCs w:val="20"/>
                <w:color w:val="auto"/>
              </w:rPr>
            </w:pPr>
          </w:p>
        </w:tc>
        <w:tc>
          <w:tcPr>
            <w:tcW w:w="240" w:type="dxa"/>
            <w:vAlign w:val="bottom"/>
            <w:tcBorders>
              <w:right w:val="single" w:sz="8" w:color="3C5896"/>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3C5896"/>
            </w:tcBorders>
            <w:shd w:val="clear" w:color="auto" w:fill="CCCCCC"/>
          </w:tcPr>
          <w:p>
            <w:pPr>
              <w:spacing w:after="0"/>
              <w:rPr>
                <w:sz w:val="18"/>
                <w:szCs w:val="18"/>
                <w:color w:val="auto"/>
              </w:rPr>
            </w:pPr>
          </w:p>
        </w:tc>
        <w:tc>
          <w:tcPr>
            <w:tcW w:w="4160" w:type="dxa"/>
            <w:vAlign w:val="bottom"/>
            <w:tcBorders>
              <w:right w:val="single" w:sz="8" w:color="9EACCA"/>
            </w:tcBorders>
            <w:vMerge w:val="restart"/>
            <w:shd w:val="clear" w:color="auto" w:fill="CCCCCC"/>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60" w:type="dxa"/>
            <w:vAlign w:val="bottom"/>
            <w:shd w:val="clear" w:color="auto" w:fill="CCCCCC"/>
          </w:tcPr>
          <w:p>
            <w:pPr>
              <w:spacing w:after="0"/>
              <w:rPr>
                <w:sz w:val="18"/>
                <w:szCs w:val="18"/>
                <w:color w:val="auto"/>
              </w:rPr>
            </w:pPr>
          </w:p>
        </w:tc>
        <w:tc>
          <w:tcPr>
            <w:tcW w:w="880" w:type="dxa"/>
            <w:vAlign w:val="bottom"/>
            <w:tcBorders>
              <w:right w:val="single" w:sz="8" w:color="9EACCA"/>
            </w:tcBorders>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1,080,000</w:t>
            </w:r>
          </w:p>
        </w:tc>
        <w:tc>
          <w:tcPr>
            <w:tcW w:w="280" w:type="dxa"/>
            <w:vAlign w:val="bottom"/>
            <w:shd w:val="clear" w:color="auto" w:fill="CCCCCC"/>
          </w:tcPr>
          <w:p>
            <w:pPr>
              <w:spacing w:after="0"/>
              <w:rPr>
                <w:sz w:val="18"/>
                <w:szCs w:val="18"/>
                <w:color w:val="auto"/>
              </w:rPr>
            </w:pPr>
          </w:p>
        </w:tc>
        <w:tc>
          <w:tcPr>
            <w:tcW w:w="84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CCCC"/>
          </w:tcPr>
          <w:p>
            <w:pPr>
              <w:spacing w:after="0"/>
              <w:rPr>
                <w:sz w:val="18"/>
                <w:szCs w:val="18"/>
                <w:color w:val="auto"/>
              </w:rPr>
            </w:pPr>
          </w:p>
        </w:tc>
        <w:tc>
          <w:tcPr>
            <w:tcW w:w="960" w:type="dxa"/>
            <w:vAlign w:val="bottom"/>
            <w:tcBorders>
              <w:right w:val="single" w:sz="8" w:color="9EACCA"/>
            </w:tcBorders>
            <w:gridSpan w:val="2"/>
            <w:shd w:val="clear" w:color="auto" w:fill="CCCCCC"/>
          </w:tcPr>
          <w:p>
            <w:pPr>
              <w:jc w:val="right"/>
              <w:ind w:right="200"/>
              <w:spacing w:after="0"/>
              <w:rPr>
                <w:sz w:val="20"/>
                <w:szCs w:val="20"/>
                <w:color w:val="auto"/>
              </w:rPr>
            </w:pPr>
            <w:r>
              <w:rPr>
                <w:rFonts w:ascii="Arial" w:cs="Arial" w:eastAsia="Arial" w:hAnsi="Arial"/>
                <w:sz w:val="16"/>
                <w:szCs w:val="16"/>
                <w:color w:val="auto"/>
              </w:rPr>
              <w:t>77,505</w:t>
            </w:r>
          </w:p>
        </w:tc>
        <w:tc>
          <w:tcPr>
            <w:tcW w:w="180" w:type="dxa"/>
            <w:vAlign w:val="bottom"/>
            <w:shd w:val="clear" w:color="auto" w:fill="CCCCCC"/>
          </w:tcPr>
          <w:p>
            <w:pPr>
              <w:spacing w:after="0"/>
              <w:rPr>
                <w:sz w:val="18"/>
                <w:szCs w:val="18"/>
                <w:color w:val="auto"/>
              </w:rPr>
            </w:pPr>
          </w:p>
        </w:tc>
        <w:tc>
          <w:tcPr>
            <w:tcW w:w="820" w:type="dxa"/>
            <w:vAlign w:val="bottom"/>
            <w:tcBorders>
              <w:right w:val="single" w:sz="8" w:color="3C5896"/>
            </w:tcBorders>
            <w:gridSpan w:val="2"/>
            <w:shd w:val="clear" w:color="auto" w:fill="CCCCCC"/>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 w:type="dxa"/>
            <w:vAlign w:val="bottom"/>
            <w:tcBorders>
              <w:left w:val="single" w:sz="8" w:color="3C5896"/>
            </w:tcBorders>
            <w:shd w:val="clear" w:color="auto" w:fill="CCCCCC"/>
          </w:tcPr>
          <w:p>
            <w:pPr>
              <w:spacing w:after="0"/>
              <w:rPr>
                <w:sz w:val="2"/>
                <w:szCs w:val="2"/>
                <w:color w:val="auto"/>
              </w:rPr>
            </w:pPr>
          </w:p>
        </w:tc>
        <w:tc>
          <w:tcPr>
            <w:tcW w:w="4160" w:type="dxa"/>
            <w:vAlign w:val="bottom"/>
            <w:tcBorders>
              <w:right w:val="single" w:sz="8" w:color="9EACCA"/>
            </w:tcBorders>
            <w:vMerge w:val="continue"/>
            <w:shd w:val="clear" w:color="auto" w:fill="CCCCCC"/>
          </w:tcPr>
          <w:p>
            <w:pPr>
              <w:spacing w:after="0"/>
              <w:rPr>
                <w:sz w:val="2"/>
                <w:szCs w:val="2"/>
                <w:color w:val="auto"/>
              </w:rPr>
            </w:pPr>
          </w:p>
        </w:tc>
        <w:tc>
          <w:tcPr>
            <w:tcW w:w="60" w:type="dxa"/>
            <w:vAlign w:val="bottom"/>
            <w:shd w:val="clear" w:color="auto" w:fill="CCCCCC"/>
          </w:tcPr>
          <w:p>
            <w:pPr>
              <w:spacing w:after="0"/>
              <w:rPr>
                <w:sz w:val="2"/>
                <w:szCs w:val="2"/>
                <w:color w:val="auto"/>
              </w:rPr>
            </w:pPr>
          </w:p>
        </w:tc>
        <w:tc>
          <w:tcPr>
            <w:tcW w:w="78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1,440,000</w:t>
            </w:r>
          </w:p>
        </w:tc>
        <w:tc>
          <w:tcPr>
            <w:tcW w:w="100" w:type="dxa"/>
            <w:vAlign w:val="bottom"/>
            <w:tcBorders>
              <w:right w:val="single" w:sz="8" w:color="9EACCA"/>
            </w:tcBorders>
            <w:shd w:val="clear" w:color="auto" w:fill="CCCCCC"/>
          </w:tcPr>
          <w:p>
            <w:pPr>
              <w:spacing w:after="0"/>
              <w:rPr>
                <w:sz w:val="2"/>
                <w:szCs w:val="2"/>
                <w:color w:val="auto"/>
              </w:rPr>
            </w:pPr>
          </w:p>
        </w:tc>
        <w:tc>
          <w:tcPr>
            <w:tcW w:w="280" w:type="dxa"/>
            <w:vAlign w:val="bottom"/>
            <w:shd w:val="clear" w:color="auto" w:fill="CCCCCC"/>
          </w:tcPr>
          <w:p>
            <w:pPr>
              <w:spacing w:after="0"/>
              <w:rPr>
                <w:sz w:val="2"/>
                <w:szCs w:val="2"/>
                <w:color w:val="auto"/>
              </w:rPr>
            </w:pPr>
          </w:p>
        </w:tc>
        <w:tc>
          <w:tcPr>
            <w:tcW w:w="50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9EACCA"/>
            </w:tcBorders>
            <w:shd w:val="clear" w:color="auto" w:fill="CCCCCC"/>
          </w:tcPr>
          <w:p>
            <w:pPr>
              <w:spacing w:after="0"/>
              <w:rPr>
                <w:sz w:val="2"/>
                <w:szCs w:val="2"/>
                <w:color w:val="auto"/>
              </w:rPr>
            </w:pPr>
          </w:p>
        </w:tc>
        <w:tc>
          <w:tcPr>
            <w:tcW w:w="80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6"/>
                <w:szCs w:val="16"/>
                <w:color w:val="auto"/>
              </w:rPr>
              <w:t>342,047</w:t>
            </w:r>
          </w:p>
        </w:tc>
        <w:tc>
          <w:tcPr>
            <w:tcW w:w="160" w:type="dxa"/>
            <w:vAlign w:val="bottom"/>
            <w:shd w:val="clear" w:color="auto" w:fill="CCCCCC"/>
          </w:tcPr>
          <w:p>
            <w:pPr>
              <w:spacing w:after="0"/>
              <w:rPr>
                <w:sz w:val="2"/>
                <w:szCs w:val="2"/>
                <w:color w:val="auto"/>
              </w:rPr>
            </w:pPr>
          </w:p>
        </w:tc>
        <w:tc>
          <w:tcPr>
            <w:tcW w:w="76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282,211</w:t>
            </w:r>
          </w:p>
        </w:tc>
        <w:tc>
          <w:tcPr>
            <w:tcW w:w="200" w:type="dxa"/>
            <w:vAlign w:val="bottom"/>
            <w:tcBorders>
              <w:right w:val="single" w:sz="8" w:color="9EACCA"/>
            </w:tcBorders>
            <w:shd w:val="clear" w:color="auto" w:fill="CCCCCC"/>
          </w:tcPr>
          <w:p>
            <w:pPr>
              <w:spacing w:after="0"/>
              <w:rPr>
                <w:sz w:val="2"/>
                <w:szCs w:val="2"/>
                <w:color w:val="auto"/>
              </w:rPr>
            </w:pPr>
          </w:p>
        </w:tc>
        <w:tc>
          <w:tcPr>
            <w:tcW w:w="180" w:type="dxa"/>
            <w:vAlign w:val="bottom"/>
            <w:shd w:val="clear" w:color="auto" w:fill="CCCCCC"/>
          </w:tcPr>
          <w:p>
            <w:pPr>
              <w:spacing w:after="0"/>
              <w:rPr>
                <w:sz w:val="2"/>
                <w:szCs w:val="2"/>
                <w:color w:val="auto"/>
              </w:rPr>
            </w:pPr>
          </w:p>
        </w:tc>
        <w:tc>
          <w:tcPr>
            <w:tcW w:w="58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w w:val="96"/>
              </w:rPr>
              <w:t>363,339</w:t>
            </w:r>
          </w:p>
        </w:tc>
        <w:tc>
          <w:tcPr>
            <w:tcW w:w="240" w:type="dxa"/>
            <w:vAlign w:val="bottom"/>
            <w:tcBorders>
              <w:right w:val="single" w:sz="8" w:color="3C5896"/>
            </w:tcBorders>
            <w:shd w:val="clear" w:color="auto" w:fill="CCCC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left w:val="single" w:sz="8" w:color="3C5896"/>
            </w:tcBorders>
            <w:shd w:val="clear" w:color="auto" w:fill="CCCCCC"/>
          </w:tcPr>
          <w:p>
            <w:pPr>
              <w:spacing w:after="0"/>
              <w:rPr>
                <w:sz w:val="19"/>
                <w:szCs w:val="19"/>
                <w:color w:val="auto"/>
              </w:rPr>
            </w:pPr>
          </w:p>
        </w:tc>
        <w:tc>
          <w:tcPr>
            <w:tcW w:w="41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60" w:type="dxa"/>
            <w:vAlign w:val="bottom"/>
            <w:shd w:val="clear" w:color="auto" w:fill="CCCCCC"/>
          </w:tcPr>
          <w:p>
            <w:pPr>
              <w:spacing w:after="0"/>
              <w:rPr>
                <w:sz w:val="19"/>
                <w:szCs w:val="19"/>
                <w:color w:val="auto"/>
              </w:rPr>
            </w:pPr>
          </w:p>
        </w:tc>
        <w:tc>
          <w:tcPr>
            <w:tcW w:w="780" w:type="dxa"/>
            <w:vAlign w:val="bottom"/>
            <w:vMerge w:val="continue"/>
            <w:shd w:val="clear" w:color="auto" w:fill="CCCCCC"/>
          </w:tcPr>
          <w:p>
            <w:pPr>
              <w:spacing w:after="0"/>
              <w:rPr>
                <w:sz w:val="19"/>
                <w:szCs w:val="19"/>
                <w:color w:val="auto"/>
              </w:rPr>
            </w:pPr>
          </w:p>
        </w:tc>
        <w:tc>
          <w:tcPr>
            <w:tcW w:w="100" w:type="dxa"/>
            <w:vAlign w:val="bottom"/>
            <w:tcBorders>
              <w:right w:val="single" w:sz="8" w:color="9EACCA"/>
            </w:tcBorders>
            <w:shd w:val="clear" w:color="auto" w:fill="CCCCCC"/>
          </w:tcPr>
          <w:p>
            <w:pPr>
              <w:spacing w:after="0"/>
              <w:rPr>
                <w:sz w:val="19"/>
                <w:szCs w:val="19"/>
                <w:color w:val="auto"/>
              </w:rPr>
            </w:pPr>
          </w:p>
        </w:tc>
        <w:tc>
          <w:tcPr>
            <w:tcW w:w="280" w:type="dxa"/>
            <w:vAlign w:val="bottom"/>
            <w:shd w:val="clear" w:color="auto" w:fill="CCCCCC"/>
          </w:tcPr>
          <w:p>
            <w:pPr>
              <w:spacing w:after="0"/>
              <w:rPr>
                <w:sz w:val="19"/>
                <w:szCs w:val="19"/>
                <w:color w:val="auto"/>
              </w:rPr>
            </w:pPr>
          </w:p>
        </w:tc>
        <w:tc>
          <w:tcPr>
            <w:tcW w:w="500" w:type="dxa"/>
            <w:vAlign w:val="bottom"/>
            <w:vMerge w:val="continue"/>
            <w:shd w:val="clear" w:color="auto" w:fill="CCCCCC"/>
          </w:tcPr>
          <w:p>
            <w:pPr>
              <w:spacing w:after="0"/>
              <w:rPr>
                <w:sz w:val="19"/>
                <w:szCs w:val="19"/>
                <w:color w:val="auto"/>
              </w:rPr>
            </w:pPr>
          </w:p>
        </w:tc>
        <w:tc>
          <w:tcPr>
            <w:tcW w:w="34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vMerge w:val="continue"/>
            <w:shd w:val="clear" w:color="auto" w:fill="CCCCCC"/>
          </w:tcPr>
          <w:p>
            <w:pPr>
              <w:spacing w:after="0"/>
              <w:rPr>
                <w:sz w:val="19"/>
                <w:szCs w:val="19"/>
                <w:color w:val="auto"/>
              </w:rPr>
            </w:pPr>
          </w:p>
        </w:tc>
        <w:tc>
          <w:tcPr>
            <w:tcW w:w="160" w:type="dxa"/>
            <w:vAlign w:val="bottom"/>
            <w:shd w:val="clear" w:color="auto" w:fill="CCCCCC"/>
          </w:tcPr>
          <w:p>
            <w:pPr>
              <w:spacing w:after="0"/>
              <w:rPr>
                <w:sz w:val="19"/>
                <w:szCs w:val="19"/>
                <w:color w:val="auto"/>
              </w:rPr>
            </w:pPr>
          </w:p>
        </w:tc>
        <w:tc>
          <w:tcPr>
            <w:tcW w:w="760" w:type="dxa"/>
            <w:vAlign w:val="bottom"/>
            <w:vMerge w:val="continue"/>
            <w:shd w:val="clear" w:color="auto" w:fill="CCCCCC"/>
          </w:tcPr>
          <w:p>
            <w:pPr>
              <w:spacing w:after="0"/>
              <w:rPr>
                <w:sz w:val="19"/>
                <w:szCs w:val="19"/>
                <w:color w:val="auto"/>
              </w:rPr>
            </w:pPr>
          </w:p>
        </w:tc>
        <w:tc>
          <w:tcPr>
            <w:tcW w:w="200" w:type="dxa"/>
            <w:vAlign w:val="bottom"/>
            <w:tcBorders>
              <w:right w:val="single" w:sz="8" w:color="9EACCA"/>
            </w:tcBorders>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580" w:type="dxa"/>
            <w:vAlign w:val="bottom"/>
            <w:vMerge w:val="continue"/>
            <w:shd w:val="clear" w:color="auto" w:fill="CCCCCC"/>
          </w:tcPr>
          <w:p>
            <w:pPr>
              <w:spacing w:after="0"/>
              <w:rPr>
                <w:sz w:val="19"/>
                <w:szCs w:val="19"/>
                <w:color w:val="auto"/>
              </w:rPr>
            </w:pPr>
          </w:p>
        </w:tc>
        <w:tc>
          <w:tcPr>
            <w:tcW w:w="240" w:type="dxa"/>
            <w:vAlign w:val="bottom"/>
            <w:tcBorders>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3C5896"/>
            </w:tcBorders>
            <w:shd w:val="clear" w:color="auto" w:fill="CCCCCC"/>
          </w:tcPr>
          <w:p>
            <w:pPr>
              <w:spacing w:after="0"/>
              <w:rPr>
                <w:sz w:val="21"/>
                <w:szCs w:val="21"/>
                <w:color w:val="auto"/>
              </w:rPr>
            </w:pPr>
          </w:p>
        </w:tc>
        <w:tc>
          <w:tcPr>
            <w:tcW w:w="41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shd w:val="clear" w:color="auto" w:fill="CCCCCC"/>
          </w:tcPr>
          <w:p>
            <w:pPr>
              <w:spacing w:after="0"/>
              <w:rPr>
                <w:sz w:val="21"/>
                <w:szCs w:val="21"/>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9EACCA"/>
            </w:tcBorders>
            <w:shd w:val="clear" w:color="auto" w:fill="CCCCCC"/>
          </w:tcPr>
          <w:p>
            <w:pPr>
              <w:spacing w:after="0"/>
              <w:rPr>
                <w:sz w:val="21"/>
                <w:szCs w:val="21"/>
                <w:color w:val="auto"/>
              </w:rPr>
            </w:pPr>
          </w:p>
        </w:tc>
        <w:tc>
          <w:tcPr>
            <w:tcW w:w="280" w:type="dxa"/>
            <w:vAlign w:val="bottom"/>
            <w:shd w:val="clear" w:color="auto" w:fill="CCCCCC"/>
          </w:tcPr>
          <w:p>
            <w:pPr>
              <w:spacing w:after="0"/>
              <w:rPr>
                <w:sz w:val="21"/>
                <w:szCs w:val="21"/>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9EACCA"/>
            </w:tcBorders>
            <w:shd w:val="clear" w:color="auto" w:fill="CCCCCC"/>
          </w:tcPr>
          <w:p>
            <w:pPr>
              <w:spacing w:after="0"/>
              <w:rPr>
                <w:sz w:val="21"/>
                <w:szCs w:val="21"/>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342,047</w:t>
            </w:r>
          </w:p>
        </w:tc>
        <w:tc>
          <w:tcPr>
            <w:tcW w:w="160" w:type="dxa"/>
            <w:vAlign w:val="bottom"/>
            <w:shd w:val="clear" w:color="auto" w:fill="CCCCCC"/>
          </w:tcPr>
          <w:p>
            <w:pPr>
              <w:spacing w:after="0"/>
              <w:rPr>
                <w:sz w:val="21"/>
                <w:szCs w:val="21"/>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282,211</w:t>
            </w:r>
          </w:p>
        </w:tc>
        <w:tc>
          <w:tcPr>
            <w:tcW w:w="200" w:type="dxa"/>
            <w:vAlign w:val="bottom"/>
            <w:tcBorders>
              <w:right w:val="single" w:sz="8" w:color="9EACCA"/>
            </w:tcBorders>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6"/>
                <w:szCs w:val="16"/>
                <w:color w:val="auto"/>
                <w:w w:val="96"/>
              </w:rPr>
              <w:t>363,339</w:t>
            </w:r>
          </w:p>
        </w:tc>
        <w:tc>
          <w:tcPr>
            <w:tcW w:w="240" w:type="dxa"/>
            <w:vAlign w:val="bottom"/>
            <w:tcBorders>
              <w:right w:val="single" w:sz="8" w:color="3C5896"/>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Jared Brandman</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right w:val="single" w:sz="8" w:color="9EACCA"/>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Borders>
              <w:right w:val="single" w:sz="8" w:color="9EACCA"/>
            </w:tcBorders>
          </w:tcPr>
          <w:p>
            <w:pPr>
              <w:spacing w:after="0"/>
              <w:rPr>
                <w:sz w:val="20"/>
                <w:szCs w:val="20"/>
                <w:color w:val="auto"/>
              </w:rPr>
            </w:pPr>
          </w:p>
        </w:tc>
        <w:tc>
          <w:tcPr>
            <w:tcW w:w="800" w:type="dxa"/>
            <w:vAlign w:val="bottom"/>
            <w:tcBorders>
              <w:right w:val="single" w:sz="8" w:color="9EACCA"/>
            </w:tcBorders>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right w:val="single" w:sz="8" w:color="9EACCA"/>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4160" w:type="dxa"/>
            <w:vAlign w:val="bottom"/>
            <w:tcBorders>
              <w:right w:val="single" w:sz="8" w:color="9EACCA"/>
            </w:tcBorders>
            <w:vMerge w:val="restart"/>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40" w:type="dxa"/>
            <w:vAlign w:val="bottom"/>
            <w:tcBorders>
              <w:right w:val="single" w:sz="8" w:color="9EACCA"/>
            </w:tcBorders>
            <w:gridSpan w:val="3"/>
          </w:tcPr>
          <w:p>
            <w:pPr>
              <w:jc w:val="right"/>
              <w:ind w:right="100"/>
              <w:spacing w:after="0"/>
              <w:rPr>
                <w:sz w:val="20"/>
                <w:szCs w:val="20"/>
                <w:color w:val="auto"/>
              </w:rPr>
            </w:pPr>
            <w:r>
              <w:rPr>
                <w:rFonts w:ascii="Arial" w:cs="Arial" w:eastAsia="Arial" w:hAnsi="Arial"/>
                <w:sz w:val="16"/>
                <w:szCs w:val="16"/>
                <w:color w:val="auto"/>
              </w:rPr>
              <w:t>675,000</w:t>
            </w:r>
          </w:p>
        </w:tc>
        <w:tc>
          <w:tcPr>
            <w:tcW w:w="1120" w:type="dxa"/>
            <w:vAlign w:val="bottom"/>
            <w:tcBorders>
              <w:right w:val="single" w:sz="8" w:color="9EACCA"/>
            </w:tcBorders>
            <w:gridSpan w:val="3"/>
          </w:tcPr>
          <w:p>
            <w:pPr>
              <w:jc w:val="right"/>
              <w:ind w:right="340"/>
              <w:spacing w:after="0"/>
              <w:rPr>
                <w:sz w:val="20"/>
                <w:szCs w:val="20"/>
                <w:color w:val="auto"/>
              </w:rPr>
            </w:pPr>
            <w:r>
              <w:rPr>
                <w:rFonts w:ascii="Arial" w:cs="Arial" w:eastAsia="Arial" w:hAnsi="Arial"/>
                <w:sz w:val="16"/>
                <w:szCs w:val="16"/>
                <w:color w:val="auto"/>
              </w:rPr>
              <w:t>34,307</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9EACCA"/>
            </w:tcBorders>
            <w:gridSpan w:val="3"/>
          </w:tcPr>
          <w:p>
            <w:pPr>
              <w:jc w:val="right"/>
              <w:ind w:right="200"/>
              <w:spacing w:after="0"/>
              <w:rPr>
                <w:sz w:val="20"/>
                <w:szCs w:val="20"/>
                <w:color w:val="auto"/>
              </w:rPr>
            </w:pPr>
            <w:r>
              <w:rPr>
                <w:rFonts w:ascii="Arial" w:cs="Arial" w:eastAsia="Arial" w:hAnsi="Arial"/>
                <w:sz w:val="16"/>
                <w:szCs w:val="16"/>
                <w:color w:val="auto"/>
              </w:rPr>
              <w:t>32,298</w:t>
            </w:r>
          </w:p>
        </w:tc>
        <w:tc>
          <w:tcPr>
            <w:tcW w:w="180" w:type="dxa"/>
            <w:vAlign w:val="bottom"/>
          </w:tcPr>
          <w:p>
            <w:pPr>
              <w:spacing w:after="0"/>
              <w:rPr>
                <w:sz w:val="17"/>
                <w:szCs w:val="17"/>
                <w:color w:val="auto"/>
              </w:rPr>
            </w:pPr>
          </w:p>
        </w:tc>
        <w:tc>
          <w:tcPr>
            <w:tcW w:w="820" w:type="dxa"/>
            <w:vAlign w:val="bottom"/>
            <w:tcBorders>
              <w:right w:val="single" w:sz="8" w:color="3C5896"/>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left w:val="single" w:sz="8" w:color="3C5896"/>
            </w:tcBorders>
          </w:tcPr>
          <w:p>
            <w:pPr>
              <w:spacing w:after="0"/>
              <w:rPr>
                <w:sz w:val="5"/>
                <w:szCs w:val="5"/>
                <w:color w:val="auto"/>
              </w:rPr>
            </w:pPr>
          </w:p>
        </w:tc>
        <w:tc>
          <w:tcPr>
            <w:tcW w:w="4160" w:type="dxa"/>
            <w:vAlign w:val="bottom"/>
            <w:tcBorders>
              <w:right w:val="single" w:sz="8" w:color="9EACCA"/>
            </w:tcBorders>
            <w:vMerge w:val="continue"/>
          </w:tcPr>
          <w:p>
            <w:pPr>
              <w:spacing w:after="0"/>
              <w:rPr>
                <w:sz w:val="5"/>
                <w:szCs w:val="5"/>
                <w:color w:val="auto"/>
              </w:rPr>
            </w:pPr>
          </w:p>
        </w:tc>
        <w:tc>
          <w:tcPr>
            <w:tcW w:w="940" w:type="dxa"/>
            <w:vAlign w:val="bottom"/>
            <w:tcBorders>
              <w:right w:val="single" w:sz="8" w:color="9EACCA"/>
            </w:tcBorders>
            <w:gridSpan w:val="3"/>
            <w:vMerge w:val="restart"/>
          </w:tcPr>
          <w:p>
            <w:pPr>
              <w:jc w:val="right"/>
              <w:ind w:right="100"/>
              <w:spacing w:after="0"/>
              <w:rPr>
                <w:sz w:val="20"/>
                <w:szCs w:val="20"/>
                <w:color w:val="auto"/>
              </w:rPr>
            </w:pPr>
            <w:r>
              <w:rPr>
                <w:rFonts w:ascii="Arial" w:cs="Arial" w:eastAsia="Arial" w:hAnsi="Arial"/>
                <w:sz w:val="16"/>
                <w:szCs w:val="16"/>
                <w:color w:val="auto"/>
              </w:rPr>
              <w:t>900,000</w:t>
            </w:r>
          </w:p>
        </w:tc>
        <w:tc>
          <w:tcPr>
            <w:tcW w:w="1120" w:type="dxa"/>
            <w:vAlign w:val="bottom"/>
            <w:tcBorders>
              <w:right w:val="single" w:sz="8" w:color="9EACCA"/>
            </w:tcBorders>
            <w:gridSpan w:val="3"/>
            <w:vMerge w:val="restart"/>
          </w:tcPr>
          <w:p>
            <w:pPr>
              <w:jc w:val="right"/>
              <w:ind w:right="340"/>
              <w:spacing w:after="0"/>
              <w:rPr>
                <w:sz w:val="20"/>
                <w:szCs w:val="20"/>
                <w:color w:val="auto"/>
              </w:rPr>
            </w:pPr>
            <w:r>
              <w:rPr>
                <w:rFonts w:ascii="Arial" w:cs="Arial" w:eastAsia="Arial" w:hAnsi="Arial"/>
                <w:sz w:val="16"/>
                <w:szCs w:val="16"/>
                <w:color w:val="auto"/>
              </w:rPr>
              <w:t>45,743</w:t>
            </w:r>
          </w:p>
        </w:tc>
        <w:tc>
          <w:tcPr>
            <w:tcW w:w="80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9EACCA"/>
            </w:tcBorders>
            <w:gridSpan w:val="3"/>
            <w:vMerge w:val="restart"/>
          </w:tcPr>
          <w:p>
            <w:pPr>
              <w:jc w:val="right"/>
              <w:ind w:right="200"/>
              <w:spacing w:after="0"/>
              <w:rPr>
                <w:sz w:val="20"/>
                <w:szCs w:val="20"/>
                <w:color w:val="auto"/>
              </w:rPr>
            </w:pPr>
            <w:r>
              <w:rPr>
                <w:rFonts w:ascii="Arial" w:cs="Arial" w:eastAsia="Arial" w:hAnsi="Arial"/>
                <w:sz w:val="16"/>
                <w:szCs w:val="16"/>
                <w:color w:val="auto"/>
              </w:rPr>
              <w:t>117,604</w:t>
            </w:r>
          </w:p>
        </w:tc>
        <w:tc>
          <w:tcPr>
            <w:tcW w:w="1000" w:type="dxa"/>
            <w:vAlign w:val="bottom"/>
            <w:tcBorders>
              <w:right w:val="single" w:sz="8" w:color="3C5896"/>
            </w:tcBorders>
            <w:gridSpan w:val="3"/>
            <w:vMerge w:val="restart"/>
          </w:tcPr>
          <w:p>
            <w:pPr>
              <w:jc w:val="right"/>
              <w:ind w:right="240"/>
              <w:spacing w:after="0"/>
              <w:rPr>
                <w:sz w:val="20"/>
                <w:szCs w:val="20"/>
                <w:color w:val="auto"/>
              </w:rPr>
            </w:pPr>
            <w:r>
              <w:rPr>
                <w:rFonts w:ascii="Arial" w:cs="Arial" w:eastAsia="Arial" w:hAnsi="Arial"/>
                <w:sz w:val="16"/>
                <w:szCs w:val="16"/>
                <w:color w:val="auto"/>
              </w:rPr>
              <w:t>363,339</w:t>
            </w:r>
          </w:p>
        </w:tc>
        <w:tc>
          <w:tcPr>
            <w:tcW w:w="0" w:type="dxa"/>
            <w:vAlign w:val="bottom"/>
          </w:tcPr>
          <w:p>
            <w:pPr>
              <w:spacing w:after="0"/>
              <w:rPr>
                <w:sz w:val="1"/>
                <w:szCs w:val="1"/>
                <w:color w:val="auto"/>
              </w:rPr>
            </w:pPr>
          </w:p>
        </w:tc>
      </w:tr>
      <w:tr>
        <w:trPr>
          <w:trHeight w:val="210"/>
        </w:trPr>
        <w:tc>
          <w:tcPr>
            <w:tcW w:w="60" w:type="dxa"/>
            <w:vAlign w:val="bottom"/>
            <w:tcBorders>
              <w:left w:val="single" w:sz="8" w:color="3C5896"/>
            </w:tcBorders>
          </w:tcPr>
          <w:p>
            <w:pPr>
              <w:spacing w:after="0"/>
              <w:rPr>
                <w:sz w:val="18"/>
                <w:szCs w:val="18"/>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940" w:type="dxa"/>
            <w:vAlign w:val="bottom"/>
            <w:tcBorders>
              <w:right w:val="single" w:sz="8" w:color="9EACCA"/>
            </w:tcBorders>
            <w:gridSpan w:val="3"/>
            <w:vMerge w:val="continue"/>
          </w:tcPr>
          <w:p>
            <w:pPr>
              <w:spacing w:after="0"/>
              <w:rPr>
                <w:sz w:val="18"/>
                <w:szCs w:val="18"/>
                <w:color w:val="auto"/>
              </w:rPr>
            </w:pPr>
          </w:p>
        </w:tc>
        <w:tc>
          <w:tcPr>
            <w:tcW w:w="1120" w:type="dxa"/>
            <w:vAlign w:val="bottom"/>
            <w:tcBorders>
              <w:right w:val="single" w:sz="8" w:color="9EACCA"/>
            </w:tcBorders>
            <w:gridSpan w:val="3"/>
            <w:vMerge w:val="continue"/>
          </w:tcPr>
          <w:p>
            <w:pPr>
              <w:spacing w:after="0"/>
              <w:rPr>
                <w:sz w:val="18"/>
                <w:szCs w:val="18"/>
                <w:color w:val="auto"/>
              </w:rPr>
            </w:pPr>
          </w:p>
        </w:tc>
        <w:tc>
          <w:tcPr>
            <w:tcW w:w="800" w:type="dxa"/>
            <w:vAlign w:val="bottom"/>
            <w:tcBorders>
              <w:right w:val="single" w:sz="8" w:color="9EACCA"/>
            </w:tcBorders>
            <w:vMerge w:val="continue"/>
          </w:tcPr>
          <w:p>
            <w:pPr>
              <w:spacing w:after="0"/>
              <w:rPr>
                <w:sz w:val="18"/>
                <w:szCs w:val="18"/>
                <w:color w:val="auto"/>
              </w:rPr>
            </w:pPr>
          </w:p>
        </w:tc>
        <w:tc>
          <w:tcPr>
            <w:tcW w:w="1120" w:type="dxa"/>
            <w:vAlign w:val="bottom"/>
            <w:tcBorders>
              <w:right w:val="single" w:sz="8" w:color="9EACCA"/>
            </w:tcBorders>
            <w:gridSpan w:val="3"/>
            <w:vMerge w:val="continue"/>
          </w:tcPr>
          <w:p>
            <w:pPr>
              <w:spacing w:after="0"/>
              <w:rPr>
                <w:sz w:val="18"/>
                <w:szCs w:val="18"/>
                <w:color w:val="auto"/>
              </w:rPr>
            </w:pPr>
          </w:p>
        </w:tc>
        <w:tc>
          <w:tcPr>
            <w:tcW w:w="1000" w:type="dxa"/>
            <w:vAlign w:val="bottom"/>
            <w:tcBorders>
              <w:right w:val="single" w:sz="8" w:color="3C5896"/>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 w:type="dxa"/>
            <w:vAlign w:val="bottom"/>
            <w:tcBorders>
              <w:left w:val="single" w:sz="8" w:color="3C5896"/>
            </w:tcBorders>
          </w:tcPr>
          <w:p>
            <w:pPr>
              <w:spacing w:after="0"/>
              <w:rPr>
                <w:sz w:val="19"/>
                <w:szCs w:val="19"/>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Pr>
          <w:p>
            <w:pPr>
              <w:spacing w:after="0"/>
              <w:rPr>
                <w:sz w:val="19"/>
                <w:szCs w:val="19"/>
                <w:color w:val="auto"/>
              </w:rPr>
            </w:pPr>
          </w:p>
        </w:tc>
        <w:tc>
          <w:tcPr>
            <w:tcW w:w="880" w:type="dxa"/>
            <w:vAlign w:val="bottom"/>
            <w:tcBorders>
              <w:right w:val="single" w:sz="8" w:color="9EACCA"/>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9EACCA"/>
            </w:tcBorders>
            <w:gridSpan w:val="3"/>
          </w:tcPr>
          <w:p>
            <w:pPr>
              <w:jc w:val="right"/>
              <w:ind w:right="200"/>
              <w:spacing w:after="0"/>
              <w:rPr>
                <w:sz w:val="20"/>
                <w:szCs w:val="20"/>
                <w:color w:val="auto"/>
              </w:rPr>
            </w:pPr>
            <w:r>
              <w:rPr>
                <w:rFonts w:ascii="Arial" w:cs="Arial" w:eastAsia="Arial" w:hAnsi="Arial"/>
                <w:sz w:val="16"/>
                <w:szCs w:val="16"/>
                <w:color w:val="auto"/>
              </w:rPr>
              <w:t>117,604</w:t>
            </w:r>
          </w:p>
        </w:tc>
        <w:tc>
          <w:tcPr>
            <w:tcW w:w="1000" w:type="dxa"/>
            <w:vAlign w:val="bottom"/>
            <w:tcBorders>
              <w:right w:val="single" w:sz="8" w:color="3C5896"/>
            </w:tcBorders>
            <w:gridSpan w:val="3"/>
          </w:tcPr>
          <w:p>
            <w:pPr>
              <w:jc w:val="right"/>
              <w:ind w:right="240"/>
              <w:spacing w:after="0"/>
              <w:rPr>
                <w:sz w:val="20"/>
                <w:szCs w:val="20"/>
                <w:color w:val="auto"/>
              </w:rPr>
            </w:pPr>
            <w:r>
              <w:rPr>
                <w:rFonts w:ascii="Arial" w:cs="Arial" w:eastAsia="Arial" w:hAnsi="Arial"/>
                <w:sz w:val="16"/>
                <w:szCs w:val="16"/>
                <w:color w:val="auto"/>
              </w:rPr>
              <w:t>363,339</w:t>
            </w:r>
          </w:p>
        </w:tc>
        <w:tc>
          <w:tcPr>
            <w:tcW w:w="0" w:type="dxa"/>
            <w:vAlign w:val="bottom"/>
          </w:tcPr>
          <w:p>
            <w:pPr>
              <w:spacing w:after="0"/>
              <w:rPr>
                <w:sz w:val="1"/>
                <w:szCs w:val="1"/>
                <w:color w:val="auto"/>
              </w:rPr>
            </w:pPr>
          </w:p>
        </w:tc>
      </w:tr>
      <w:tr>
        <w:trPr>
          <w:trHeight w:val="233"/>
        </w:trPr>
        <w:tc>
          <w:tcPr>
            <w:tcW w:w="60" w:type="dxa"/>
            <w:vAlign w:val="bottom"/>
            <w:tcBorders>
              <w:left w:val="single" w:sz="8" w:color="3C5896"/>
            </w:tcBorders>
            <w:shd w:val="clear" w:color="auto" w:fill="CCCCCC"/>
          </w:tcPr>
          <w:p>
            <w:pPr>
              <w:spacing w:after="0"/>
              <w:rPr>
                <w:sz w:val="20"/>
                <w:szCs w:val="20"/>
                <w:color w:val="auto"/>
              </w:rPr>
            </w:pPr>
          </w:p>
        </w:tc>
        <w:tc>
          <w:tcPr>
            <w:tcW w:w="41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Bill Clark</w:t>
            </w:r>
          </w:p>
        </w:tc>
        <w:tc>
          <w:tcPr>
            <w:tcW w:w="60" w:type="dxa"/>
            <w:vAlign w:val="bottom"/>
            <w:shd w:val="clear" w:color="auto" w:fill="CCCCCC"/>
          </w:tcPr>
          <w:p>
            <w:pPr>
              <w:spacing w:after="0"/>
              <w:rPr>
                <w:sz w:val="20"/>
                <w:szCs w:val="20"/>
                <w:color w:val="auto"/>
              </w:rPr>
            </w:pPr>
          </w:p>
        </w:tc>
        <w:tc>
          <w:tcPr>
            <w:tcW w:w="780" w:type="dxa"/>
            <w:vAlign w:val="bottom"/>
            <w:shd w:val="clear" w:color="auto" w:fill="CCCCCC"/>
          </w:tcPr>
          <w:p>
            <w:pPr>
              <w:spacing w:after="0"/>
              <w:rPr>
                <w:sz w:val="20"/>
                <w:szCs w:val="20"/>
                <w:color w:val="auto"/>
              </w:rPr>
            </w:pPr>
          </w:p>
        </w:tc>
        <w:tc>
          <w:tcPr>
            <w:tcW w:w="100" w:type="dxa"/>
            <w:vAlign w:val="bottom"/>
            <w:tcBorders>
              <w:right w:val="single" w:sz="8" w:color="9EACCA"/>
            </w:tcBorders>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500" w:type="dxa"/>
            <w:vAlign w:val="bottom"/>
            <w:shd w:val="clear" w:color="auto" w:fill="CCCCCC"/>
          </w:tcPr>
          <w:p>
            <w:pPr>
              <w:spacing w:after="0"/>
              <w:rPr>
                <w:sz w:val="20"/>
                <w:szCs w:val="20"/>
                <w:color w:val="auto"/>
              </w:rPr>
            </w:pPr>
          </w:p>
        </w:tc>
        <w:tc>
          <w:tcPr>
            <w:tcW w:w="340" w:type="dxa"/>
            <w:vAlign w:val="bottom"/>
            <w:tcBorders>
              <w:right w:val="single" w:sz="8" w:color="9EACCA"/>
            </w:tcBorders>
            <w:shd w:val="clear" w:color="auto" w:fill="CCCCCC"/>
          </w:tcPr>
          <w:p>
            <w:pPr>
              <w:spacing w:after="0"/>
              <w:rPr>
                <w:sz w:val="20"/>
                <w:szCs w:val="20"/>
                <w:color w:val="auto"/>
              </w:rPr>
            </w:pPr>
          </w:p>
        </w:tc>
        <w:tc>
          <w:tcPr>
            <w:tcW w:w="800" w:type="dxa"/>
            <w:vAlign w:val="bottom"/>
            <w:tcBorders>
              <w:right w:val="single" w:sz="8" w:color="9EACCA"/>
            </w:tcBorders>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760" w:type="dxa"/>
            <w:vAlign w:val="bottom"/>
            <w:shd w:val="clear" w:color="auto" w:fill="CCCCCC"/>
          </w:tcPr>
          <w:p>
            <w:pPr>
              <w:spacing w:after="0"/>
              <w:rPr>
                <w:sz w:val="20"/>
                <w:szCs w:val="20"/>
                <w:color w:val="auto"/>
              </w:rPr>
            </w:pPr>
          </w:p>
        </w:tc>
        <w:tc>
          <w:tcPr>
            <w:tcW w:w="200" w:type="dxa"/>
            <w:vAlign w:val="bottom"/>
            <w:tcBorders>
              <w:right w:val="single" w:sz="8" w:color="9EACCA"/>
            </w:tcBorders>
            <w:shd w:val="clear" w:color="auto" w:fill="CCCCCC"/>
          </w:tcPr>
          <w:p>
            <w:pPr>
              <w:spacing w:after="0"/>
              <w:rPr>
                <w:sz w:val="20"/>
                <w:szCs w:val="20"/>
                <w:color w:val="auto"/>
              </w:rPr>
            </w:pPr>
          </w:p>
        </w:tc>
        <w:tc>
          <w:tcPr>
            <w:tcW w:w="180" w:type="dxa"/>
            <w:vAlign w:val="bottom"/>
            <w:shd w:val="clear" w:color="auto" w:fill="CCCCCC"/>
          </w:tcPr>
          <w:p>
            <w:pPr>
              <w:spacing w:after="0"/>
              <w:rPr>
                <w:sz w:val="20"/>
                <w:szCs w:val="20"/>
                <w:color w:val="auto"/>
              </w:rPr>
            </w:pPr>
          </w:p>
        </w:tc>
        <w:tc>
          <w:tcPr>
            <w:tcW w:w="580" w:type="dxa"/>
            <w:vAlign w:val="bottom"/>
            <w:shd w:val="clear" w:color="auto" w:fill="CCCCCC"/>
          </w:tcPr>
          <w:p>
            <w:pPr>
              <w:spacing w:after="0"/>
              <w:rPr>
                <w:sz w:val="20"/>
                <w:szCs w:val="20"/>
                <w:color w:val="auto"/>
              </w:rPr>
            </w:pPr>
          </w:p>
        </w:tc>
        <w:tc>
          <w:tcPr>
            <w:tcW w:w="240" w:type="dxa"/>
            <w:vAlign w:val="bottom"/>
            <w:tcBorders>
              <w:right w:val="single" w:sz="8" w:color="3C5896"/>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3C5896"/>
            </w:tcBorders>
            <w:shd w:val="clear" w:color="auto" w:fill="CCCCCC"/>
          </w:tcPr>
          <w:p>
            <w:pPr>
              <w:spacing w:after="0"/>
              <w:rPr>
                <w:sz w:val="18"/>
                <w:szCs w:val="18"/>
                <w:color w:val="auto"/>
              </w:rPr>
            </w:pPr>
          </w:p>
        </w:tc>
        <w:tc>
          <w:tcPr>
            <w:tcW w:w="4160" w:type="dxa"/>
            <w:vAlign w:val="bottom"/>
            <w:tcBorders>
              <w:right w:val="single" w:sz="8" w:color="9EACCA"/>
            </w:tcBorders>
            <w:vMerge w:val="restart"/>
            <w:shd w:val="clear" w:color="auto" w:fill="CCCCCC"/>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60" w:type="dxa"/>
            <w:vAlign w:val="bottom"/>
            <w:shd w:val="clear" w:color="auto" w:fill="CCCCCC"/>
          </w:tcPr>
          <w:p>
            <w:pPr>
              <w:spacing w:after="0"/>
              <w:rPr>
                <w:sz w:val="18"/>
                <w:szCs w:val="18"/>
                <w:color w:val="auto"/>
              </w:rPr>
            </w:pPr>
          </w:p>
        </w:tc>
        <w:tc>
          <w:tcPr>
            <w:tcW w:w="880" w:type="dxa"/>
            <w:vAlign w:val="bottom"/>
            <w:tcBorders>
              <w:right w:val="single" w:sz="8" w:color="9EACCA"/>
            </w:tcBorders>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480,000</w:t>
            </w:r>
          </w:p>
        </w:tc>
        <w:tc>
          <w:tcPr>
            <w:tcW w:w="280" w:type="dxa"/>
            <w:vAlign w:val="bottom"/>
            <w:shd w:val="clear" w:color="auto" w:fill="CCCCCC"/>
          </w:tcPr>
          <w:p>
            <w:pPr>
              <w:spacing w:after="0"/>
              <w:rPr>
                <w:sz w:val="18"/>
                <w:szCs w:val="18"/>
                <w:color w:val="auto"/>
              </w:rPr>
            </w:pPr>
          </w:p>
        </w:tc>
        <w:tc>
          <w:tcPr>
            <w:tcW w:w="84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6"/>
                <w:szCs w:val="16"/>
                <w:color w:val="auto"/>
                <w:w w:val="98"/>
              </w:rPr>
              <w:t>22,872</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CCCC"/>
          </w:tcPr>
          <w:p>
            <w:pPr>
              <w:spacing w:after="0"/>
              <w:rPr>
                <w:sz w:val="18"/>
                <w:szCs w:val="18"/>
                <w:color w:val="auto"/>
              </w:rPr>
            </w:pPr>
          </w:p>
        </w:tc>
        <w:tc>
          <w:tcPr>
            <w:tcW w:w="960" w:type="dxa"/>
            <w:vAlign w:val="bottom"/>
            <w:tcBorders>
              <w:right w:val="single" w:sz="8" w:color="9EACCA"/>
            </w:tcBorders>
            <w:gridSpan w:val="2"/>
            <w:shd w:val="clear" w:color="auto" w:fill="CCCCCC"/>
          </w:tcPr>
          <w:p>
            <w:pPr>
              <w:jc w:val="right"/>
              <w:ind w:right="200"/>
              <w:spacing w:after="0"/>
              <w:rPr>
                <w:sz w:val="20"/>
                <w:szCs w:val="20"/>
                <w:color w:val="auto"/>
              </w:rPr>
            </w:pPr>
            <w:r>
              <w:rPr>
                <w:rFonts w:ascii="Arial" w:cs="Arial" w:eastAsia="Arial" w:hAnsi="Arial"/>
                <w:sz w:val="16"/>
                <w:szCs w:val="16"/>
                <w:color w:val="auto"/>
              </w:rPr>
              <w:t>52,761</w:t>
            </w:r>
          </w:p>
        </w:tc>
        <w:tc>
          <w:tcPr>
            <w:tcW w:w="180" w:type="dxa"/>
            <w:vAlign w:val="bottom"/>
            <w:shd w:val="clear" w:color="auto" w:fill="CCCCCC"/>
          </w:tcPr>
          <w:p>
            <w:pPr>
              <w:spacing w:after="0"/>
              <w:rPr>
                <w:sz w:val="18"/>
                <w:szCs w:val="18"/>
                <w:color w:val="auto"/>
              </w:rPr>
            </w:pPr>
          </w:p>
        </w:tc>
        <w:tc>
          <w:tcPr>
            <w:tcW w:w="820" w:type="dxa"/>
            <w:vAlign w:val="bottom"/>
            <w:tcBorders>
              <w:right w:val="single" w:sz="8" w:color="3C5896"/>
            </w:tcBorders>
            <w:gridSpan w:val="2"/>
            <w:shd w:val="clear" w:color="auto" w:fill="CCCCCC"/>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 w:type="dxa"/>
            <w:vAlign w:val="bottom"/>
            <w:tcBorders>
              <w:left w:val="single" w:sz="8" w:color="3C5896"/>
            </w:tcBorders>
            <w:shd w:val="clear" w:color="auto" w:fill="CCCCCC"/>
          </w:tcPr>
          <w:p>
            <w:pPr>
              <w:spacing w:after="0"/>
              <w:rPr>
                <w:sz w:val="2"/>
                <w:szCs w:val="2"/>
                <w:color w:val="auto"/>
              </w:rPr>
            </w:pPr>
          </w:p>
        </w:tc>
        <w:tc>
          <w:tcPr>
            <w:tcW w:w="4160" w:type="dxa"/>
            <w:vAlign w:val="bottom"/>
            <w:tcBorders>
              <w:right w:val="single" w:sz="8" w:color="9EACCA"/>
            </w:tcBorders>
            <w:vMerge w:val="continue"/>
            <w:shd w:val="clear" w:color="auto" w:fill="CCCCCC"/>
          </w:tcPr>
          <w:p>
            <w:pPr>
              <w:spacing w:after="0"/>
              <w:rPr>
                <w:sz w:val="2"/>
                <w:szCs w:val="2"/>
                <w:color w:val="auto"/>
              </w:rPr>
            </w:pPr>
          </w:p>
        </w:tc>
        <w:tc>
          <w:tcPr>
            <w:tcW w:w="60" w:type="dxa"/>
            <w:vAlign w:val="bottom"/>
            <w:shd w:val="clear" w:color="auto" w:fill="CCCCCC"/>
          </w:tcPr>
          <w:p>
            <w:pPr>
              <w:spacing w:after="0"/>
              <w:rPr>
                <w:sz w:val="2"/>
                <w:szCs w:val="2"/>
                <w:color w:val="auto"/>
              </w:rPr>
            </w:pPr>
          </w:p>
        </w:tc>
        <w:tc>
          <w:tcPr>
            <w:tcW w:w="780" w:type="dxa"/>
            <w:vAlign w:val="bottom"/>
            <w:shd w:val="clear" w:color="auto" w:fill="CCCCCC"/>
          </w:tcPr>
          <w:p>
            <w:pPr>
              <w:spacing w:after="0"/>
              <w:rPr>
                <w:sz w:val="2"/>
                <w:szCs w:val="2"/>
                <w:color w:val="auto"/>
              </w:rPr>
            </w:pPr>
          </w:p>
        </w:tc>
        <w:tc>
          <w:tcPr>
            <w:tcW w:w="100" w:type="dxa"/>
            <w:vAlign w:val="bottom"/>
            <w:tcBorders>
              <w:right w:val="single" w:sz="8" w:color="9EACCA"/>
            </w:tcBorders>
            <w:shd w:val="clear" w:color="auto" w:fill="CCCCCC"/>
          </w:tcPr>
          <w:p>
            <w:pPr>
              <w:spacing w:after="0"/>
              <w:rPr>
                <w:sz w:val="2"/>
                <w:szCs w:val="2"/>
                <w:color w:val="auto"/>
              </w:rPr>
            </w:pPr>
          </w:p>
        </w:tc>
        <w:tc>
          <w:tcPr>
            <w:tcW w:w="280" w:type="dxa"/>
            <w:vAlign w:val="bottom"/>
            <w:shd w:val="clear" w:color="auto" w:fill="CCCCCC"/>
          </w:tcPr>
          <w:p>
            <w:pPr>
              <w:spacing w:after="0"/>
              <w:rPr>
                <w:sz w:val="2"/>
                <w:szCs w:val="2"/>
                <w:color w:val="auto"/>
              </w:rPr>
            </w:pPr>
          </w:p>
        </w:tc>
        <w:tc>
          <w:tcPr>
            <w:tcW w:w="500" w:type="dxa"/>
            <w:vAlign w:val="bottom"/>
            <w:shd w:val="clear" w:color="auto" w:fill="CCCCCC"/>
          </w:tcPr>
          <w:p>
            <w:pPr>
              <w:spacing w:after="0"/>
              <w:rPr>
                <w:sz w:val="2"/>
                <w:szCs w:val="2"/>
                <w:color w:val="auto"/>
              </w:rPr>
            </w:pPr>
          </w:p>
        </w:tc>
        <w:tc>
          <w:tcPr>
            <w:tcW w:w="340" w:type="dxa"/>
            <w:vAlign w:val="bottom"/>
            <w:tcBorders>
              <w:right w:val="single" w:sz="8" w:color="9EACCA"/>
            </w:tcBorders>
            <w:shd w:val="clear" w:color="auto" w:fill="CCCCCC"/>
          </w:tcPr>
          <w:p>
            <w:pPr>
              <w:spacing w:after="0"/>
              <w:rPr>
                <w:sz w:val="2"/>
                <w:szCs w:val="2"/>
                <w:color w:val="auto"/>
              </w:rPr>
            </w:pPr>
          </w:p>
        </w:tc>
        <w:tc>
          <w:tcPr>
            <w:tcW w:w="800" w:type="dxa"/>
            <w:vAlign w:val="bottom"/>
            <w:tcBorders>
              <w:right w:val="single" w:sz="8" w:color="9EACCA"/>
            </w:tcBorders>
            <w:shd w:val="clear" w:color="auto" w:fill="CCCCCC"/>
          </w:tcPr>
          <w:p>
            <w:pPr>
              <w:spacing w:after="0"/>
              <w:rPr>
                <w:sz w:val="2"/>
                <w:szCs w:val="2"/>
                <w:color w:val="auto"/>
              </w:rPr>
            </w:pPr>
          </w:p>
        </w:tc>
        <w:tc>
          <w:tcPr>
            <w:tcW w:w="160" w:type="dxa"/>
            <w:vAlign w:val="bottom"/>
            <w:shd w:val="clear" w:color="auto" w:fill="CCCCCC"/>
          </w:tcPr>
          <w:p>
            <w:pPr>
              <w:spacing w:after="0"/>
              <w:rPr>
                <w:sz w:val="2"/>
                <w:szCs w:val="2"/>
                <w:color w:val="auto"/>
              </w:rPr>
            </w:pPr>
          </w:p>
        </w:tc>
        <w:tc>
          <w:tcPr>
            <w:tcW w:w="760" w:type="dxa"/>
            <w:vAlign w:val="bottom"/>
            <w:shd w:val="clear" w:color="auto" w:fill="CCCCCC"/>
          </w:tcPr>
          <w:p>
            <w:pPr>
              <w:spacing w:after="0"/>
              <w:rPr>
                <w:sz w:val="2"/>
                <w:szCs w:val="2"/>
                <w:color w:val="auto"/>
              </w:rPr>
            </w:pPr>
          </w:p>
        </w:tc>
        <w:tc>
          <w:tcPr>
            <w:tcW w:w="200" w:type="dxa"/>
            <w:vAlign w:val="bottom"/>
            <w:tcBorders>
              <w:right w:val="single" w:sz="8" w:color="9EACCA"/>
            </w:tcBorders>
            <w:shd w:val="clear" w:color="auto" w:fill="CCCCCC"/>
          </w:tcPr>
          <w:p>
            <w:pPr>
              <w:spacing w:after="0"/>
              <w:rPr>
                <w:sz w:val="2"/>
                <w:szCs w:val="2"/>
                <w:color w:val="auto"/>
              </w:rPr>
            </w:pPr>
          </w:p>
        </w:tc>
        <w:tc>
          <w:tcPr>
            <w:tcW w:w="180" w:type="dxa"/>
            <w:vAlign w:val="bottom"/>
            <w:shd w:val="clear" w:color="auto" w:fill="CCCCCC"/>
          </w:tcPr>
          <w:p>
            <w:pPr>
              <w:spacing w:after="0"/>
              <w:rPr>
                <w:sz w:val="2"/>
                <w:szCs w:val="2"/>
                <w:color w:val="auto"/>
              </w:rPr>
            </w:pPr>
          </w:p>
        </w:tc>
        <w:tc>
          <w:tcPr>
            <w:tcW w:w="580" w:type="dxa"/>
            <w:vAlign w:val="bottom"/>
            <w:shd w:val="clear" w:color="auto" w:fill="CCCCCC"/>
          </w:tcPr>
          <w:p>
            <w:pPr>
              <w:spacing w:after="0"/>
              <w:rPr>
                <w:sz w:val="2"/>
                <w:szCs w:val="2"/>
                <w:color w:val="auto"/>
              </w:rPr>
            </w:pPr>
          </w:p>
        </w:tc>
        <w:tc>
          <w:tcPr>
            <w:tcW w:w="240" w:type="dxa"/>
            <w:vAlign w:val="bottom"/>
            <w:tcBorders>
              <w:right w:val="single" w:sz="8" w:color="3C5896"/>
            </w:tcBorders>
            <w:shd w:val="clear" w:color="auto" w:fill="CCCC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Borders>
              <w:left w:val="single" w:sz="8" w:color="3C5896"/>
            </w:tcBorders>
            <w:shd w:val="clear" w:color="auto" w:fill="CCCCCC"/>
          </w:tcPr>
          <w:p>
            <w:pPr>
              <w:spacing w:after="0"/>
              <w:rPr>
                <w:sz w:val="19"/>
                <w:szCs w:val="19"/>
                <w:color w:val="auto"/>
              </w:rPr>
            </w:pPr>
          </w:p>
        </w:tc>
        <w:tc>
          <w:tcPr>
            <w:tcW w:w="41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60" w:type="dxa"/>
            <w:vAlign w:val="bottom"/>
            <w:shd w:val="clear" w:color="auto" w:fill="CCCCCC"/>
          </w:tcPr>
          <w:p>
            <w:pPr>
              <w:spacing w:after="0"/>
              <w:rPr>
                <w:sz w:val="19"/>
                <w:szCs w:val="19"/>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720,000</w:t>
            </w:r>
          </w:p>
        </w:tc>
        <w:tc>
          <w:tcPr>
            <w:tcW w:w="100" w:type="dxa"/>
            <w:vAlign w:val="bottom"/>
            <w:tcBorders>
              <w:right w:val="single" w:sz="8" w:color="9EACCA"/>
            </w:tcBorders>
            <w:shd w:val="clear" w:color="auto" w:fill="CCCCCC"/>
          </w:tcPr>
          <w:p>
            <w:pPr>
              <w:spacing w:after="0"/>
              <w:rPr>
                <w:sz w:val="19"/>
                <w:szCs w:val="19"/>
                <w:color w:val="auto"/>
              </w:rPr>
            </w:pPr>
          </w:p>
        </w:tc>
        <w:tc>
          <w:tcPr>
            <w:tcW w:w="280" w:type="dxa"/>
            <w:vAlign w:val="bottom"/>
            <w:shd w:val="clear" w:color="auto" w:fill="CCCCCC"/>
          </w:tcPr>
          <w:p>
            <w:pPr>
              <w:spacing w:after="0"/>
              <w:rPr>
                <w:sz w:val="19"/>
                <w:szCs w:val="19"/>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w w:val="98"/>
              </w:rPr>
              <w:t>34,308</w:t>
            </w:r>
          </w:p>
        </w:tc>
        <w:tc>
          <w:tcPr>
            <w:tcW w:w="34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109,171</w:t>
            </w:r>
          </w:p>
        </w:tc>
        <w:tc>
          <w:tcPr>
            <w:tcW w:w="160" w:type="dxa"/>
            <w:vAlign w:val="bottom"/>
            <w:shd w:val="clear" w:color="auto" w:fill="CCCCCC"/>
          </w:tcPr>
          <w:p>
            <w:pPr>
              <w:spacing w:after="0"/>
              <w:rPr>
                <w:sz w:val="19"/>
                <w:szCs w:val="19"/>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290,585</w:t>
            </w:r>
          </w:p>
        </w:tc>
        <w:tc>
          <w:tcPr>
            <w:tcW w:w="200" w:type="dxa"/>
            <w:vAlign w:val="bottom"/>
            <w:tcBorders>
              <w:right w:val="single" w:sz="8" w:color="9EACCA"/>
            </w:tcBorders>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6"/>
                <w:szCs w:val="16"/>
                <w:color w:val="auto"/>
                <w:w w:val="96"/>
              </w:rPr>
              <w:t>363,339</w:t>
            </w:r>
          </w:p>
        </w:tc>
        <w:tc>
          <w:tcPr>
            <w:tcW w:w="240" w:type="dxa"/>
            <w:vAlign w:val="bottom"/>
            <w:tcBorders>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3C5896"/>
            </w:tcBorders>
            <w:shd w:val="clear" w:color="auto" w:fill="CCCCCC"/>
          </w:tcPr>
          <w:p>
            <w:pPr>
              <w:spacing w:after="0"/>
              <w:rPr>
                <w:sz w:val="21"/>
                <w:szCs w:val="21"/>
                <w:color w:val="auto"/>
              </w:rPr>
            </w:pPr>
          </w:p>
        </w:tc>
        <w:tc>
          <w:tcPr>
            <w:tcW w:w="41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shd w:val="clear" w:color="auto" w:fill="CCCCCC"/>
          </w:tcPr>
          <w:p>
            <w:pPr>
              <w:spacing w:after="0"/>
              <w:rPr>
                <w:sz w:val="21"/>
                <w:szCs w:val="21"/>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9EACCA"/>
            </w:tcBorders>
            <w:shd w:val="clear" w:color="auto" w:fill="CCCCCC"/>
          </w:tcPr>
          <w:p>
            <w:pPr>
              <w:spacing w:after="0"/>
              <w:rPr>
                <w:sz w:val="21"/>
                <w:szCs w:val="21"/>
                <w:color w:val="auto"/>
              </w:rPr>
            </w:pPr>
          </w:p>
        </w:tc>
        <w:tc>
          <w:tcPr>
            <w:tcW w:w="280" w:type="dxa"/>
            <w:vAlign w:val="bottom"/>
            <w:shd w:val="clear" w:color="auto" w:fill="CCCCCC"/>
          </w:tcPr>
          <w:p>
            <w:pPr>
              <w:spacing w:after="0"/>
              <w:rPr>
                <w:sz w:val="21"/>
                <w:szCs w:val="21"/>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9EACCA"/>
            </w:tcBorders>
            <w:shd w:val="clear" w:color="auto" w:fill="CCCCCC"/>
          </w:tcPr>
          <w:p>
            <w:pPr>
              <w:spacing w:after="0"/>
              <w:rPr>
                <w:sz w:val="21"/>
                <w:szCs w:val="21"/>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109,171</w:t>
            </w:r>
          </w:p>
        </w:tc>
        <w:tc>
          <w:tcPr>
            <w:tcW w:w="160" w:type="dxa"/>
            <w:vAlign w:val="bottom"/>
            <w:shd w:val="clear" w:color="auto" w:fill="CCCCCC"/>
          </w:tcPr>
          <w:p>
            <w:pPr>
              <w:spacing w:after="0"/>
              <w:rPr>
                <w:sz w:val="21"/>
                <w:szCs w:val="21"/>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290,585</w:t>
            </w:r>
          </w:p>
        </w:tc>
        <w:tc>
          <w:tcPr>
            <w:tcW w:w="200" w:type="dxa"/>
            <w:vAlign w:val="bottom"/>
            <w:tcBorders>
              <w:right w:val="single" w:sz="8" w:color="9EACCA"/>
            </w:tcBorders>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6"/>
                <w:szCs w:val="16"/>
                <w:color w:val="auto"/>
                <w:w w:val="96"/>
              </w:rPr>
              <w:t>363,339</w:t>
            </w:r>
          </w:p>
        </w:tc>
        <w:tc>
          <w:tcPr>
            <w:tcW w:w="240" w:type="dxa"/>
            <w:vAlign w:val="bottom"/>
            <w:tcBorders>
              <w:right w:val="single" w:sz="8" w:color="3C5896"/>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Melissa Rasmussen</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right w:val="single" w:sz="8" w:color="9EACCA"/>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Borders>
              <w:right w:val="single" w:sz="8" w:color="9EACCA"/>
            </w:tcBorders>
          </w:tcPr>
          <w:p>
            <w:pPr>
              <w:spacing w:after="0"/>
              <w:rPr>
                <w:sz w:val="20"/>
                <w:szCs w:val="20"/>
                <w:color w:val="auto"/>
              </w:rPr>
            </w:pPr>
          </w:p>
        </w:tc>
        <w:tc>
          <w:tcPr>
            <w:tcW w:w="800" w:type="dxa"/>
            <w:vAlign w:val="bottom"/>
            <w:tcBorders>
              <w:right w:val="single" w:sz="8" w:color="9EACCA"/>
            </w:tcBorders>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right w:val="single" w:sz="8" w:color="9EACCA"/>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4160" w:type="dxa"/>
            <w:vAlign w:val="bottom"/>
            <w:tcBorders>
              <w:right w:val="single" w:sz="8" w:color="9EACCA"/>
            </w:tcBorders>
            <w:vMerge w:val="restart"/>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40" w:type="dxa"/>
            <w:vAlign w:val="bottom"/>
            <w:tcBorders>
              <w:right w:val="single" w:sz="8" w:color="9EACCA"/>
            </w:tcBorders>
            <w:gridSpan w:val="3"/>
          </w:tcPr>
          <w:p>
            <w:pPr>
              <w:jc w:val="right"/>
              <w:ind w:right="100"/>
              <w:spacing w:after="0"/>
              <w:rPr>
                <w:sz w:val="20"/>
                <w:szCs w:val="20"/>
                <w:color w:val="auto"/>
              </w:rPr>
            </w:pPr>
            <w:r>
              <w:rPr>
                <w:rFonts w:ascii="Arial" w:cs="Arial" w:eastAsia="Arial" w:hAnsi="Arial"/>
                <w:sz w:val="16"/>
                <w:szCs w:val="16"/>
                <w:color w:val="auto"/>
              </w:rPr>
              <w:t>371,250</w:t>
            </w:r>
          </w:p>
        </w:tc>
        <w:tc>
          <w:tcPr>
            <w:tcW w:w="1120" w:type="dxa"/>
            <w:vAlign w:val="bottom"/>
            <w:tcBorders>
              <w:right w:val="single" w:sz="8" w:color="9EACCA"/>
            </w:tcBorders>
            <w:gridSpan w:val="3"/>
          </w:tcPr>
          <w:p>
            <w:pPr>
              <w:jc w:val="right"/>
              <w:ind w:right="340"/>
              <w:spacing w:after="0"/>
              <w:rPr>
                <w:sz w:val="20"/>
                <w:szCs w:val="20"/>
                <w:color w:val="auto"/>
              </w:rPr>
            </w:pPr>
            <w:r>
              <w:rPr>
                <w:rFonts w:ascii="Arial" w:cs="Arial" w:eastAsia="Arial" w:hAnsi="Arial"/>
                <w:sz w:val="16"/>
                <w:szCs w:val="16"/>
                <w:color w:val="auto"/>
              </w:rPr>
              <w:t>24,238</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9EACCA"/>
            </w:tcBorders>
            <w:gridSpan w:val="3"/>
          </w:tcPr>
          <w:p>
            <w:pPr>
              <w:jc w:val="right"/>
              <w:ind w:right="200"/>
              <w:spacing w:after="0"/>
              <w:rPr>
                <w:sz w:val="20"/>
                <w:szCs w:val="20"/>
                <w:color w:val="auto"/>
              </w:rPr>
            </w:pPr>
            <w:r>
              <w:rPr>
                <w:rFonts w:ascii="Arial" w:cs="Arial" w:eastAsia="Arial" w:hAnsi="Arial"/>
                <w:sz w:val="16"/>
                <w:szCs w:val="16"/>
                <w:color w:val="auto"/>
              </w:rPr>
              <w:t>11,501</w:t>
            </w:r>
          </w:p>
        </w:tc>
        <w:tc>
          <w:tcPr>
            <w:tcW w:w="180" w:type="dxa"/>
            <w:vAlign w:val="bottom"/>
          </w:tcPr>
          <w:p>
            <w:pPr>
              <w:spacing w:after="0"/>
              <w:rPr>
                <w:sz w:val="17"/>
                <w:szCs w:val="17"/>
                <w:color w:val="auto"/>
              </w:rPr>
            </w:pPr>
          </w:p>
        </w:tc>
        <w:tc>
          <w:tcPr>
            <w:tcW w:w="820" w:type="dxa"/>
            <w:vAlign w:val="bottom"/>
            <w:tcBorders>
              <w:right w:val="single" w:sz="8" w:color="3C5896"/>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left w:val="single" w:sz="8" w:color="3C5896"/>
            </w:tcBorders>
          </w:tcPr>
          <w:p>
            <w:pPr>
              <w:spacing w:after="0"/>
              <w:rPr>
                <w:sz w:val="5"/>
                <w:szCs w:val="5"/>
                <w:color w:val="auto"/>
              </w:rPr>
            </w:pPr>
          </w:p>
        </w:tc>
        <w:tc>
          <w:tcPr>
            <w:tcW w:w="4160" w:type="dxa"/>
            <w:vAlign w:val="bottom"/>
            <w:tcBorders>
              <w:right w:val="single" w:sz="8" w:color="9EACCA"/>
            </w:tcBorders>
            <w:vMerge w:val="continue"/>
          </w:tcPr>
          <w:p>
            <w:pPr>
              <w:spacing w:after="0"/>
              <w:rPr>
                <w:sz w:val="5"/>
                <w:szCs w:val="5"/>
                <w:color w:val="auto"/>
              </w:rPr>
            </w:pPr>
          </w:p>
        </w:tc>
        <w:tc>
          <w:tcPr>
            <w:tcW w:w="940" w:type="dxa"/>
            <w:vAlign w:val="bottom"/>
            <w:tcBorders>
              <w:right w:val="single" w:sz="8" w:color="9EACCA"/>
            </w:tcBorders>
            <w:gridSpan w:val="3"/>
            <w:vMerge w:val="restart"/>
          </w:tcPr>
          <w:p>
            <w:pPr>
              <w:jc w:val="right"/>
              <w:ind w:right="100"/>
              <w:spacing w:after="0"/>
              <w:rPr>
                <w:sz w:val="20"/>
                <w:szCs w:val="20"/>
                <w:color w:val="auto"/>
              </w:rPr>
            </w:pPr>
            <w:r>
              <w:rPr>
                <w:rFonts w:ascii="Arial" w:cs="Arial" w:eastAsia="Arial" w:hAnsi="Arial"/>
                <w:sz w:val="16"/>
                <w:szCs w:val="16"/>
                <w:color w:val="auto"/>
              </w:rPr>
              <w:t>556,875</w:t>
            </w:r>
          </w:p>
        </w:tc>
        <w:tc>
          <w:tcPr>
            <w:tcW w:w="1120" w:type="dxa"/>
            <w:vAlign w:val="bottom"/>
            <w:tcBorders>
              <w:right w:val="single" w:sz="8" w:color="9EACCA"/>
            </w:tcBorders>
            <w:gridSpan w:val="3"/>
            <w:vMerge w:val="restart"/>
          </w:tcPr>
          <w:p>
            <w:pPr>
              <w:jc w:val="right"/>
              <w:ind w:right="340"/>
              <w:spacing w:after="0"/>
              <w:rPr>
                <w:sz w:val="20"/>
                <w:szCs w:val="20"/>
                <w:color w:val="auto"/>
              </w:rPr>
            </w:pPr>
            <w:r>
              <w:rPr>
                <w:rFonts w:ascii="Arial" w:cs="Arial" w:eastAsia="Arial" w:hAnsi="Arial"/>
                <w:sz w:val="16"/>
                <w:szCs w:val="16"/>
                <w:color w:val="auto"/>
              </w:rPr>
              <w:t>36,357</w:t>
            </w:r>
          </w:p>
        </w:tc>
        <w:tc>
          <w:tcPr>
            <w:tcW w:w="80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6"/>
                <w:szCs w:val="16"/>
                <w:color w:val="auto"/>
              </w:rPr>
              <w:t>9,424</w:t>
            </w:r>
          </w:p>
        </w:tc>
        <w:tc>
          <w:tcPr>
            <w:tcW w:w="1120" w:type="dxa"/>
            <w:vAlign w:val="bottom"/>
            <w:tcBorders>
              <w:right w:val="single" w:sz="8" w:color="9EACCA"/>
            </w:tcBorders>
            <w:gridSpan w:val="3"/>
            <w:vMerge w:val="restart"/>
          </w:tcPr>
          <w:p>
            <w:pPr>
              <w:jc w:val="right"/>
              <w:ind w:right="200"/>
              <w:spacing w:after="0"/>
              <w:rPr>
                <w:sz w:val="20"/>
                <w:szCs w:val="20"/>
                <w:color w:val="auto"/>
              </w:rPr>
            </w:pPr>
            <w:r>
              <w:rPr>
                <w:rFonts w:ascii="Arial" w:cs="Arial" w:eastAsia="Arial" w:hAnsi="Arial"/>
                <w:sz w:val="16"/>
                <w:szCs w:val="16"/>
                <w:color w:val="auto"/>
              </w:rPr>
              <w:t>83,478</w:t>
            </w:r>
          </w:p>
        </w:tc>
        <w:tc>
          <w:tcPr>
            <w:tcW w:w="1000" w:type="dxa"/>
            <w:vAlign w:val="bottom"/>
            <w:tcBorders>
              <w:right w:val="single" w:sz="8" w:color="3C5896"/>
            </w:tcBorders>
            <w:gridSpan w:val="3"/>
            <w:vMerge w:val="restart"/>
          </w:tcPr>
          <w:p>
            <w:pPr>
              <w:jc w:val="right"/>
              <w:ind w:right="240"/>
              <w:spacing w:after="0"/>
              <w:rPr>
                <w:sz w:val="20"/>
                <w:szCs w:val="20"/>
                <w:color w:val="auto"/>
              </w:rPr>
            </w:pPr>
            <w:r>
              <w:rPr>
                <w:rFonts w:ascii="Arial" w:cs="Arial" w:eastAsia="Arial" w:hAnsi="Arial"/>
                <w:sz w:val="16"/>
                <w:szCs w:val="16"/>
                <w:color w:val="auto"/>
              </w:rPr>
              <w:t>363,339</w:t>
            </w:r>
          </w:p>
        </w:tc>
        <w:tc>
          <w:tcPr>
            <w:tcW w:w="0" w:type="dxa"/>
            <w:vAlign w:val="bottom"/>
          </w:tcPr>
          <w:p>
            <w:pPr>
              <w:spacing w:after="0"/>
              <w:rPr>
                <w:sz w:val="1"/>
                <w:szCs w:val="1"/>
                <w:color w:val="auto"/>
              </w:rPr>
            </w:pPr>
          </w:p>
        </w:tc>
      </w:tr>
      <w:tr>
        <w:trPr>
          <w:trHeight w:val="210"/>
        </w:trPr>
        <w:tc>
          <w:tcPr>
            <w:tcW w:w="60" w:type="dxa"/>
            <w:vAlign w:val="bottom"/>
            <w:tcBorders>
              <w:left w:val="single" w:sz="8" w:color="3C5896"/>
            </w:tcBorders>
          </w:tcPr>
          <w:p>
            <w:pPr>
              <w:spacing w:after="0"/>
              <w:rPr>
                <w:sz w:val="18"/>
                <w:szCs w:val="18"/>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940" w:type="dxa"/>
            <w:vAlign w:val="bottom"/>
            <w:tcBorders>
              <w:right w:val="single" w:sz="8" w:color="9EACCA"/>
            </w:tcBorders>
            <w:gridSpan w:val="3"/>
            <w:vMerge w:val="continue"/>
          </w:tcPr>
          <w:p>
            <w:pPr>
              <w:spacing w:after="0"/>
              <w:rPr>
                <w:sz w:val="18"/>
                <w:szCs w:val="18"/>
                <w:color w:val="auto"/>
              </w:rPr>
            </w:pPr>
          </w:p>
        </w:tc>
        <w:tc>
          <w:tcPr>
            <w:tcW w:w="1120" w:type="dxa"/>
            <w:vAlign w:val="bottom"/>
            <w:tcBorders>
              <w:right w:val="single" w:sz="8" w:color="9EACCA"/>
            </w:tcBorders>
            <w:gridSpan w:val="3"/>
            <w:vMerge w:val="continue"/>
          </w:tcPr>
          <w:p>
            <w:pPr>
              <w:spacing w:after="0"/>
              <w:rPr>
                <w:sz w:val="18"/>
                <w:szCs w:val="18"/>
                <w:color w:val="auto"/>
              </w:rPr>
            </w:pPr>
          </w:p>
        </w:tc>
        <w:tc>
          <w:tcPr>
            <w:tcW w:w="800" w:type="dxa"/>
            <w:vAlign w:val="bottom"/>
            <w:tcBorders>
              <w:right w:val="single" w:sz="8" w:color="9EACCA"/>
            </w:tcBorders>
            <w:vMerge w:val="continue"/>
          </w:tcPr>
          <w:p>
            <w:pPr>
              <w:spacing w:after="0"/>
              <w:rPr>
                <w:sz w:val="18"/>
                <w:szCs w:val="18"/>
                <w:color w:val="auto"/>
              </w:rPr>
            </w:pPr>
          </w:p>
        </w:tc>
        <w:tc>
          <w:tcPr>
            <w:tcW w:w="1120" w:type="dxa"/>
            <w:vAlign w:val="bottom"/>
            <w:tcBorders>
              <w:right w:val="single" w:sz="8" w:color="9EACCA"/>
            </w:tcBorders>
            <w:gridSpan w:val="3"/>
            <w:vMerge w:val="continue"/>
          </w:tcPr>
          <w:p>
            <w:pPr>
              <w:spacing w:after="0"/>
              <w:rPr>
                <w:sz w:val="18"/>
                <w:szCs w:val="18"/>
                <w:color w:val="auto"/>
              </w:rPr>
            </w:pPr>
          </w:p>
        </w:tc>
        <w:tc>
          <w:tcPr>
            <w:tcW w:w="1000" w:type="dxa"/>
            <w:vAlign w:val="bottom"/>
            <w:tcBorders>
              <w:right w:val="single" w:sz="8" w:color="3C5896"/>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 w:type="dxa"/>
            <w:vAlign w:val="bottom"/>
            <w:tcBorders>
              <w:left w:val="single" w:sz="8" w:color="3C5896"/>
            </w:tcBorders>
          </w:tcPr>
          <w:p>
            <w:pPr>
              <w:spacing w:after="0"/>
              <w:rPr>
                <w:sz w:val="19"/>
                <w:szCs w:val="19"/>
                <w:color w:val="auto"/>
              </w:rPr>
            </w:pPr>
          </w:p>
        </w:tc>
        <w:tc>
          <w:tcPr>
            <w:tcW w:w="41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Pr>
          <w:p>
            <w:pPr>
              <w:spacing w:after="0"/>
              <w:rPr>
                <w:sz w:val="19"/>
                <w:szCs w:val="19"/>
                <w:color w:val="auto"/>
              </w:rPr>
            </w:pPr>
          </w:p>
        </w:tc>
        <w:tc>
          <w:tcPr>
            <w:tcW w:w="880" w:type="dxa"/>
            <w:vAlign w:val="bottom"/>
            <w:tcBorders>
              <w:right w:val="single" w:sz="8" w:color="9EACCA"/>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9,424</w:t>
            </w:r>
          </w:p>
        </w:tc>
        <w:tc>
          <w:tcPr>
            <w:tcW w:w="1120" w:type="dxa"/>
            <w:vAlign w:val="bottom"/>
            <w:tcBorders>
              <w:right w:val="single" w:sz="8" w:color="9EACCA"/>
            </w:tcBorders>
            <w:gridSpan w:val="3"/>
          </w:tcPr>
          <w:p>
            <w:pPr>
              <w:jc w:val="right"/>
              <w:ind w:right="200"/>
              <w:spacing w:after="0"/>
              <w:rPr>
                <w:sz w:val="20"/>
                <w:szCs w:val="20"/>
                <w:color w:val="auto"/>
              </w:rPr>
            </w:pPr>
            <w:r>
              <w:rPr>
                <w:rFonts w:ascii="Arial" w:cs="Arial" w:eastAsia="Arial" w:hAnsi="Arial"/>
                <w:sz w:val="16"/>
                <w:szCs w:val="16"/>
                <w:color w:val="auto"/>
              </w:rPr>
              <w:t>83,478</w:t>
            </w:r>
          </w:p>
        </w:tc>
        <w:tc>
          <w:tcPr>
            <w:tcW w:w="1000" w:type="dxa"/>
            <w:vAlign w:val="bottom"/>
            <w:tcBorders>
              <w:right w:val="single" w:sz="8" w:color="3C5896"/>
            </w:tcBorders>
            <w:gridSpan w:val="3"/>
          </w:tcPr>
          <w:p>
            <w:pPr>
              <w:jc w:val="right"/>
              <w:ind w:right="240"/>
              <w:spacing w:after="0"/>
              <w:rPr>
                <w:sz w:val="20"/>
                <w:szCs w:val="20"/>
                <w:color w:val="auto"/>
              </w:rPr>
            </w:pPr>
            <w:r>
              <w:rPr>
                <w:rFonts w:ascii="Arial" w:cs="Arial" w:eastAsia="Arial" w:hAnsi="Arial"/>
                <w:sz w:val="16"/>
                <w:szCs w:val="16"/>
                <w:color w:val="auto"/>
              </w:rPr>
              <w:t>363,339</w:t>
            </w:r>
          </w:p>
        </w:tc>
        <w:tc>
          <w:tcPr>
            <w:tcW w:w="0" w:type="dxa"/>
            <w:vAlign w:val="bottom"/>
          </w:tcPr>
          <w:p>
            <w:pPr>
              <w:spacing w:after="0"/>
              <w:rPr>
                <w:sz w:val="1"/>
                <w:szCs w:val="1"/>
                <w:color w:val="auto"/>
              </w:rPr>
            </w:pPr>
          </w:p>
        </w:tc>
      </w:tr>
      <w:tr>
        <w:trPr>
          <w:trHeight w:val="219"/>
        </w:trPr>
        <w:tc>
          <w:tcPr>
            <w:tcW w:w="60" w:type="dxa"/>
            <w:vAlign w:val="bottom"/>
            <w:tcBorders>
              <w:left w:val="single" w:sz="8" w:color="3C5896"/>
            </w:tcBorders>
            <w:shd w:val="clear" w:color="auto" w:fill="CCCCCC"/>
          </w:tcPr>
          <w:p>
            <w:pPr>
              <w:spacing w:after="0"/>
              <w:rPr>
                <w:sz w:val="19"/>
                <w:szCs w:val="19"/>
                <w:color w:val="auto"/>
              </w:rPr>
            </w:pPr>
          </w:p>
        </w:tc>
        <w:tc>
          <w:tcPr>
            <w:tcW w:w="41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Jeff McAllister</w:t>
            </w:r>
          </w:p>
        </w:tc>
        <w:tc>
          <w:tcPr>
            <w:tcW w:w="60" w:type="dxa"/>
            <w:vAlign w:val="bottom"/>
            <w:shd w:val="clear" w:color="auto" w:fill="CCCCCC"/>
          </w:tcPr>
          <w:p>
            <w:pPr>
              <w:spacing w:after="0"/>
              <w:rPr>
                <w:sz w:val="19"/>
                <w:szCs w:val="19"/>
                <w:color w:val="auto"/>
              </w:rPr>
            </w:pPr>
          </w:p>
        </w:tc>
        <w:tc>
          <w:tcPr>
            <w:tcW w:w="780" w:type="dxa"/>
            <w:vAlign w:val="bottom"/>
            <w:shd w:val="clear" w:color="auto" w:fill="CCCCCC"/>
          </w:tcPr>
          <w:p>
            <w:pPr>
              <w:spacing w:after="0"/>
              <w:rPr>
                <w:sz w:val="19"/>
                <w:szCs w:val="19"/>
                <w:color w:val="auto"/>
              </w:rPr>
            </w:pPr>
          </w:p>
        </w:tc>
        <w:tc>
          <w:tcPr>
            <w:tcW w:w="100" w:type="dxa"/>
            <w:vAlign w:val="bottom"/>
            <w:tcBorders>
              <w:right w:val="single" w:sz="8" w:color="9EACCA"/>
            </w:tcBorders>
            <w:shd w:val="clear" w:color="auto" w:fill="CCCCCC"/>
          </w:tcPr>
          <w:p>
            <w:pPr>
              <w:spacing w:after="0"/>
              <w:rPr>
                <w:sz w:val="19"/>
                <w:szCs w:val="19"/>
                <w:color w:val="auto"/>
              </w:rPr>
            </w:pPr>
          </w:p>
        </w:tc>
        <w:tc>
          <w:tcPr>
            <w:tcW w:w="280" w:type="dxa"/>
            <w:vAlign w:val="bottom"/>
            <w:shd w:val="clear" w:color="auto" w:fill="CCCCCC"/>
          </w:tcPr>
          <w:p>
            <w:pPr>
              <w:spacing w:after="0"/>
              <w:rPr>
                <w:sz w:val="19"/>
                <w:szCs w:val="19"/>
                <w:color w:val="auto"/>
              </w:rPr>
            </w:pPr>
          </w:p>
        </w:tc>
        <w:tc>
          <w:tcPr>
            <w:tcW w:w="500" w:type="dxa"/>
            <w:vAlign w:val="bottom"/>
            <w:shd w:val="clear" w:color="auto" w:fill="CCCCCC"/>
          </w:tcPr>
          <w:p>
            <w:pPr>
              <w:spacing w:after="0"/>
              <w:rPr>
                <w:sz w:val="19"/>
                <w:szCs w:val="19"/>
                <w:color w:val="auto"/>
              </w:rPr>
            </w:pPr>
          </w:p>
        </w:tc>
        <w:tc>
          <w:tcPr>
            <w:tcW w:w="34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16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200" w:type="dxa"/>
            <w:vAlign w:val="bottom"/>
            <w:tcBorders>
              <w:right w:val="single" w:sz="8" w:color="9EACCA"/>
            </w:tcBorders>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820" w:type="dxa"/>
            <w:vAlign w:val="bottom"/>
            <w:tcBorders>
              <w:right w:val="single" w:sz="8" w:color="3C5896"/>
            </w:tcBorders>
            <w:gridSpan w:val="2"/>
            <w:vMerge w:val="restart"/>
            <w:shd w:val="clear" w:color="auto" w:fill="CCCCCC"/>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 w:type="dxa"/>
            <w:vAlign w:val="bottom"/>
            <w:tcBorders>
              <w:left w:val="single" w:sz="8" w:color="3C5896"/>
            </w:tcBorders>
            <w:shd w:val="clear" w:color="auto" w:fill="CCCCCC"/>
          </w:tcPr>
          <w:p>
            <w:pPr>
              <w:spacing w:after="0"/>
              <w:rPr>
                <w:sz w:val="18"/>
                <w:szCs w:val="18"/>
                <w:color w:val="auto"/>
              </w:rPr>
            </w:pPr>
          </w:p>
        </w:tc>
        <w:tc>
          <w:tcPr>
            <w:tcW w:w="4160" w:type="dxa"/>
            <w:vAlign w:val="bottom"/>
            <w:tcBorders>
              <w:right w:val="single" w:sz="8" w:color="9EACCA"/>
            </w:tcBorders>
            <w:vMerge w:val="restart"/>
            <w:shd w:val="clear" w:color="auto" w:fill="CCCCCC"/>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60" w:type="dxa"/>
            <w:vAlign w:val="bottom"/>
            <w:shd w:val="clear" w:color="auto" w:fill="CCCCCC"/>
          </w:tcPr>
          <w:p>
            <w:pPr>
              <w:spacing w:after="0"/>
              <w:rPr>
                <w:sz w:val="18"/>
                <w:szCs w:val="18"/>
                <w:color w:val="auto"/>
              </w:rPr>
            </w:pPr>
          </w:p>
        </w:tc>
        <w:tc>
          <w:tcPr>
            <w:tcW w:w="880" w:type="dxa"/>
            <w:vAlign w:val="bottom"/>
            <w:tcBorders>
              <w:right w:val="single" w:sz="8" w:color="9EACCA"/>
            </w:tcBorders>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1,084,904</w:t>
            </w:r>
          </w:p>
        </w:tc>
        <w:tc>
          <w:tcPr>
            <w:tcW w:w="280" w:type="dxa"/>
            <w:vAlign w:val="bottom"/>
            <w:shd w:val="clear" w:color="auto" w:fill="CCCCCC"/>
          </w:tcPr>
          <w:p>
            <w:pPr>
              <w:spacing w:after="0"/>
              <w:rPr>
                <w:sz w:val="18"/>
                <w:szCs w:val="18"/>
                <w:color w:val="auto"/>
              </w:rPr>
            </w:pPr>
          </w:p>
        </w:tc>
        <w:tc>
          <w:tcPr>
            <w:tcW w:w="84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6"/>
                <w:szCs w:val="16"/>
                <w:color w:val="auto"/>
                <w:w w:val="98"/>
              </w:rPr>
              <w:t>13,769</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3,773,890</w:t>
            </w:r>
          </w:p>
        </w:tc>
        <w:tc>
          <w:tcPr>
            <w:tcW w:w="160" w:type="dxa"/>
            <w:vAlign w:val="bottom"/>
            <w:shd w:val="clear" w:color="auto" w:fill="CCCCCC"/>
          </w:tcPr>
          <w:p>
            <w:pPr>
              <w:spacing w:after="0"/>
              <w:rPr>
                <w:sz w:val="18"/>
                <w:szCs w:val="18"/>
                <w:color w:val="auto"/>
              </w:rPr>
            </w:pPr>
          </w:p>
        </w:tc>
        <w:tc>
          <w:tcPr>
            <w:tcW w:w="760" w:type="dxa"/>
            <w:vAlign w:val="bottom"/>
            <w:shd w:val="clear" w:color="auto" w:fill="CCCCCC"/>
          </w:tcPr>
          <w:p>
            <w:pPr>
              <w:spacing w:after="0"/>
              <w:rPr>
                <w:sz w:val="18"/>
                <w:szCs w:val="18"/>
                <w:color w:val="auto"/>
              </w:rPr>
            </w:pPr>
          </w:p>
        </w:tc>
        <w:tc>
          <w:tcPr>
            <w:tcW w:w="200" w:type="dxa"/>
            <w:vAlign w:val="bottom"/>
            <w:tcBorders>
              <w:right w:val="single" w:sz="8" w:color="9EACCA"/>
            </w:tcBorders>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820" w:type="dxa"/>
            <w:vAlign w:val="bottom"/>
            <w:tcBorders>
              <w:right w:val="single" w:sz="8" w:color="3C5896"/>
            </w:tcBorders>
            <w:gridSpan w:val="2"/>
            <w:vMerge w:val="continue"/>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3C5896"/>
            </w:tcBorders>
            <w:shd w:val="clear" w:color="auto" w:fill="CCCCCC"/>
          </w:tcPr>
          <w:p>
            <w:pPr>
              <w:spacing w:after="0"/>
              <w:rPr>
                <w:sz w:val="7"/>
                <w:szCs w:val="7"/>
                <w:color w:val="auto"/>
              </w:rPr>
            </w:pPr>
          </w:p>
        </w:tc>
        <w:tc>
          <w:tcPr>
            <w:tcW w:w="4160" w:type="dxa"/>
            <w:vAlign w:val="bottom"/>
            <w:tcBorders>
              <w:right w:val="single" w:sz="8" w:color="9EACCA"/>
            </w:tcBorders>
            <w:vMerge w:val="continue"/>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78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1,084,904</w:t>
            </w:r>
          </w:p>
        </w:tc>
        <w:tc>
          <w:tcPr>
            <w:tcW w:w="100" w:type="dxa"/>
            <w:vAlign w:val="bottom"/>
            <w:tcBorders>
              <w:right w:val="single" w:sz="8" w:color="9EACCA"/>
            </w:tcBorders>
            <w:shd w:val="clear" w:color="auto" w:fill="CCCCCC"/>
          </w:tcPr>
          <w:p>
            <w:pPr>
              <w:spacing w:after="0"/>
              <w:rPr>
                <w:sz w:val="7"/>
                <w:szCs w:val="7"/>
                <w:color w:val="auto"/>
              </w:rPr>
            </w:pPr>
          </w:p>
        </w:tc>
        <w:tc>
          <w:tcPr>
            <w:tcW w:w="280" w:type="dxa"/>
            <w:vAlign w:val="bottom"/>
            <w:shd w:val="clear" w:color="auto" w:fill="CCCCCC"/>
          </w:tcPr>
          <w:p>
            <w:pPr>
              <w:spacing w:after="0"/>
              <w:rPr>
                <w:sz w:val="7"/>
                <w:szCs w:val="7"/>
                <w:color w:val="auto"/>
              </w:rPr>
            </w:pPr>
          </w:p>
        </w:tc>
        <w:tc>
          <w:tcPr>
            <w:tcW w:w="50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w w:val="98"/>
              </w:rPr>
              <w:t>18,358</w:t>
            </w:r>
          </w:p>
        </w:tc>
        <w:tc>
          <w:tcPr>
            <w:tcW w:w="340" w:type="dxa"/>
            <w:vAlign w:val="bottom"/>
            <w:tcBorders>
              <w:right w:val="single" w:sz="8" w:color="9EACCA"/>
            </w:tcBorders>
            <w:shd w:val="clear" w:color="auto" w:fill="CCCCCC"/>
          </w:tcPr>
          <w:p>
            <w:pPr>
              <w:spacing w:after="0"/>
              <w:rPr>
                <w:sz w:val="7"/>
                <w:szCs w:val="7"/>
                <w:color w:val="auto"/>
              </w:rPr>
            </w:pPr>
          </w:p>
        </w:tc>
        <w:tc>
          <w:tcPr>
            <w:tcW w:w="80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6"/>
                <w:szCs w:val="16"/>
                <w:color w:val="auto"/>
                <w:highlight w:val="lightGray"/>
              </w:rPr>
              <w:t>3,773,890</w:t>
            </w:r>
          </w:p>
        </w:tc>
        <w:tc>
          <w:tcPr>
            <w:tcW w:w="160" w:type="dxa"/>
            <w:vAlign w:val="bottom"/>
            <w:shd w:val="clear" w:color="auto" w:fill="CCCCCC"/>
          </w:tcPr>
          <w:p>
            <w:pPr>
              <w:spacing w:after="0"/>
              <w:rPr>
                <w:sz w:val="7"/>
                <w:szCs w:val="7"/>
                <w:color w:val="auto"/>
              </w:rPr>
            </w:pPr>
          </w:p>
        </w:tc>
        <w:tc>
          <w:tcPr>
            <w:tcW w:w="76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9EACCA"/>
            </w:tcBorders>
            <w:shd w:val="clear" w:color="auto" w:fill="CCCCCC"/>
          </w:tcPr>
          <w:p>
            <w:pPr>
              <w:spacing w:after="0"/>
              <w:rPr>
                <w:sz w:val="7"/>
                <w:szCs w:val="7"/>
                <w:color w:val="auto"/>
              </w:rPr>
            </w:pPr>
          </w:p>
        </w:tc>
        <w:tc>
          <w:tcPr>
            <w:tcW w:w="180" w:type="dxa"/>
            <w:vAlign w:val="bottom"/>
            <w:shd w:val="clear" w:color="auto" w:fill="CCCCCC"/>
          </w:tcPr>
          <w:p>
            <w:pPr>
              <w:spacing w:after="0"/>
              <w:rPr>
                <w:sz w:val="7"/>
                <w:szCs w:val="7"/>
                <w:color w:val="auto"/>
              </w:rPr>
            </w:pPr>
          </w:p>
        </w:tc>
        <w:tc>
          <w:tcPr>
            <w:tcW w:w="58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3C5896"/>
            </w:tcBorders>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0" w:type="dxa"/>
            <w:vAlign w:val="bottom"/>
            <w:tcBorders>
              <w:left w:val="single" w:sz="8" w:color="3C5896"/>
            </w:tcBorders>
            <w:shd w:val="clear" w:color="auto" w:fill="CCCCCC"/>
          </w:tcPr>
          <w:p>
            <w:pPr>
              <w:spacing w:after="0"/>
              <w:rPr>
                <w:sz w:val="12"/>
                <w:szCs w:val="12"/>
                <w:color w:val="auto"/>
              </w:rPr>
            </w:pPr>
          </w:p>
        </w:tc>
        <w:tc>
          <w:tcPr>
            <w:tcW w:w="4160" w:type="dxa"/>
            <w:vAlign w:val="bottom"/>
            <w:tcBorders>
              <w:right w:val="single" w:sz="8" w:color="9EACCA"/>
            </w:tcBorders>
            <w:vMerge w:val="restart"/>
            <w:shd w:val="clear" w:color="auto" w:fill="CCCCCC"/>
          </w:tcPr>
          <w:p>
            <w:pPr>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60" w:type="dxa"/>
            <w:vAlign w:val="bottom"/>
            <w:shd w:val="clear" w:color="auto" w:fill="CCCCCC"/>
          </w:tcPr>
          <w:p>
            <w:pPr>
              <w:spacing w:after="0"/>
              <w:rPr>
                <w:sz w:val="12"/>
                <w:szCs w:val="12"/>
                <w:color w:val="auto"/>
              </w:rPr>
            </w:pPr>
          </w:p>
        </w:tc>
        <w:tc>
          <w:tcPr>
            <w:tcW w:w="780" w:type="dxa"/>
            <w:vAlign w:val="bottom"/>
            <w:vMerge w:val="continue"/>
            <w:shd w:val="clear" w:color="auto" w:fill="CCCCCC"/>
          </w:tcPr>
          <w:p>
            <w:pPr>
              <w:spacing w:after="0"/>
              <w:rPr>
                <w:sz w:val="12"/>
                <w:szCs w:val="12"/>
                <w:color w:val="auto"/>
              </w:rPr>
            </w:pPr>
          </w:p>
        </w:tc>
        <w:tc>
          <w:tcPr>
            <w:tcW w:w="100" w:type="dxa"/>
            <w:vAlign w:val="bottom"/>
            <w:tcBorders>
              <w:right w:val="single" w:sz="8" w:color="9EACCA"/>
            </w:tcBorders>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00" w:type="dxa"/>
            <w:vAlign w:val="bottom"/>
            <w:vMerge w:val="continue"/>
            <w:shd w:val="clear" w:color="auto" w:fill="CCCCCC"/>
          </w:tcPr>
          <w:p>
            <w:pPr>
              <w:spacing w:after="0"/>
              <w:rPr>
                <w:sz w:val="12"/>
                <w:szCs w:val="12"/>
                <w:color w:val="auto"/>
              </w:rPr>
            </w:pPr>
          </w:p>
        </w:tc>
        <w:tc>
          <w:tcPr>
            <w:tcW w:w="340" w:type="dxa"/>
            <w:vAlign w:val="bottom"/>
            <w:tcBorders>
              <w:right w:val="single" w:sz="8" w:color="9EACCA"/>
            </w:tcBorders>
            <w:shd w:val="clear" w:color="auto" w:fill="CCCCCC"/>
          </w:tcPr>
          <w:p>
            <w:pPr>
              <w:spacing w:after="0"/>
              <w:rPr>
                <w:sz w:val="12"/>
                <w:szCs w:val="12"/>
                <w:color w:val="auto"/>
              </w:rPr>
            </w:pPr>
          </w:p>
        </w:tc>
        <w:tc>
          <w:tcPr>
            <w:tcW w:w="800" w:type="dxa"/>
            <w:vAlign w:val="bottom"/>
            <w:tcBorders>
              <w:right w:val="single" w:sz="8" w:color="9EACCA"/>
            </w:tcBorders>
            <w:vMerge w:val="continue"/>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60" w:type="dxa"/>
            <w:vAlign w:val="bottom"/>
            <w:vMerge w:val="continue"/>
            <w:shd w:val="clear" w:color="auto" w:fill="CCCCCC"/>
          </w:tcPr>
          <w:p>
            <w:pPr>
              <w:spacing w:after="0"/>
              <w:rPr>
                <w:sz w:val="12"/>
                <w:szCs w:val="12"/>
                <w:color w:val="auto"/>
              </w:rPr>
            </w:pPr>
          </w:p>
        </w:tc>
        <w:tc>
          <w:tcPr>
            <w:tcW w:w="200" w:type="dxa"/>
            <w:vAlign w:val="bottom"/>
            <w:tcBorders>
              <w:right w:val="single" w:sz="8" w:color="9EACCA"/>
            </w:tcBorders>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580" w:type="dxa"/>
            <w:vAlign w:val="bottom"/>
            <w:vMerge w:val="continue"/>
            <w:shd w:val="clear" w:color="auto" w:fill="CCCCCC"/>
          </w:tcPr>
          <w:p>
            <w:pPr>
              <w:spacing w:after="0"/>
              <w:rPr>
                <w:sz w:val="12"/>
                <w:szCs w:val="12"/>
                <w:color w:val="auto"/>
              </w:rPr>
            </w:pPr>
          </w:p>
        </w:tc>
        <w:tc>
          <w:tcPr>
            <w:tcW w:w="240" w:type="dxa"/>
            <w:vAlign w:val="bottom"/>
            <w:tcBorders>
              <w:right w:val="single" w:sz="8" w:color="3C5896"/>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left w:val="single" w:sz="8" w:color="3C5896"/>
            </w:tcBorders>
            <w:shd w:val="clear" w:color="auto" w:fill="CCCCCC"/>
          </w:tcPr>
          <w:p>
            <w:pPr>
              <w:spacing w:after="0"/>
              <w:rPr>
                <w:sz w:val="5"/>
                <w:szCs w:val="5"/>
                <w:color w:val="auto"/>
              </w:rPr>
            </w:pPr>
          </w:p>
        </w:tc>
        <w:tc>
          <w:tcPr>
            <w:tcW w:w="4160" w:type="dxa"/>
            <w:vAlign w:val="bottom"/>
            <w:tcBorders>
              <w:right w:val="single" w:sz="8" w:color="9EACCA"/>
            </w:tcBorders>
            <w:vMerge w:val="continue"/>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78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9EACCA"/>
            </w:tcBorders>
            <w:shd w:val="clear" w:color="auto" w:fill="CCCCCC"/>
          </w:tcPr>
          <w:p>
            <w:pPr>
              <w:spacing w:after="0"/>
              <w:rPr>
                <w:sz w:val="5"/>
                <w:szCs w:val="5"/>
                <w:color w:val="auto"/>
              </w:rPr>
            </w:pPr>
          </w:p>
        </w:tc>
        <w:tc>
          <w:tcPr>
            <w:tcW w:w="280" w:type="dxa"/>
            <w:vAlign w:val="bottom"/>
            <w:shd w:val="clear" w:color="auto" w:fill="CCCCCC"/>
          </w:tcPr>
          <w:p>
            <w:pPr>
              <w:spacing w:after="0"/>
              <w:rPr>
                <w:sz w:val="5"/>
                <w:szCs w:val="5"/>
                <w:color w:val="auto"/>
              </w:rPr>
            </w:pPr>
          </w:p>
        </w:tc>
        <w:tc>
          <w:tcPr>
            <w:tcW w:w="50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9EACCA"/>
            </w:tcBorders>
            <w:shd w:val="clear" w:color="auto" w:fill="CCCCCC"/>
          </w:tcPr>
          <w:p>
            <w:pPr>
              <w:spacing w:after="0"/>
              <w:rPr>
                <w:sz w:val="5"/>
                <w:szCs w:val="5"/>
                <w:color w:val="auto"/>
              </w:rPr>
            </w:pPr>
          </w:p>
        </w:tc>
        <w:tc>
          <w:tcPr>
            <w:tcW w:w="80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6"/>
                <w:szCs w:val="16"/>
                <w:color w:val="auto"/>
              </w:rPr>
              <w:t>3,773,890</w:t>
            </w:r>
          </w:p>
        </w:tc>
        <w:tc>
          <w:tcPr>
            <w:tcW w:w="160" w:type="dxa"/>
            <w:vAlign w:val="bottom"/>
            <w:shd w:val="clear" w:color="auto" w:fill="CCCCCC"/>
          </w:tcPr>
          <w:p>
            <w:pPr>
              <w:spacing w:after="0"/>
              <w:rPr>
                <w:sz w:val="5"/>
                <w:szCs w:val="5"/>
                <w:color w:val="auto"/>
              </w:rPr>
            </w:pPr>
          </w:p>
        </w:tc>
        <w:tc>
          <w:tcPr>
            <w:tcW w:w="76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9EACCA"/>
            </w:tcBorders>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58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3C5896"/>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0" w:type="dxa"/>
            <w:vAlign w:val="bottom"/>
            <w:tcBorders>
              <w:left w:val="single" w:sz="8" w:color="3C5896"/>
              <w:bottom w:val="single" w:sz="8" w:color="3C5896"/>
            </w:tcBorders>
            <w:shd w:val="clear" w:color="auto" w:fill="CCCCCC"/>
          </w:tcPr>
          <w:p>
            <w:pPr>
              <w:spacing w:after="0"/>
              <w:rPr>
                <w:sz w:val="19"/>
                <w:szCs w:val="19"/>
                <w:color w:val="auto"/>
              </w:rPr>
            </w:pPr>
          </w:p>
        </w:tc>
        <w:tc>
          <w:tcPr>
            <w:tcW w:w="4160" w:type="dxa"/>
            <w:vAlign w:val="bottom"/>
            <w:tcBorders>
              <w:bottom w:val="single" w:sz="8" w:color="3C5896"/>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Borders>
              <w:bottom w:val="single" w:sz="8" w:color="3C5896"/>
            </w:tcBorders>
            <w:shd w:val="clear" w:color="auto" w:fill="CCCCCC"/>
          </w:tcPr>
          <w:p>
            <w:pPr>
              <w:spacing w:after="0"/>
              <w:rPr>
                <w:sz w:val="19"/>
                <w:szCs w:val="19"/>
                <w:color w:val="auto"/>
              </w:rPr>
            </w:pPr>
          </w:p>
        </w:tc>
        <w:tc>
          <w:tcPr>
            <w:tcW w:w="780" w:type="dxa"/>
            <w:vAlign w:val="bottom"/>
            <w:tcBorders>
              <w:bottom w:val="single" w:sz="8" w:color="3C5896"/>
            </w:tcBorders>
            <w:vMerge w:val="continue"/>
            <w:shd w:val="clear" w:color="auto" w:fill="CCCCCC"/>
          </w:tcPr>
          <w:p>
            <w:pPr>
              <w:spacing w:after="0"/>
              <w:rPr>
                <w:sz w:val="19"/>
                <w:szCs w:val="19"/>
                <w:color w:val="auto"/>
              </w:rPr>
            </w:pPr>
          </w:p>
        </w:tc>
        <w:tc>
          <w:tcPr>
            <w:tcW w:w="100" w:type="dxa"/>
            <w:vAlign w:val="bottom"/>
            <w:tcBorders>
              <w:bottom w:val="single" w:sz="8" w:color="3C5896"/>
              <w:right w:val="single" w:sz="8" w:color="9EACCA"/>
            </w:tcBorders>
            <w:shd w:val="clear" w:color="auto" w:fill="CCCCCC"/>
          </w:tcPr>
          <w:p>
            <w:pPr>
              <w:spacing w:after="0"/>
              <w:rPr>
                <w:sz w:val="19"/>
                <w:szCs w:val="19"/>
                <w:color w:val="auto"/>
              </w:rPr>
            </w:pPr>
          </w:p>
        </w:tc>
        <w:tc>
          <w:tcPr>
            <w:tcW w:w="280" w:type="dxa"/>
            <w:vAlign w:val="bottom"/>
            <w:tcBorders>
              <w:bottom w:val="single" w:sz="8" w:color="3C5896"/>
            </w:tcBorders>
            <w:shd w:val="clear" w:color="auto" w:fill="CCCCCC"/>
          </w:tcPr>
          <w:p>
            <w:pPr>
              <w:spacing w:after="0"/>
              <w:rPr>
                <w:sz w:val="19"/>
                <w:szCs w:val="19"/>
                <w:color w:val="auto"/>
              </w:rPr>
            </w:pPr>
          </w:p>
        </w:tc>
        <w:tc>
          <w:tcPr>
            <w:tcW w:w="500" w:type="dxa"/>
            <w:vAlign w:val="bottom"/>
            <w:tcBorders>
              <w:bottom w:val="single" w:sz="8" w:color="3C5896"/>
            </w:tcBorders>
            <w:vMerge w:val="continue"/>
            <w:shd w:val="clear" w:color="auto" w:fill="CCCCCC"/>
          </w:tcPr>
          <w:p>
            <w:pPr>
              <w:spacing w:after="0"/>
              <w:rPr>
                <w:sz w:val="19"/>
                <w:szCs w:val="19"/>
                <w:color w:val="auto"/>
              </w:rPr>
            </w:pPr>
          </w:p>
        </w:tc>
        <w:tc>
          <w:tcPr>
            <w:tcW w:w="340" w:type="dxa"/>
            <w:vAlign w:val="bottom"/>
            <w:tcBorders>
              <w:bottom w:val="single" w:sz="8" w:color="3C5896"/>
              <w:right w:val="single" w:sz="8" w:color="9EACCA"/>
            </w:tcBorders>
            <w:shd w:val="clear" w:color="auto" w:fill="CCCCCC"/>
          </w:tcPr>
          <w:p>
            <w:pPr>
              <w:spacing w:after="0"/>
              <w:rPr>
                <w:sz w:val="19"/>
                <w:szCs w:val="19"/>
                <w:color w:val="auto"/>
              </w:rPr>
            </w:pPr>
          </w:p>
        </w:tc>
        <w:tc>
          <w:tcPr>
            <w:tcW w:w="800" w:type="dxa"/>
            <w:vAlign w:val="bottom"/>
            <w:tcBorders>
              <w:bottom w:val="single" w:sz="8" w:color="3C5896"/>
              <w:right w:val="single" w:sz="8" w:color="9EACCA"/>
            </w:tcBorders>
            <w:vMerge w:val="continue"/>
            <w:shd w:val="clear" w:color="auto" w:fill="CCCCCC"/>
          </w:tcPr>
          <w:p>
            <w:pPr>
              <w:spacing w:after="0"/>
              <w:rPr>
                <w:sz w:val="19"/>
                <w:szCs w:val="19"/>
                <w:color w:val="auto"/>
              </w:rPr>
            </w:pPr>
          </w:p>
        </w:tc>
        <w:tc>
          <w:tcPr>
            <w:tcW w:w="160" w:type="dxa"/>
            <w:vAlign w:val="bottom"/>
            <w:tcBorders>
              <w:bottom w:val="single" w:sz="8" w:color="3C5896"/>
            </w:tcBorders>
            <w:shd w:val="clear" w:color="auto" w:fill="CCCCCC"/>
          </w:tcPr>
          <w:p>
            <w:pPr>
              <w:spacing w:after="0"/>
              <w:rPr>
                <w:sz w:val="19"/>
                <w:szCs w:val="19"/>
                <w:color w:val="auto"/>
              </w:rPr>
            </w:pPr>
          </w:p>
        </w:tc>
        <w:tc>
          <w:tcPr>
            <w:tcW w:w="760" w:type="dxa"/>
            <w:vAlign w:val="bottom"/>
            <w:tcBorders>
              <w:bottom w:val="single" w:sz="8" w:color="3C5896"/>
            </w:tcBorders>
            <w:vMerge w:val="continue"/>
            <w:shd w:val="clear" w:color="auto" w:fill="CCCCCC"/>
          </w:tcPr>
          <w:p>
            <w:pPr>
              <w:spacing w:after="0"/>
              <w:rPr>
                <w:sz w:val="19"/>
                <w:szCs w:val="19"/>
                <w:color w:val="auto"/>
              </w:rPr>
            </w:pPr>
          </w:p>
        </w:tc>
        <w:tc>
          <w:tcPr>
            <w:tcW w:w="200" w:type="dxa"/>
            <w:vAlign w:val="bottom"/>
            <w:tcBorders>
              <w:bottom w:val="single" w:sz="8" w:color="3C5896"/>
              <w:right w:val="single" w:sz="8" w:color="9EACCA"/>
            </w:tcBorders>
            <w:shd w:val="clear" w:color="auto" w:fill="CCCCCC"/>
          </w:tcPr>
          <w:p>
            <w:pPr>
              <w:spacing w:after="0"/>
              <w:rPr>
                <w:sz w:val="19"/>
                <w:szCs w:val="19"/>
                <w:color w:val="auto"/>
              </w:rPr>
            </w:pPr>
          </w:p>
        </w:tc>
        <w:tc>
          <w:tcPr>
            <w:tcW w:w="180" w:type="dxa"/>
            <w:vAlign w:val="bottom"/>
            <w:tcBorders>
              <w:bottom w:val="single" w:sz="8" w:color="3C5896"/>
            </w:tcBorders>
            <w:shd w:val="clear" w:color="auto" w:fill="CCCCCC"/>
          </w:tcPr>
          <w:p>
            <w:pPr>
              <w:spacing w:after="0"/>
              <w:rPr>
                <w:sz w:val="19"/>
                <w:szCs w:val="19"/>
                <w:color w:val="auto"/>
              </w:rPr>
            </w:pPr>
          </w:p>
        </w:tc>
        <w:tc>
          <w:tcPr>
            <w:tcW w:w="580" w:type="dxa"/>
            <w:vAlign w:val="bottom"/>
            <w:tcBorders>
              <w:bottom w:val="single" w:sz="8" w:color="3C5896"/>
            </w:tcBorders>
            <w:vMerge w:val="continue"/>
            <w:shd w:val="clear" w:color="auto" w:fill="CCCCCC"/>
          </w:tcPr>
          <w:p>
            <w:pPr>
              <w:spacing w:after="0"/>
              <w:rPr>
                <w:sz w:val="19"/>
                <w:szCs w:val="19"/>
                <w:color w:val="auto"/>
              </w:rPr>
            </w:pPr>
          </w:p>
        </w:tc>
        <w:tc>
          <w:tcPr>
            <w:tcW w:w="240" w:type="dxa"/>
            <w:vAlign w:val="bottom"/>
            <w:tcBorders>
              <w:bottom w:val="single" w:sz="8" w:color="3C5896"/>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-3608070</wp:posOffset>
            </wp:positionV>
            <wp:extent cx="58204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31" w:lineRule="exact"/>
        <w:rPr>
          <w:sz w:val="20"/>
          <w:szCs w:val="20"/>
          <w:color w:val="auto"/>
        </w:rPr>
      </w:pPr>
    </w:p>
    <w:p>
      <w:pPr>
        <w:ind w:left="1120" w:right="399" w:hanging="356"/>
        <w:spacing w:after="0" w:line="260"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arrangement for Mr. Beasley is described under “Separation and Transition Agreements” above. Mr. Beasley was no longer employed by the Company as of the end of fiscal 2019.</w:t>
      </w:r>
    </w:p>
    <w:p>
      <w:pPr>
        <w:spacing w:after="0" w:line="44" w:lineRule="exact"/>
        <w:rPr>
          <w:rFonts w:ascii="Arial" w:cs="Arial" w:eastAsia="Arial" w:hAnsi="Arial"/>
          <w:sz w:val="15"/>
          <w:szCs w:val="15"/>
          <w:color w:val="auto"/>
        </w:rPr>
      </w:pPr>
    </w:p>
    <w:p>
      <w:pPr>
        <w:ind w:left="1120" w:right="179" w:hanging="356"/>
        <w:spacing w:after="0" w:line="246"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Amounts reported for Messrs. Fahs, Moore, Brandman and Clark and Ms. Rasmussen represent (i) upon a Qualifying Termination of employment (A) a lump-sum pro-rata bonus for the year of termination, based on actual performance and (B) the cash severance amount, times the multiplier applicable to such executive (2.0 for Mr. Fahs; 1.5 for Messrs. Moore and Brandman; 1.0 for Mr. Clark and Ms. Rasmussen), payable over 24 months (Mr. Fahs), 18 months (Messrs. Moore and Brandman) and 12 months (Mr. Clark and Ms. Rasmussen) and (ii) upon a Qualifying Termination of employment in the two-year period following a change in control (A) a lump-sum pro-rata bonus for the year of termination, based on target performance, (B) the cash severance amount, times the multiplier applicable to such executive (2.5 for Mr. Fahs; 2.0 for Messrs. Moore and Brandman; 1.5 for Mr. Clark and Ms. Rasmussen), payable over 30 months (Mr. Fahs), 24 months (Messrs. Moore and Brandman,) and 18 months (Mr. Clark and Ms. Rasmussen) and (C) payment of, or reimbursement for, up to $20,000 in outplacement services within the six-month period following termination of employment.</w:t>
      </w:r>
    </w:p>
    <w:p>
      <w:pPr>
        <w:spacing w:after="0" w:line="68" w:lineRule="exact"/>
        <w:rPr>
          <w:rFonts w:ascii="Arial" w:cs="Arial" w:eastAsia="Arial" w:hAnsi="Arial"/>
          <w:sz w:val="15"/>
          <w:szCs w:val="15"/>
          <w:color w:val="auto"/>
        </w:rPr>
      </w:pPr>
    </w:p>
    <w:p>
      <w:pPr>
        <w:ind w:left="1120" w:right="239" w:hanging="356"/>
        <w:spacing w:after="0" w:line="249"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amounts reported represent the cost of providing each applicable NEO with the welfare benefit for (i) upon a Qualifying Termination of employment, for 24 months (Mr. Fahs), 18 months (Messrs. Moore and Brandman), and 12 months (Messrs. Clark and Beasley and Ms. Rasmussen) and (ii) upon a Qualifying Termination of employment in the two-year period following a change in control, for 30 months (Mr. Fahs), 24 months (Messrs. Moore and Brandman), and 18 months (Mr. Clark and Ms. Rasmussen).</w:t>
      </w:r>
    </w:p>
    <w:p>
      <w:pPr>
        <w:spacing w:after="0" w:line="53" w:lineRule="exact"/>
        <w:rPr>
          <w:rFonts w:ascii="Arial" w:cs="Arial" w:eastAsia="Arial" w:hAnsi="Arial"/>
          <w:sz w:val="15"/>
          <w:szCs w:val="15"/>
          <w:color w:val="auto"/>
        </w:rPr>
      </w:pPr>
    </w:p>
    <w:p>
      <w:pPr>
        <w:jc w:val="both"/>
        <w:ind w:left="1120" w:right="359" w:hanging="356"/>
        <w:spacing w:after="0" w:line="252"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amounts reported represent accelerated vesting of unvested options upon a change in control and as a result of termination upon death or disability, as applicable, as described above under “Pre-IPO Options”, “McAllister 2017 Options” and “Moore 2017 Options,” and are based on the closing price of our common stock of $33.10 per share on December 27, 2019, the last trading</w:t>
      </w:r>
    </w:p>
    <w:p>
      <w:pPr>
        <w:spacing w:after="0" w:line="317"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4" w:lineRule="exact"/>
        <w:rPr>
          <w:sz w:val="20"/>
          <w:szCs w:val="20"/>
          <w:color w:val="auto"/>
        </w:rPr>
      </w:pPr>
    </w:p>
    <w:p>
      <w:pPr>
        <w:ind w:left="1120" w:right="379"/>
        <w:spacing w:after="0" w:line="249" w:lineRule="auto"/>
        <w:rPr>
          <w:sz w:val="20"/>
          <w:szCs w:val="20"/>
          <w:color w:val="auto"/>
        </w:rPr>
      </w:pPr>
      <w:r>
        <w:rPr>
          <w:rFonts w:ascii="Arial" w:cs="Arial" w:eastAsia="Arial" w:hAnsi="Arial"/>
          <w:sz w:val="15"/>
          <w:szCs w:val="15"/>
          <w:color w:val="auto"/>
        </w:rPr>
        <w:t>day in fiscal 2019. The amounts reported for Messrs. Fahs and Moore reflect the difference between the exercise price of $4.27 for the Pre-IPO Options and the closing price on December 27, 2019. The amount reported for Mr. Moore also reflects the difference between the exercise price of $22.00 per share for the Moore 2017 Options and the closing price on December 27, 2019.</w:t>
      </w:r>
    </w:p>
    <w:p>
      <w:pPr>
        <w:spacing w:after="0" w:line="54" w:lineRule="exact"/>
        <w:rPr>
          <w:sz w:val="20"/>
          <w:szCs w:val="20"/>
          <w:color w:val="auto"/>
        </w:rPr>
      </w:pPr>
    </w:p>
    <w:p>
      <w:pPr>
        <w:ind w:left="1120" w:right="359" w:hanging="356"/>
        <w:spacing w:after="0" w:line="252"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amounts reported represent vesting of PSUs upon a Qualifying Termination of employment, a change in control, and as a result of termination upon death or disability, as applicable, as described above under “Performance Share Units” and are based on the closing price of our common stock of $33.10 per share on December 27, 2019, the last trading day in fiscal 2019.</w:t>
      </w:r>
    </w:p>
    <w:p>
      <w:pPr>
        <w:spacing w:after="0" w:line="64" w:lineRule="exact"/>
        <w:rPr>
          <w:rFonts w:ascii="Arial" w:cs="Arial" w:eastAsia="Arial" w:hAnsi="Arial"/>
          <w:sz w:val="15"/>
          <w:szCs w:val="15"/>
          <w:color w:val="auto"/>
        </w:rPr>
      </w:pPr>
    </w:p>
    <w:p>
      <w:pPr>
        <w:ind w:left="1120" w:right="299" w:hanging="356"/>
        <w:spacing w:after="0" w:line="252"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amounts reported represent vesting of RSUs upon a change in control and as a result of termination upon death or disability, as applicable, as described above under “Restricted Stock Units” and are based on the closing price of our common stock of $33.10 per share on December 27, 2019, the last trading day in fiscal 2019.</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ind w:left="760" w:right="179"/>
        <w:spacing w:after="0" w:line="252" w:lineRule="auto"/>
        <w:rPr>
          <w:sz w:val="20"/>
          <w:szCs w:val="20"/>
          <w:color w:val="auto"/>
        </w:rPr>
      </w:pPr>
      <w:r>
        <w:rPr>
          <w:rFonts w:ascii="Arial" w:cs="Arial" w:eastAsia="Arial" w:hAnsi="Arial"/>
          <w:sz w:val="18"/>
          <w:szCs w:val="18"/>
          <w:color w:val="auto"/>
        </w:rPr>
        <w:t>During fiscal 2019, our compensation committee was composed of Messrs. N. Taylor and T. Taylor, Ms. Hepner and Ms. Cianfrocco, none of whom has at any time been one of our executive officers or employees or, other than as noted herein and in the “Transactions with Related Persons” section above, had any relationship requiring disclosure by the Company. Mr. N. Taylor is an affiliate of KKR and we are parties to certain transactions with KKR described in the “Transactions with Related Persons” section. During 2019, none of our executive officers served as a member of the compensation committee (or other committee serving an equivalent function) or as a director of any other entity whose executive officers served on our compensation committee or Board of Directors.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numbers in the following table are as of December 28, 2019.</w:t>
      </w:r>
    </w:p>
    <w:p>
      <w:pPr>
        <w:spacing w:after="0" w:line="138"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350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860" w:type="dxa"/>
            <w:vAlign w:val="bottom"/>
            <w:tcBorders>
              <w:top w:val="single" w:sz="8" w:color="3C5896"/>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40" w:type="dxa"/>
            <w:vAlign w:val="bottom"/>
            <w:tcBorders>
              <w:top w:val="single" w:sz="8" w:color="3C5896"/>
            </w:tcBorders>
            <w:shd w:val="clear" w:color="auto" w:fill="3C5896"/>
          </w:tcPr>
          <w:p>
            <w:pPr>
              <w:spacing w:after="0"/>
              <w:rPr>
                <w:sz w:val="17"/>
                <w:szCs w:val="17"/>
                <w:color w:val="auto"/>
              </w:rPr>
            </w:pPr>
          </w:p>
        </w:tc>
        <w:tc>
          <w:tcPr>
            <w:tcW w:w="1600" w:type="dxa"/>
            <w:vAlign w:val="bottom"/>
            <w:tcBorders>
              <w:top w:val="single" w:sz="8" w:color="3C5896"/>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Weighted-</w:t>
            </w:r>
          </w:p>
        </w:tc>
        <w:tc>
          <w:tcPr>
            <w:tcW w:w="40" w:type="dxa"/>
            <w:vAlign w:val="bottom"/>
            <w:tcBorders>
              <w:top w:val="single" w:sz="8" w:color="3C5896"/>
            </w:tcBorders>
            <w:shd w:val="clear" w:color="auto" w:fill="3C5896"/>
          </w:tcPr>
          <w:p>
            <w:pPr>
              <w:spacing w:after="0"/>
              <w:rPr>
                <w:sz w:val="17"/>
                <w:szCs w:val="17"/>
                <w:color w:val="auto"/>
              </w:rPr>
            </w:pPr>
          </w:p>
        </w:tc>
        <w:tc>
          <w:tcPr>
            <w:tcW w:w="2060" w:type="dxa"/>
            <w:vAlign w:val="bottom"/>
            <w:tcBorders>
              <w:top w:val="single" w:sz="8" w:color="3C5896"/>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Number of securities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50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86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20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remaining available for</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50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8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securities to be</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rPr>
              <w:t>average exercise</w:t>
            </w:r>
          </w:p>
        </w:tc>
        <w:tc>
          <w:tcPr>
            <w:tcW w:w="40" w:type="dxa"/>
            <w:vAlign w:val="bottom"/>
            <w:shd w:val="clear" w:color="auto" w:fill="3C5896"/>
          </w:tcPr>
          <w:p>
            <w:pPr>
              <w:spacing w:after="0"/>
              <w:rPr>
                <w:sz w:val="16"/>
                <w:szCs w:val="16"/>
                <w:color w:val="auto"/>
              </w:rPr>
            </w:pPr>
          </w:p>
        </w:tc>
        <w:tc>
          <w:tcPr>
            <w:tcW w:w="20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future issuance under</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50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8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issued upon</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rPr>
              <w:t>price of</w:t>
            </w:r>
          </w:p>
        </w:tc>
        <w:tc>
          <w:tcPr>
            <w:tcW w:w="40" w:type="dxa"/>
            <w:vAlign w:val="bottom"/>
            <w:shd w:val="clear" w:color="auto" w:fill="3C5896"/>
          </w:tcPr>
          <w:p>
            <w:pPr>
              <w:spacing w:after="0"/>
              <w:rPr>
                <w:sz w:val="16"/>
                <w:szCs w:val="16"/>
                <w:color w:val="auto"/>
              </w:rPr>
            </w:pPr>
          </w:p>
        </w:tc>
        <w:tc>
          <w:tcPr>
            <w:tcW w:w="20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equity compensation</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50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8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exercise of</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outstanding</w:t>
            </w:r>
          </w:p>
        </w:tc>
        <w:tc>
          <w:tcPr>
            <w:tcW w:w="40" w:type="dxa"/>
            <w:vAlign w:val="bottom"/>
            <w:shd w:val="clear" w:color="auto" w:fill="3C5896"/>
          </w:tcPr>
          <w:p>
            <w:pPr>
              <w:spacing w:after="0"/>
              <w:rPr>
                <w:sz w:val="16"/>
                <w:szCs w:val="16"/>
                <w:color w:val="auto"/>
              </w:rPr>
            </w:pPr>
          </w:p>
        </w:tc>
        <w:tc>
          <w:tcPr>
            <w:tcW w:w="20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plans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50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8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outstanding options,</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options, warrants</w:t>
            </w:r>
          </w:p>
        </w:tc>
        <w:tc>
          <w:tcPr>
            <w:tcW w:w="40" w:type="dxa"/>
            <w:vAlign w:val="bottom"/>
            <w:shd w:val="clear" w:color="auto" w:fill="3C5896"/>
          </w:tcPr>
          <w:p>
            <w:pPr>
              <w:spacing w:after="0"/>
              <w:rPr>
                <w:sz w:val="16"/>
                <w:szCs w:val="16"/>
                <w:color w:val="auto"/>
              </w:rPr>
            </w:pPr>
          </w:p>
        </w:tc>
        <w:tc>
          <w:tcPr>
            <w:tcW w:w="20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(excluding securities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500" w:type="dxa"/>
            <w:vAlign w:val="bottom"/>
            <w:tcBorders>
              <w:right w:val="single" w:sz="8" w:color="9EACCA"/>
            </w:tcBorders>
            <w:vMerge w:val="restart"/>
            <w:shd w:val="clear" w:color="auto" w:fill="3C5896"/>
          </w:tcPr>
          <w:p>
            <w:pPr>
              <w:ind w:left="1120"/>
              <w:spacing w:after="0"/>
              <w:rPr>
                <w:sz w:val="20"/>
                <w:szCs w:val="20"/>
                <w:color w:val="auto"/>
              </w:rPr>
            </w:pPr>
            <w:r>
              <w:rPr>
                <w:rFonts w:ascii="Arial" w:cs="Arial" w:eastAsia="Arial" w:hAnsi="Arial"/>
                <w:sz w:val="18"/>
                <w:szCs w:val="18"/>
                <w:b w:val="1"/>
                <w:bCs w:val="1"/>
                <w:color w:val="FFFFFF"/>
              </w:rPr>
              <w:t>Plan category</w:t>
            </w:r>
          </w:p>
        </w:tc>
        <w:tc>
          <w:tcPr>
            <w:tcW w:w="40" w:type="dxa"/>
            <w:vAlign w:val="bottom"/>
            <w:shd w:val="clear" w:color="auto" w:fill="3C5896"/>
          </w:tcPr>
          <w:p>
            <w:pPr>
              <w:spacing w:after="0"/>
              <w:rPr>
                <w:sz w:val="16"/>
                <w:szCs w:val="16"/>
                <w:color w:val="auto"/>
              </w:rPr>
            </w:pPr>
          </w:p>
        </w:tc>
        <w:tc>
          <w:tcPr>
            <w:tcW w:w="18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rPr>
              <w:t>warrants and rights</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and rights</w:t>
            </w:r>
          </w:p>
        </w:tc>
        <w:tc>
          <w:tcPr>
            <w:tcW w:w="40" w:type="dxa"/>
            <w:vAlign w:val="bottom"/>
            <w:shd w:val="clear" w:color="auto" w:fill="3C5896"/>
          </w:tcPr>
          <w:p>
            <w:pPr>
              <w:spacing w:after="0"/>
              <w:rPr>
                <w:sz w:val="16"/>
                <w:szCs w:val="16"/>
                <w:color w:val="auto"/>
              </w:rPr>
            </w:pPr>
          </w:p>
        </w:tc>
        <w:tc>
          <w:tcPr>
            <w:tcW w:w="20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reflected in column (a))</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3500" w:type="dxa"/>
            <w:vAlign w:val="bottom"/>
            <w:tcBorders>
              <w:right w:val="single" w:sz="8" w:color="9EACCA"/>
            </w:tcBorders>
            <w:vMerge w:val="continue"/>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1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w:t>
            </w:r>
          </w:p>
        </w:tc>
        <w:tc>
          <w:tcPr>
            <w:tcW w:w="40" w:type="dxa"/>
            <w:vAlign w:val="bottom"/>
            <w:shd w:val="clear" w:color="auto" w:fill="3C5896"/>
          </w:tcPr>
          <w:p>
            <w:pPr>
              <w:spacing w:after="0"/>
              <w:rPr>
                <w:sz w:val="21"/>
                <w:szCs w:val="21"/>
                <w:color w:val="auto"/>
              </w:rPr>
            </w:pPr>
          </w:p>
        </w:tc>
        <w:tc>
          <w:tcPr>
            <w:tcW w:w="16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5"/>
              </w:rPr>
              <w:t>(b)</w:t>
            </w:r>
          </w:p>
        </w:tc>
        <w:tc>
          <w:tcPr>
            <w:tcW w:w="40" w:type="dxa"/>
            <w:vAlign w:val="bottom"/>
            <w:shd w:val="clear" w:color="auto" w:fill="3C5896"/>
          </w:tcPr>
          <w:p>
            <w:pPr>
              <w:spacing w:after="0"/>
              <w:rPr>
                <w:sz w:val="21"/>
                <w:szCs w:val="21"/>
                <w:color w:val="auto"/>
              </w:rPr>
            </w:pPr>
          </w:p>
        </w:tc>
        <w:tc>
          <w:tcPr>
            <w:tcW w:w="206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tcBorders>
          </w:tcPr>
          <w:p>
            <w:pPr>
              <w:spacing w:after="0"/>
              <w:rPr>
                <w:sz w:val="19"/>
                <w:szCs w:val="19"/>
                <w:color w:val="auto"/>
              </w:rPr>
            </w:pPr>
          </w:p>
        </w:tc>
        <w:tc>
          <w:tcPr>
            <w:tcW w:w="350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Equity compensation plans approved by</w:t>
            </w:r>
          </w:p>
        </w:tc>
        <w:tc>
          <w:tcPr>
            <w:tcW w:w="1900" w:type="dxa"/>
            <w:vAlign w:val="bottom"/>
            <w:tcBorders>
              <w:right w:val="single" w:sz="8" w:color="9EACCA"/>
            </w:tcBorders>
            <w:gridSpan w:val="2"/>
            <w:vMerge w:val="restart"/>
          </w:tcPr>
          <w:p>
            <w:pPr>
              <w:ind w:left="540"/>
              <w:spacing w:after="0"/>
              <w:rPr>
                <w:sz w:val="20"/>
                <w:szCs w:val="20"/>
                <w:color w:val="auto"/>
              </w:rPr>
            </w:pPr>
            <w:r>
              <w:rPr>
                <w:rFonts w:ascii="Arial" w:cs="Arial" w:eastAsia="Arial" w:hAnsi="Arial"/>
                <w:sz w:val="18"/>
                <w:szCs w:val="18"/>
                <w:color w:val="auto"/>
              </w:rPr>
              <w:t>3,510,008</w:t>
            </w:r>
            <w:r>
              <w:rPr>
                <w:rFonts w:ascii="Arial" w:cs="Arial" w:eastAsia="Arial" w:hAnsi="Arial"/>
                <w:sz w:val="26"/>
                <w:szCs w:val="26"/>
                <w:color w:val="auto"/>
                <w:vertAlign w:val="superscript"/>
              </w:rPr>
              <w:t>(1)</w:t>
            </w:r>
          </w:p>
        </w:tc>
        <w:tc>
          <w:tcPr>
            <w:tcW w:w="40" w:type="dxa"/>
            <w:vAlign w:val="bottom"/>
          </w:tcPr>
          <w:p>
            <w:pPr>
              <w:spacing w:after="0"/>
              <w:rPr>
                <w:sz w:val="19"/>
                <w:szCs w:val="19"/>
                <w:color w:val="auto"/>
              </w:rPr>
            </w:pPr>
          </w:p>
        </w:tc>
        <w:tc>
          <w:tcPr>
            <w:tcW w:w="1600" w:type="dxa"/>
            <w:vAlign w:val="bottom"/>
            <w:tcBorders>
              <w:right w:val="single" w:sz="8" w:color="9EACCA"/>
            </w:tcBorders>
          </w:tcPr>
          <w:p>
            <w:pPr>
              <w:spacing w:after="0"/>
              <w:rPr>
                <w:sz w:val="19"/>
                <w:szCs w:val="19"/>
                <w:color w:val="auto"/>
              </w:rPr>
            </w:pPr>
          </w:p>
        </w:tc>
        <w:tc>
          <w:tcPr>
            <w:tcW w:w="2100" w:type="dxa"/>
            <w:vAlign w:val="bottom"/>
            <w:tcBorders>
              <w:right w:val="single" w:sz="8" w:color="3C5896"/>
            </w:tcBorders>
            <w:gridSpan w:val="2"/>
            <w:vMerge w:val="restart"/>
          </w:tcPr>
          <w:p>
            <w:pPr>
              <w:ind w:left="640"/>
              <w:spacing w:after="0"/>
              <w:rPr>
                <w:sz w:val="20"/>
                <w:szCs w:val="20"/>
                <w:color w:val="auto"/>
              </w:rPr>
            </w:pPr>
            <w:r>
              <w:rPr>
                <w:rFonts w:ascii="Arial" w:cs="Arial" w:eastAsia="Arial" w:hAnsi="Arial"/>
                <w:sz w:val="18"/>
                <w:szCs w:val="18"/>
                <w:color w:val="auto"/>
              </w:rPr>
              <w:t>4,715,298</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44"/>
        </w:trPr>
        <w:tc>
          <w:tcPr>
            <w:tcW w:w="60" w:type="dxa"/>
            <w:vAlign w:val="bottom"/>
            <w:tcBorders>
              <w:left w:val="single" w:sz="8" w:color="3C5896"/>
            </w:tcBorders>
          </w:tcPr>
          <w:p>
            <w:pPr>
              <w:spacing w:after="0"/>
              <w:rPr>
                <w:sz w:val="21"/>
                <w:szCs w:val="21"/>
                <w:color w:val="auto"/>
              </w:rPr>
            </w:pPr>
          </w:p>
        </w:tc>
        <w:tc>
          <w:tcPr>
            <w:tcW w:w="3500" w:type="dxa"/>
            <w:vAlign w:val="bottom"/>
            <w:tcBorders>
              <w:right w:val="single" w:sz="8" w:color="9EACCA"/>
            </w:tcBorders>
          </w:tcPr>
          <w:p>
            <w:pPr>
              <w:ind w:left="180"/>
              <w:spacing w:after="0"/>
              <w:rPr>
                <w:sz w:val="20"/>
                <w:szCs w:val="20"/>
                <w:color w:val="auto"/>
              </w:rPr>
            </w:pPr>
            <w:r>
              <w:rPr>
                <w:rFonts w:ascii="Arial" w:cs="Arial" w:eastAsia="Arial" w:hAnsi="Arial"/>
                <w:sz w:val="18"/>
                <w:szCs w:val="18"/>
                <w:color w:val="auto"/>
              </w:rPr>
              <w:t>security holders</w:t>
            </w:r>
          </w:p>
        </w:tc>
        <w:tc>
          <w:tcPr>
            <w:tcW w:w="1900" w:type="dxa"/>
            <w:vAlign w:val="bottom"/>
            <w:tcBorders>
              <w:right w:val="single" w:sz="8" w:color="9EACCA"/>
            </w:tcBorders>
            <w:gridSpan w:val="2"/>
            <w:vMerge w:val="continue"/>
          </w:tcPr>
          <w:p>
            <w:pPr>
              <w:spacing w:after="0"/>
              <w:rPr>
                <w:sz w:val="21"/>
                <w:szCs w:val="21"/>
                <w:color w:val="auto"/>
              </w:rPr>
            </w:pPr>
          </w:p>
        </w:tc>
        <w:tc>
          <w:tcPr>
            <w:tcW w:w="1640" w:type="dxa"/>
            <w:vAlign w:val="bottom"/>
            <w:tcBorders>
              <w:right w:val="single" w:sz="8" w:color="9EACCA"/>
            </w:tcBorders>
            <w:gridSpan w:val="2"/>
          </w:tcPr>
          <w:p>
            <w:pPr>
              <w:jc w:val="center"/>
              <w:spacing w:after="0"/>
              <w:rPr>
                <w:sz w:val="20"/>
                <w:szCs w:val="20"/>
                <w:color w:val="auto"/>
              </w:rPr>
            </w:pPr>
            <w:r>
              <w:rPr>
                <w:rFonts w:ascii="Arial" w:cs="Arial" w:eastAsia="Arial" w:hAnsi="Arial"/>
                <w:sz w:val="18"/>
                <w:szCs w:val="18"/>
                <w:color w:val="auto"/>
              </w:rPr>
              <w:t>$10.28</w:t>
            </w:r>
          </w:p>
        </w:tc>
        <w:tc>
          <w:tcPr>
            <w:tcW w:w="2100" w:type="dxa"/>
            <w:vAlign w:val="bottom"/>
            <w:tcBorders>
              <w:right w:val="single" w:sz="8" w:color="3C5896"/>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tcBorders>
            <w:shd w:val="clear" w:color="auto" w:fill="CCCCCC"/>
          </w:tcPr>
          <w:p>
            <w:pPr>
              <w:spacing w:after="0"/>
              <w:rPr>
                <w:sz w:val="19"/>
                <w:szCs w:val="19"/>
                <w:color w:val="auto"/>
              </w:rPr>
            </w:pPr>
          </w:p>
        </w:tc>
        <w:tc>
          <w:tcPr>
            <w:tcW w:w="35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Equity compensation plans not approved</w:t>
            </w:r>
          </w:p>
        </w:tc>
        <w:tc>
          <w:tcPr>
            <w:tcW w:w="40" w:type="dxa"/>
            <w:vAlign w:val="bottom"/>
            <w:shd w:val="clear" w:color="auto" w:fill="CCCCCC"/>
          </w:tcPr>
          <w:p>
            <w:pPr>
              <w:spacing w:after="0"/>
              <w:rPr>
                <w:sz w:val="19"/>
                <w:szCs w:val="19"/>
                <w:color w:val="auto"/>
              </w:rPr>
            </w:pPr>
          </w:p>
        </w:tc>
        <w:tc>
          <w:tcPr>
            <w:tcW w:w="1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1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2060" w:type="dxa"/>
            <w:vAlign w:val="bottom"/>
            <w:tcBorders>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3500" w:type="dxa"/>
            <w:vAlign w:val="bottom"/>
            <w:tcBorders>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8"/>
                <w:szCs w:val="18"/>
                <w:color w:val="auto"/>
              </w:rPr>
              <w:t>by security holders</w:t>
            </w:r>
          </w:p>
        </w:tc>
        <w:tc>
          <w:tcPr>
            <w:tcW w:w="40" w:type="dxa"/>
            <w:vAlign w:val="bottom"/>
            <w:tcBorders>
              <w:bottom w:val="single" w:sz="8" w:color="CCCCCC"/>
            </w:tcBorders>
            <w:shd w:val="clear" w:color="auto" w:fill="CCCCCC"/>
          </w:tcPr>
          <w:p>
            <w:pPr>
              <w:spacing w:after="0"/>
              <w:rPr>
                <w:sz w:val="19"/>
                <w:szCs w:val="19"/>
                <w:color w:val="auto"/>
              </w:rPr>
            </w:pPr>
          </w:p>
        </w:tc>
        <w:tc>
          <w:tcPr>
            <w:tcW w:w="1860" w:type="dxa"/>
            <w:vAlign w:val="bottom"/>
            <w:tcBorders>
              <w:bottom w:val="single" w:sz="8" w:color="CCCCCC"/>
              <w:right w:val="single" w:sz="8" w:color="9EACCA"/>
            </w:tcBorders>
            <w:shd w:val="clear" w:color="auto" w:fill="CCCCCC"/>
          </w:tcPr>
          <w:p>
            <w:pPr>
              <w:spacing w:after="0"/>
              <w:rPr>
                <w:sz w:val="19"/>
                <w:szCs w:val="19"/>
                <w:color w:val="auto"/>
              </w:rPr>
            </w:pPr>
          </w:p>
        </w:tc>
        <w:tc>
          <w:tcPr>
            <w:tcW w:w="40" w:type="dxa"/>
            <w:vAlign w:val="bottom"/>
            <w:tcBorders>
              <w:bottom w:val="single" w:sz="8" w:color="CCCCCC"/>
            </w:tcBorders>
            <w:shd w:val="clear" w:color="auto" w:fill="CCCCCC"/>
          </w:tcPr>
          <w:p>
            <w:pPr>
              <w:spacing w:after="0"/>
              <w:rPr>
                <w:sz w:val="19"/>
                <w:szCs w:val="19"/>
                <w:color w:val="auto"/>
              </w:rPr>
            </w:pPr>
          </w:p>
        </w:tc>
        <w:tc>
          <w:tcPr>
            <w:tcW w:w="1600" w:type="dxa"/>
            <w:vAlign w:val="bottom"/>
            <w:tcBorders>
              <w:bottom w:val="single" w:sz="8" w:color="CCCCCC"/>
              <w:right w:val="single" w:sz="8" w:color="9EACCA"/>
            </w:tcBorders>
            <w:shd w:val="clear" w:color="auto" w:fill="CCCCCC"/>
          </w:tcPr>
          <w:p>
            <w:pPr>
              <w:spacing w:after="0"/>
              <w:rPr>
                <w:sz w:val="19"/>
                <w:szCs w:val="19"/>
                <w:color w:val="auto"/>
              </w:rPr>
            </w:pPr>
          </w:p>
        </w:tc>
        <w:tc>
          <w:tcPr>
            <w:tcW w:w="40" w:type="dxa"/>
            <w:vAlign w:val="bottom"/>
            <w:tcBorders>
              <w:bottom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Borders>
              <w:left w:val="single" w:sz="8" w:color="3C5896"/>
              <w:bottom w:val="single" w:sz="8" w:color="3C5896"/>
            </w:tcBorders>
          </w:tcPr>
          <w:p>
            <w:pPr>
              <w:spacing w:after="0"/>
              <w:rPr>
                <w:sz w:val="20"/>
                <w:szCs w:val="20"/>
                <w:color w:val="auto"/>
              </w:rPr>
            </w:pPr>
          </w:p>
        </w:tc>
        <w:tc>
          <w:tcPr>
            <w:tcW w:w="3500" w:type="dxa"/>
            <w:vAlign w:val="bottom"/>
            <w:tcBorders>
              <w:bottom w:val="single" w:sz="8" w:color="3C5896"/>
              <w:right w:val="single" w:sz="8" w:color="9EACCA"/>
            </w:tcBorders>
          </w:tcPr>
          <w:p>
            <w:pPr>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right w:val="single" w:sz="8" w:color="9EACCA"/>
            </w:tcBorders>
            <w:gridSpan w:val="2"/>
          </w:tcPr>
          <w:p>
            <w:pPr>
              <w:ind w:left="540"/>
              <w:spacing w:after="0"/>
              <w:rPr>
                <w:sz w:val="20"/>
                <w:szCs w:val="20"/>
                <w:color w:val="auto"/>
              </w:rPr>
            </w:pPr>
            <w:r>
              <w:rPr>
                <w:rFonts w:ascii="Arial" w:cs="Arial" w:eastAsia="Arial" w:hAnsi="Arial"/>
                <w:sz w:val="18"/>
                <w:szCs w:val="18"/>
                <w:color w:val="auto"/>
              </w:rPr>
              <w:t>3,510,008</w:t>
            </w:r>
          </w:p>
        </w:tc>
        <w:tc>
          <w:tcPr>
            <w:tcW w:w="1640" w:type="dxa"/>
            <w:vAlign w:val="bottom"/>
            <w:tcBorders>
              <w:bottom w:val="single" w:sz="8" w:color="auto"/>
              <w:right w:val="single" w:sz="8" w:color="9EACCA"/>
            </w:tcBorders>
            <w:gridSpan w:val="2"/>
          </w:tcPr>
          <w:p>
            <w:pPr>
              <w:jc w:val="center"/>
              <w:spacing w:after="0"/>
              <w:rPr>
                <w:sz w:val="20"/>
                <w:szCs w:val="20"/>
                <w:color w:val="auto"/>
              </w:rPr>
            </w:pPr>
            <w:r>
              <w:rPr>
                <w:rFonts w:ascii="Arial" w:cs="Arial" w:eastAsia="Arial" w:hAnsi="Arial"/>
                <w:sz w:val="18"/>
                <w:szCs w:val="18"/>
                <w:color w:val="auto"/>
              </w:rPr>
              <w:t>$10.28</w:t>
            </w:r>
          </w:p>
        </w:tc>
        <w:tc>
          <w:tcPr>
            <w:tcW w:w="2100" w:type="dxa"/>
            <w:vAlign w:val="bottom"/>
            <w:tcBorders>
              <w:bottom w:val="single" w:sz="8" w:color="auto"/>
              <w:right w:val="single" w:sz="8" w:color="3C5896"/>
            </w:tcBorders>
            <w:gridSpan w:val="2"/>
          </w:tcPr>
          <w:p>
            <w:pPr>
              <w:ind w:left="640"/>
              <w:spacing w:after="0"/>
              <w:rPr>
                <w:sz w:val="20"/>
                <w:szCs w:val="20"/>
                <w:color w:val="auto"/>
              </w:rPr>
            </w:pPr>
            <w:r>
              <w:rPr>
                <w:rFonts w:ascii="Arial" w:cs="Arial" w:eastAsia="Arial" w:hAnsi="Arial"/>
                <w:sz w:val="18"/>
                <w:szCs w:val="18"/>
                <w:color w:val="auto"/>
              </w:rPr>
              <w:t>4,715,298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-762000</wp:posOffset>
            </wp:positionV>
            <wp:extent cx="58204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31" w:lineRule="exact"/>
        <w:rPr>
          <w:sz w:val="20"/>
          <w:szCs w:val="20"/>
          <w:color w:val="auto"/>
        </w:rPr>
      </w:pPr>
    </w:p>
    <w:p>
      <w:pPr>
        <w:ind w:left="1120" w:right="219" w:hanging="356"/>
        <w:spacing w:after="0" w:line="248" w:lineRule="auto"/>
        <w:tabs>
          <w:tab w:leader="none" w:pos="1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16,430 shares issuable pursuant to outstanding options under the Vision Holding Corp. Amended and Restated 2013 Equity Incentive Plan. The weighted-average exercise price of such options is $1.66. Includes 3,200,879 shares issuable pursuant to outstanding options under the 2014 Stock Incentive Plan. The weighted-average exercise price of such options is $8.14. Includes 292,699 shares issuable pursuant to outstanding options under the 2017 Omnibus Incentive Plan. The weighted-average exercise price of such options is $34.16.</w:t>
      </w:r>
    </w:p>
    <w:p>
      <w:pPr>
        <w:spacing w:after="0" w:line="67" w:lineRule="exact"/>
        <w:rPr>
          <w:rFonts w:ascii="Arial" w:cs="Arial" w:eastAsia="Arial" w:hAnsi="Arial"/>
          <w:sz w:val="15"/>
          <w:szCs w:val="15"/>
          <w:color w:val="auto"/>
        </w:rPr>
      </w:pPr>
    </w:p>
    <w:p>
      <w:pPr>
        <w:ind w:left="1120" w:right="679" w:hanging="356"/>
        <w:spacing w:after="0" w:line="260" w:lineRule="auto"/>
        <w:tabs>
          <w:tab w:leader="none" w:pos="1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1,757,769 shares that can be issued pursuant to future awards under the 2014 Stock Incentive Plan. Also includes 2,957,529 shares that can be issued pursuant to future awards under the 2017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42  </w:t>
      </w:r>
      <w:r>
        <w:rPr>
          <w:sz w:val="1"/>
          <w:szCs w:val="1"/>
          <w:color w:val="auto"/>
        </w:rPr>
        <w:drawing>
          <wp:inline distT="0" distB="0" distL="0" distR="0">
            <wp:extent cx="299720" cy="2400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right="279"/>
        <w:spacing w:after="0" w:line="254" w:lineRule="auto"/>
        <w:rPr>
          <w:sz w:val="20"/>
          <w:szCs w:val="20"/>
          <w:color w:val="auto"/>
        </w:rPr>
      </w:pPr>
      <w:r>
        <w:rPr>
          <w:rFonts w:ascii="Arial" w:cs="Arial" w:eastAsia="Arial" w:hAnsi="Arial"/>
          <w:sz w:val="18"/>
          <w:szCs w:val="18"/>
          <w:color w:val="auto"/>
        </w:rPr>
        <w:t>The Dodd-Frank Wall Street Reform Act and Consumer Protection Act of 2010 and the compensation disclosure rules of the SEC require the Company to disclose the ratio of the annual total compensation of Mr. Fahs, our CEO, to the median of the annual total compensation of the employees of the Company (other than our CEO) (the “CEO Pay Ratio”).</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fiscal 2019:</w:t>
      </w:r>
    </w:p>
    <w:p>
      <w:pPr>
        <w:spacing w:after="0" w:line="117" w:lineRule="exact"/>
        <w:rPr>
          <w:sz w:val="20"/>
          <w:szCs w:val="20"/>
          <w:color w:val="auto"/>
        </w:rPr>
      </w:pPr>
    </w:p>
    <w:p>
      <w:pPr>
        <w:ind w:left="1120" w:right="859" w:hanging="212"/>
        <w:spacing w:after="0" w:line="246" w:lineRule="auto"/>
        <w:tabs>
          <w:tab w:leader="none" w:pos="1120" w:val="left"/>
        </w:tabs>
        <w:numPr>
          <w:ilvl w:val="0"/>
          <w:numId w:val="45"/>
        </w:numPr>
        <w:rPr>
          <w:rFonts w:ascii="Arial" w:cs="Arial" w:eastAsia="Arial" w:hAnsi="Arial"/>
          <w:sz w:val="18"/>
          <w:szCs w:val="18"/>
          <w:color w:val="3C5896"/>
        </w:rPr>
      </w:pPr>
      <w:r>
        <w:rPr>
          <w:rFonts w:ascii="Arial" w:cs="Arial" w:eastAsia="Arial" w:hAnsi="Arial"/>
          <w:sz w:val="18"/>
          <w:szCs w:val="18"/>
          <w:color w:val="auto"/>
        </w:rPr>
        <w:t>the median of the annual total compensation of all our employees (other than Mr. Fahs, our CEO), was $26,343; and</w:t>
      </w:r>
    </w:p>
    <w:p>
      <w:pPr>
        <w:spacing w:after="0" w:line="88" w:lineRule="exact"/>
        <w:rPr>
          <w:rFonts w:ascii="Arial" w:cs="Arial" w:eastAsia="Arial" w:hAnsi="Arial"/>
          <w:sz w:val="18"/>
          <w:szCs w:val="18"/>
          <w:color w:val="3C5896"/>
        </w:rPr>
      </w:pPr>
    </w:p>
    <w:p>
      <w:pPr>
        <w:ind w:left="1120" w:hanging="212"/>
        <w:spacing w:after="0"/>
        <w:tabs>
          <w:tab w:leader="none" w:pos="1120" w:val="left"/>
        </w:tabs>
        <w:numPr>
          <w:ilvl w:val="0"/>
          <w:numId w:val="45"/>
        </w:numPr>
        <w:rPr>
          <w:rFonts w:ascii="Arial" w:cs="Arial" w:eastAsia="Arial" w:hAnsi="Arial"/>
          <w:sz w:val="18"/>
          <w:szCs w:val="18"/>
          <w:color w:val="3C5896"/>
        </w:rPr>
      </w:pPr>
      <w:r>
        <w:rPr>
          <w:rFonts w:ascii="Arial" w:cs="Arial" w:eastAsia="Arial" w:hAnsi="Arial"/>
          <w:sz w:val="18"/>
          <w:szCs w:val="18"/>
          <w:color w:val="auto"/>
        </w:rPr>
        <w:t>the annual total compensation of Mr. Fahs, our CEO, was $4,495,616.</w:t>
      </w:r>
    </w:p>
    <w:p>
      <w:pPr>
        <w:spacing w:after="0" w:line="104" w:lineRule="exact"/>
        <w:rPr>
          <w:sz w:val="20"/>
          <w:szCs w:val="20"/>
          <w:color w:val="auto"/>
        </w:rPr>
      </w:pPr>
    </w:p>
    <w:p>
      <w:pPr>
        <w:ind w:left="760" w:right="379"/>
        <w:spacing w:after="0" w:line="261" w:lineRule="auto"/>
        <w:rPr>
          <w:sz w:val="20"/>
          <w:szCs w:val="20"/>
          <w:color w:val="auto"/>
        </w:rPr>
      </w:pPr>
      <w:r>
        <w:rPr>
          <w:rFonts w:ascii="Arial" w:cs="Arial" w:eastAsia="Arial" w:hAnsi="Arial"/>
          <w:sz w:val="18"/>
          <w:szCs w:val="18"/>
          <w:color w:val="auto"/>
        </w:rPr>
        <w:t>Based on this information, the ratio of the annual total compensation of our CEO to the median of the annual total compensation of all our employees was 171:1.</w:t>
      </w:r>
    </w:p>
    <w:p>
      <w:pPr>
        <w:spacing w:after="0" w:line="90" w:lineRule="exact"/>
        <w:rPr>
          <w:sz w:val="20"/>
          <w:szCs w:val="20"/>
          <w:color w:val="auto"/>
        </w:rPr>
      </w:pPr>
    </w:p>
    <w:p>
      <w:pPr>
        <w:ind w:left="760" w:right="219"/>
        <w:spacing w:after="0" w:line="251" w:lineRule="auto"/>
        <w:rPr>
          <w:sz w:val="20"/>
          <w:szCs w:val="20"/>
          <w:color w:val="auto"/>
        </w:rPr>
      </w:pPr>
      <w:r>
        <w:rPr>
          <w:rFonts w:ascii="Arial" w:cs="Arial" w:eastAsia="Arial" w:hAnsi="Arial"/>
          <w:sz w:val="18"/>
          <w:szCs w:val="18"/>
          <w:color w:val="auto"/>
        </w:rPr>
        <w:t>To determine this pay ratio, we identified our median employee using our employee population as of December 31, 2019, which consisted of approximately 11,508 full-time and part-time employees, with 100% of these individuals located in the United States. To identify our median employee, we used salary/wages and annual incentive/bonus from our payroll records in fiscal 2019 as our consistently applied compensation measure. In making this determination, we annualized the compensation of approximately full-time and part-time employees who were hired in fiscal 2019 but did not work for us for the entire fiscal year. After identifying our median employee, we calculated the median employee’s compensation for fiscal 2019 in accordance with the requirements of Item 402(c)(2)(x) of Regulation S-K of the Exchange Act. Compensation amounts were determined from our human resources and payroll systems of record.</w:t>
      </w:r>
    </w:p>
    <w:p>
      <w:pPr>
        <w:spacing w:after="0" w:line="104" w:lineRule="exact"/>
        <w:rPr>
          <w:sz w:val="20"/>
          <w:szCs w:val="20"/>
          <w:color w:val="auto"/>
        </w:rPr>
      </w:pPr>
    </w:p>
    <w:p>
      <w:pPr>
        <w:ind w:left="760" w:right="239"/>
        <w:spacing w:after="0" w:line="253" w:lineRule="auto"/>
        <w:rPr>
          <w:sz w:val="20"/>
          <w:szCs w:val="20"/>
          <w:color w:val="auto"/>
        </w:rPr>
      </w:pPr>
      <w:r>
        <w:rPr>
          <w:rFonts w:ascii="Arial" w:cs="Arial" w:eastAsia="Arial" w:hAnsi="Arial"/>
          <w:sz w:val="18"/>
          <w:szCs w:val="18"/>
          <w:color w:val="auto"/>
        </w:rPr>
        <w:t>Our CEO Pay Ratio is a reasonable estimate calculated in a manner consistent with Item 402(u) of Regulation S-K. Due to the flexibility afforded by Item 402(u) in allowing companies to adopt a wide range of methodologies and to make reasonable estimates and assumptions that reflect their compensation practices to identify the median employee and calculate the CEO Pay Ratio, our CEO Pay Ratio may not be comparable to the CEO pay ratios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OWNERSHIP OF OUR SECURITIES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OWNERSHIP OF OUR SECURITIES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ind w:left="760" w:right="199"/>
        <w:spacing w:after="0" w:line="252"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2019 all reports required by Section 16(a) were timely filed, except that, due to administrative oversight, there was one late Form 4 filing for Ms. Rasmussen regarding the grant of certain equity awards.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Beneficial Ownership of National Vision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ind w:left="760" w:right="179"/>
        <w:spacing w:after="0" w:line="253"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our common stock as of April 15, 2020 by (1) each individual or entity known by us to beneficially own more than 5% of our outstanding common stock, (2) each of our named executive officers, (3) each of our directors and director nominees and (4) all of our directors and our executive officers as a group. As of April 15, 2020, there were 81,205,414 shares of our common stock, par value $0.01 per share, outstanding.</w:t>
      </w:r>
    </w:p>
    <w:p>
      <w:pPr>
        <w:spacing w:after="0" w:line="97" w:lineRule="exact"/>
        <w:rPr>
          <w:sz w:val="20"/>
          <w:szCs w:val="20"/>
          <w:color w:val="auto"/>
        </w:rPr>
      </w:pPr>
    </w:p>
    <w:p>
      <w:pPr>
        <w:ind w:left="760" w:right="319"/>
        <w:spacing w:after="0" w:line="256"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94" w:lineRule="exact"/>
        <w:rPr>
          <w:sz w:val="20"/>
          <w:szCs w:val="20"/>
          <w:color w:val="auto"/>
        </w:rPr>
      </w:pPr>
    </w:p>
    <w:p>
      <w:pPr>
        <w:ind w:left="760" w:right="439"/>
        <w:spacing w:after="0" w:line="256" w:lineRule="auto"/>
        <w:rPr>
          <w:sz w:val="20"/>
          <w:szCs w:val="20"/>
          <w:color w:val="auto"/>
        </w:rPr>
      </w:pPr>
      <w:r>
        <w:rPr>
          <w:rFonts w:ascii="Arial" w:cs="Arial" w:eastAsia="Arial" w:hAnsi="Arial"/>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94" w:lineRule="exact"/>
        <w:rPr>
          <w:sz w:val="20"/>
          <w:szCs w:val="20"/>
          <w:color w:val="auto"/>
        </w:rPr>
      </w:pPr>
    </w:p>
    <w:p>
      <w:pPr>
        <w:ind w:left="760" w:right="839"/>
        <w:spacing w:after="0" w:line="256"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94" w:lineRule="exact"/>
        <w:rPr>
          <w:sz w:val="20"/>
          <w:szCs w:val="20"/>
          <w:color w:val="auto"/>
        </w:rPr>
      </w:pPr>
    </w:p>
    <w:p>
      <w:pPr>
        <w:ind w:left="760" w:right="459"/>
        <w:spacing w:after="0" w:line="261"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44  </w:t>
      </w:r>
      <w:r>
        <w:rPr>
          <w:sz w:val="1"/>
          <w:szCs w:val="1"/>
          <w:color w:val="auto"/>
        </w:rPr>
        <w:drawing>
          <wp:inline distT="0" distB="0" distL="0" distR="0">
            <wp:extent cx="299720" cy="24003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FFFFFF"/>
        </w:rPr>
        <w:t>OWNERSHIP OF OUR SECURITIES</w:t>
      </w:r>
    </w:p>
    <w:p>
      <w:pPr>
        <w:spacing w:after="0" w:line="228"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584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62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600" w:type="dxa"/>
            <w:vAlign w:val="bottom"/>
            <w:tcBorders>
              <w:top w:val="single" w:sz="8" w:color="3C5896"/>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5840" w:type="dxa"/>
            <w:vAlign w:val="bottom"/>
            <w:tcBorders>
              <w:right w:val="single" w:sz="8" w:color="9EACCA"/>
            </w:tcBorders>
            <w:vMerge w:val="restart"/>
            <w:shd w:val="clear" w:color="auto" w:fill="3C5896"/>
          </w:tcPr>
          <w:p>
            <w:pPr>
              <w:ind w:left="1780"/>
              <w:spacing w:after="0"/>
              <w:rPr>
                <w:sz w:val="20"/>
                <w:szCs w:val="20"/>
                <w:color w:val="auto"/>
              </w:rPr>
            </w:pPr>
            <w:r>
              <w:rPr>
                <w:rFonts w:ascii="Arial" w:cs="Arial" w:eastAsia="Arial" w:hAnsi="Arial"/>
                <w:sz w:val="18"/>
                <w:szCs w:val="18"/>
                <w:b w:val="1"/>
                <w:bCs w:val="1"/>
                <w:color w:val="FFFFFF"/>
              </w:rPr>
              <w:t>Name of Beneficial Owner</w:t>
            </w:r>
          </w:p>
        </w:tc>
        <w:tc>
          <w:tcPr>
            <w:tcW w:w="40" w:type="dxa"/>
            <w:vAlign w:val="bottom"/>
            <w:shd w:val="clear" w:color="auto" w:fill="3C5896"/>
          </w:tcPr>
          <w:p>
            <w:pPr>
              <w:spacing w:after="0"/>
              <w:rPr>
                <w:sz w:val="16"/>
                <w:szCs w:val="16"/>
                <w:color w:val="auto"/>
              </w:rPr>
            </w:pPr>
          </w:p>
        </w:tc>
        <w:tc>
          <w:tcPr>
            <w:tcW w:w="1620" w:type="dxa"/>
            <w:vAlign w:val="bottom"/>
            <w:tcBorders>
              <w:right w:val="single" w:sz="8" w:color="9EACCA"/>
            </w:tcBorders>
            <w:vMerge w:val="restart"/>
            <w:shd w:val="clear" w:color="auto" w:fill="3C5896"/>
          </w:tcPr>
          <w:p>
            <w:pPr>
              <w:jc w:val="right"/>
              <w:ind w:right="330"/>
              <w:spacing w:after="0"/>
              <w:rPr>
                <w:sz w:val="20"/>
                <w:szCs w:val="20"/>
                <w:color w:val="auto"/>
              </w:rPr>
            </w:pPr>
            <w:r>
              <w:rPr>
                <w:rFonts w:ascii="Arial" w:cs="Arial" w:eastAsia="Arial" w:hAnsi="Arial"/>
                <w:sz w:val="18"/>
                <w:szCs w:val="18"/>
                <w:b w:val="1"/>
                <w:bCs w:val="1"/>
                <w:color w:val="FFFFFF"/>
              </w:rPr>
              <w:t>Number</w:t>
            </w:r>
            <w:r>
              <w:rPr>
                <w:rFonts w:ascii="Arial" w:cs="Arial" w:eastAsia="Arial" w:hAnsi="Arial"/>
                <w:sz w:val="26"/>
                <w:szCs w:val="26"/>
                <w:b w:val="1"/>
                <w:bCs w:val="1"/>
                <w:color w:val="FFFFFF"/>
                <w:vertAlign w:val="superscript"/>
              </w:rPr>
              <w:t>(1)</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Total Common</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5840" w:type="dxa"/>
            <w:vAlign w:val="bottom"/>
            <w:tcBorders>
              <w:right w:val="single" w:sz="8" w:color="9EACCA"/>
            </w:tcBorders>
            <w:vMerge w:val="continue"/>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1620" w:type="dxa"/>
            <w:vAlign w:val="bottom"/>
            <w:tcBorders>
              <w:right w:val="single" w:sz="8" w:color="9EACCA"/>
            </w:tcBorders>
            <w:vMerge w:val="continue"/>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160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7"/>
              </w:rPr>
              <w:t>Stock</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8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Greater than 5% Stockholders:</w:t>
            </w:r>
          </w:p>
        </w:tc>
        <w:tc>
          <w:tcPr>
            <w:tcW w:w="40" w:type="dxa"/>
            <w:vAlign w:val="bottom"/>
          </w:tcPr>
          <w:p>
            <w:pPr>
              <w:spacing w:after="0"/>
              <w:rPr>
                <w:sz w:val="21"/>
                <w:szCs w:val="21"/>
                <w:color w:val="auto"/>
              </w:rPr>
            </w:pPr>
          </w:p>
        </w:tc>
        <w:tc>
          <w:tcPr>
            <w:tcW w:w="162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4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FMR LLC and affiliates</w:t>
            </w:r>
            <w:r>
              <w:rPr>
                <w:rFonts w:ascii="Arial" w:cs="Arial" w:eastAsia="Arial" w:hAnsi="Arial"/>
                <w:sz w:val="26"/>
                <w:szCs w:val="26"/>
                <w:color w:val="auto"/>
                <w:vertAlign w:val="superscript"/>
              </w:rPr>
              <w:t>(2)</w:t>
            </w:r>
          </w:p>
        </w:tc>
        <w:tc>
          <w:tcPr>
            <w:tcW w:w="16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7,131,087</w:t>
            </w:r>
          </w:p>
        </w:tc>
        <w:tc>
          <w:tcPr>
            <w:tcW w:w="1640" w:type="dxa"/>
            <w:vAlign w:val="bottom"/>
            <w:tcBorders>
              <w:right w:val="single" w:sz="8" w:color="3C5896"/>
            </w:tcBorders>
            <w:gridSpan w:val="2"/>
            <w:shd w:val="clear" w:color="auto" w:fill="CCCCCC"/>
          </w:tcPr>
          <w:p>
            <w:pPr>
              <w:jc w:val="right"/>
              <w:ind w:right="4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6"/>
                <w:szCs w:val="26"/>
                <w:color w:val="auto"/>
                <w:vertAlign w:val="superscript"/>
              </w:rPr>
              <w:t>(3)</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7,168,408</w:t>
            </w:r>
          </w:p>
        </w:tc>
        <w:tc>
          <w:tcPr>
            <w:tcW w:w="1640" w:type="dxa"/>
            <w:vAlign w:val="bottom"/>
            <w:tcBorders>
              <w:right w:val="single" w:sz="8" w:color="3C5896"/>
            </w:tcBorders>
            <w:gridSpan w:val="2"/>
          </w:tcPr>
          <w:p>
            <w:pPr>
              <w:jc w:val="right"/>
              <w:ind w:right="4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584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Adage Capital Partners, L.P.</w:t>
            </w:r>
            <w:r>
              <w:rPr>
                <w:rFonts w:ascii="Arial" w:cs="Arial" w:eastAsia="Arial" w:hAnsi="Arial"/>
                <w:sz w:val="26"/>
                <w:szCs w:val="26"/>
                <w:color w:val="auto"/>
                <w:vertAlign w:val="superscript"/>
              </w:rPr>
              <w:t>(4)</w:t>
            </w:r>
          </w:p>
        </w:tc>
        <w:tc>
          <w:tcPr>
            <w:tcW w:w="16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7,681,773</w:t>
            </w:r>
          </w:p>
        </w:tc>
        <w:tc>
          <w:tcPr>
            <w:tcW w:w="1640" w:type="dxa"/>
            <w:vAlign w:val="bottom"/>
            <w:tcBorders>
              <w:right w:val="single" w:sz="8" w:color="3C5896"/>
            </w:tcBorders>
            <w:gridSpan w:val="2"/>
            <w:shd w:val="clear" w:color="auto" w:fill="CCCCCC"/>
          </w:tcPr>
          <w:p>
            <w:pPr>
              <w:jc w:val="right"/>
              <w:ind w:right="41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584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JPMorgan Chase &amp; Co.</w:t>
            </w:r>
            <w:r>
              <w:rPr>
                <w:rFonts w:ascii="Arial" w:cs="Arial" w:eastAsia="Arial" w:hAnsi="Arial"/>
                <w:sz w:val="26"/>
                <w:szCs w:val="26"/>
                <w:color w:val="auto"/>
                <w:vertAlign w:val="superscript"/>
              </w:rPr>
              <w:t>(5)</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6,277,635</w:t>
            </w:r>
          </w:p>
        </w:tc>
        <w:tc>
          <w:tcPr>
            <w:tcW w:w="1640" w:type="dxa"/>
            <w:vAlign w:val="bottom"/>
            <w:tcBorders>
              <w:right w:val="single" w:sz="8" w:color="3C5896"/>
            </w:tcBorders>
            <w:gridSpan w:val="2"/>
          </w:tcPr>
          <w:p>
            <w:pPr>
              <w:jc w:val="right"/>
              <w:ind w:right="41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584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(6)</w:t>
            </w:r>
          </w:p>
        </w:tc>
        <w:tc>
          <w:tcPr>
            <w:tcW w:w="16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5,432,217</w:t>
            </w:r>
          </w:p>
        </w:tc>
        <w:tc>
          <w:tcPr>
            <w:tcW w:w="1640" w:type="dxa"/>
            <w:vAlign w:val="bottom"/>
            <w:tcBorders>
              <w:right w:val="single" w:sz="8" w:color="3C5896"/>
            </w:tcBorders>
            <w:gridSpan w:val="2"/>
            <w:shd w:val="clear" w:color="auto" w:fill="CCCCCC"/>
          </w:tcPr>
          <w:p>
            <w:pPr>
              <w:jc w:val="right"/>
              <w:ind w:right="4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584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Wasatch Advisors, Inc.</w:t>
            </w:r>
            <w:r>
              <w:rPr>
                <w:rFonts w:ascii="Arial" w:cs="Arial" w:eastAsia="Arial" w:hAnsi="Arial"/>
                <w:sz w:val="26"/>
                <w:szCs w:val="26"/>
                <w:color w:val="auto"/>
                <w:vertAlign w:val="superscript"/>
              </w:rPr>
              <w:t>(7)</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5,284,851</w:t>
            </w:r>
          </w:p>
        </w:tc>
        <w:tc>
          <w:tcPr>
            <w:tcW w:w="1640" w:type="dxa"/>
            <w:vAlign w:val="bottom"/>
            <w:tcBorders>
              <w:right w:val="single" w:sz="8" w:color="3C5896"/>
            </w:tcBorders>
            <w:gridSpan w:val="2"/>
          </w:tcPr>
          <w:p>
            <w:pPr>
              <w:jc w:val="right"/>
              <w:ind w:right="4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8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40" w:type="dxa"/>
            <w:vAlign w:val="bottom"/>
            <w:shd w:val="clear" w:color="auto" w:fill="CCCCCC"/>
          </w:tcPr>
          <w:p>
            <w:pPr>
              <w:spacing w:after="0"/>
              <w:rPr>
                <w:sz w:val="23"/>
                <w:szCs w:val="23"/>
                <w:color w:val="auto"/>
              </w:rPr>
            </w:pPr>
          </w:p>
        </w:tc>
        <w:tc>
          <w:tcPr>
            <w:tcW w:w="1620" w:type="dxa"/>
            <w:vAlign w:val="bottom"/>
            <w:tcBorders>
              <w:right w:val="single" w:sz="8" w:color="9EACCA"/>
            </w:tcBorders>
            <w:shd w:val="clear" w:color="auto" w:fill="CCCCCC"/>
          </w:tcPr>
          <w:p>
            <w:pPr>
              <w:spacing w:after="0"/>
              <w:rPr>
                <w:sz w:val="23"/>
                <w:szCs w:val="23"/>
                <w:color w:val="auto"/>
              </w:rPr>
            </w:pPr>
          </w:p>
        </w:tc>
        <w:tc>
          <w:tcPr>
            <w:tcW w:w="40" w:type="dxa"/>
            <w:vAlign w:val="bottom"/>
            <w:shd w:val="clear" w:color="auto" w:fill="CCCCCC"/>
          </w:tcPr>
          <w:p>
            <w:pPr>
              <w:spacing w:after="0"/>
              <w:rPr>
                <w:sz w:val="23"/>
                <w:szCs w:val="23"/>
                <w:color w:val="auto"/>
              </w:rPr>
            </w:pPr>
          </w:p>
        </w:tc>
        <w:tc>
          <w:tcPr>
            <w:tcW w:w="1600" w:type="dxa"/>
            <w:vAlign w:val="bottom"/>
            <w:tcBorders>
              <w:right w:val="single" w:sz="8" w:color="3C5896"/>
            </w:tcBorders>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584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L. Reade Fahs</w:t>
            </w:r>
            <w:r>
              <w:rPr>
                <w:rFonts w:ascii="Arial" w:cs="Arial" w:eastAsia="Arial" w:hAnsi="Arial"/>
                <w:sz w:val="26"/>
                <w:szCs w:val="26"/>
                <w:color w:val="auto"/>
                <w:vertAlign w:val="superscript"/>
              </w:rPr>
              <w:t>(8)</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1,504,309</w:t>
            </w:r>
          </w:p>
        </w:tc>
        <w:tc>
          <w:tcPr>
            <w:tcW w:w="1640" w:type="dxa"/>
            <w:vAlign w:val="bottom"/>
            <w:tcBorders>
              <w:right w:val="single" w:sz="8" w:color="3C5896"/>
            </w:tcBorders>
            <w:gridSpan w:val="2"/>
          </w:tcPr>
          <w:p>
            <w:pPr>
              <w:jc w:val="right"/>
              <w:ind w:right="4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8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16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216,761</w:t>
            </w:r>
          </w:p>
        </w:tc>
        <w:tc>
          <w:tcPr>
            <w:tcW w:w="1640" w:type="dxa"/>
            <w:vAlign w:val="bottom"/>
            <w:tcBorders>
              <w:right w:val="single" w:sz="8" w:color="3C5896"/>
            </w:tcBorders>
            <w:gridSpan w:val="2"/>
            <w:shd w:val="clear" w:color="auto" w:fill="CCCCCC"/>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tcPr>
          <w:p>
            <w:pPr>
              <w:spacing w:after="0"/>
              <w:rPr>
                <w:sz w:val="22"/>
                <w:szCs w:val="22"/>
                <w:color w:val="auto"/>
              </w:rPr>
            </w:pPr>
          </w:p>
        </w:tc>
        <w:tc>
          <w:tcPr>
            <w:tcW w:w="58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Jared Brandman</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53,498</w:t>
            </w:r>
          </w:p>
        </w:tc>
        <w:tc>
          <w:tcPr>
            <w:tcW w:w="1640" w:type="dxa"/>
            <w:vAlign w:val="bottom"/>
            <w:tcBorders>
              <w:right w:val="single" w:sz="8" w:color="3C5896"/>
            </w:tcBorders>
            <w:gridSpan w:val="2"/>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Bill Clark</w:t>
            </w:r>
          </w:p>
        </w:tc>
        <w:tc>
          <w:tcPr>
            <w:tcW w:w="16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7,876</w:t>
            </w:r>
          </w:p>
        </w:tc>
        <w:tc>
          <w:tcPr>
            <w:tcW w:w="1640" w:type="dxa"/>
            <w:vAlign w:val="bottom"/>
            <w:tcBorders>
              <w:right w:val="single" w:sz="8" w:color="3C5896"/>
            </w:tcBorders>
            <w:gridSpan w:val="2"/>
            <w:shd w:val="clear" w:color="auto" w:fill="CCCCCC"/>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tcPr>
          <w:p>
            <w:pPr>
              <w:spacing w:after="0"/>
              <w:rPr>
                <w:sz w:val="22"/>
                <w:szCs w:val="22"/>
                <w:color w:val="auto"/>
              </w:rPr>
            </w:pPr>
          </w:p>
        </w:tc>
        <w:tc>
          <w:tcPr>
            <w:tcW w:w="58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Melissa Rasmussen</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0</w:t>
            </w:r>
          </w:p>
        </w:tc>
        <w:tc>
          <w:tcPr>
            <w:tcW w:w="1640" w:type="dxa"/>
            <w:vAlign w:val="bottom"/>
            <w:tcBorders>
              <w:right w:val="single" w:sz="8" w:color="3C5896"/>
            </w:tcBorders>
            <w:gridSpan w:val="2"/>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Jeff McAllister</w:t>
            </w:r>
          </w:p>
        </w:tc>
        <w:tc>
          <w:tcPr>
            <w:tcW w:w="16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173,912</w:t>
            </w:r>
          </w:p>
        </w:tc>
        <w:tc>
          <w:tcPr>
            <w:tcW w:w="1640" w:type="dxa"/>
            <w:vAlign w:val="bottom"/>
            <w:tcBorders>
              <w:right w:val="single" w:sz="8" w:color="3C5896"/>
            </w:tcBorders>
            <w:gridSpan w:val="2"/>
            <w:shd w:val="clear" w:color="auto" w:fill="CCCCCC"/>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tcPr>
          <w:p>
            <w:pPr>
              <w:spacing w:after="0"/>
              <w:rPr>
                <w:sz w:val="22"/>
                <w:szCs w:val="22"/>
                <w:color w:val="auto"/>
              </w:rPr>
            </w:pPr>
          </w:p>
        </w:tc>
        <w:tc>
          <w:tcPr>
            <w:tcW w:w="58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Chris Beasley</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0</w:t>
            </w:r>
          </w:p>
        </w:tc>
        <w:tc>
          <w:tcPr>
            <w:tcW w:w="1640" w:type="dxa"/>
            <w:vAlign w:val="bottom"/>
            <w:tcBorders>
              <w:right w:val="single" w:sz="8" w:color="3C5896"/>
            </w:tcBorders>
            <w:gridSpan w:val="2"/>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Nathaniel H. Taylor</w:t>
            </w:r>
          </w:p>
        </w:tc>
        <w:tc>
          <w:tcPr>
            <w:tcW w:w="40" w:type="dxa"/>
            <w:vAlign w:val="bottom"/>
            <w:shd w:val="clear" w:color="auto" w:fill="CCCCCC"/>
          </w:tcPr>
          <w:p>
            <w:pPr>
              <w:spacing w:after="0"/>
              <w:rPr>
                <w:sz w:val="24"/>
                <w:szCs w:val="24"/>
                <w:color w:val="auto"/>
              </w:rPr>
            </w:pP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CCCC"/>
          </w:tcPr>
          <w:p>
            <w:pPr>
              <w:spacing w:after="0"/>
              <w:rPr>
                <w:sz w:val="24"/>
                <w:szCs w:val="24"/>
                <w:color w:val="auto"/>
              </w:rPr>
            </w:pPr>
          </w:p>
        </w:tc>
        <w:tc>
          <w:tcPr>
            <w:tcW w:w="1600" w:type="dxa"/>
            <w:vAlign w:val="bottom"/>
            <w:tcBorders>
              <w:right w:val="single" w:sz="8" w:color="3C5896"/>
            </w:tcBorders>
            <w:shd w:val="clear" w:color="auto" w:fill="CCCCCC"/>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tcPr>
          <w:p>
            <w:pPr>
              <w:spacing w:after="0"/>
              <w:rPr>
                <w:sz w:val="22"/>
                <w:szCs w:val="22"/>
                <w:color w:val="auto"/>
              </w:rPr>
            </w:pPr>
          </w:p>
        </w:tc>
        <w:tc>
          <w:tcPr>
            <w:tcW w:w="58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D. Randolph Peeler</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42,867</w:t>
            </w:r>
          </w:p>
        </w:tc>
        <w:tc>
          <w:tcPr>
            <w:tcW w:w="1640" w:type="dxa"/>
            <w:vAlign w:val="bottom"/>
            <w:tcBorders>
              <w:right w:val="single" w:sz="8" w:color="3C5896"/>
            </w:tcBorders>
            <w:gridSpan w:val="2"/>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David M. Tehle</w:t>
            </w:r>
          </w:p>
        </w:tc>
        <w:tc>
          <w:tcPr>
            <w:tcW w:w="16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12,522</w:t>
            </w:r>
          </w:p>
        </w:tc>
        <w:tc>
          <w:tcPr>
            <w:tcW w:w="1640" w:type="dxa"/>
            <w:vAlign w:val="bottom"/>
            <w:tcBorders>
              <w:right w:val="single" w:sz="8" w:color="3C5896"/>
            </w:tcBorders>
            <w:gridSpan w:val="2"/>
            <w:shd w:val="clear" w:color="auto" w:fill="CCCCCC"/>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tcPr>
          <w:p>
            <w:pPr>
              <w:spacing w:after="0"/>
              <w:rPr>
                <w:sz w:val="22"/>
                <w:szCs w:val="22"/>
                <w:color w:val="auto"/>
              </w:rPr>
            </w:pPr>
          </w:p>
        </w:tc>
        <w:tc>
          <w:tcPr>
            <w:tcW w:w="58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Virginia A. Hepner</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5,895</w:t>
            </w:r>
          </w:p>
        </w:tc>
        <w:tc>
          <w:tcPr>
            <w:tcW w:w="1640" w:type="dxa"/>
            <w:vAlign w:val="bottom"/>
            <w:tcBorders>
              <w:right w:val="single" w:sz="8" w:color="3C5896"/>
            </w:tcBorders>
            <w:gridSpan w:val="2"/>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Thomas V. Taylor, Jr.</w:t>
            </w:r>
          </w:p>
        </w:tc>
        <w:tc>
          <w:tcPr>
            <w:tcW w:w="16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15,068</w:t>
            </w:r>
          </w:p>
        </w:tc>
        <w:tc>
          <w:tcPr>
            <w:tcW w:w="1640" w:type="dxa"/>
            <w:vAlign w:val="bottom"/>
            <w:tcBorders>
              <w:right w:val="single" w:sz="8" w:color="3C5896"/>
            </w:tcBorders>
            <w:gridSpan w:val="2"/>
            <w:shd w:val="clear" w:color="auto" w:fill="CCCCCC"/>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tcPr>
          <w:p>
            <w:pPr>
              <w:spacing w:after="0"/>
              <w:rPr>
                <w:sz w:val="22"/>
                <w:szCs w:val="22"/>
                <w:color w:val="auto"/>
              </w:rPr>
            </w:pPr>
          </w:p>
        </w:tc>
        <w:tc>
          <w:tcPr>
            <w:tcW w:w="58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Heather Cianfrocco</w:t>
            </w:r>
          </w:p>
        </w:tc>
        <w:tc>
          <w:tcPr>
            <w:tcW w:w="16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3,116</w:t>
            </w:r>
          </w:p>
        </w:tc>
        <w:tc>
          <w:tcPr>
            <w:tcW w:w="1640" w:type="dxa"/>
            <w:vAlign w:val="bottom"/>
            <w:tcBorders>
              <w:right w:val="single" w:sz="8" w:color="3C5896"/>
            </w:tcBorders>
            <w:gridSpan w:val="2"/>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bottom w:val="single" w:sz="8" w:color="3C5896"/>
            </w:tcBorders>
            <w:shd w:val="clear" w:color="auto" w:fill="CCCCCC"/>
          </w:tcPr>
          <w:p>
            <w:pPr>
              <w:spacing w:after="0"/>
              <w:rPr>
                <w:sz w:val="22"/>
                <w:szCs w:val="22"/>
                <w:color w:val="auto"/>
              </w:rPr>
            </w:pPr>
          </w:p>
        </w:tc>
        <w:tc>
          <w:tcPr>
            <w:tcW w:w="5840" w:type="dxa"/>
            <w:vAlign w:val="bottom"/>
            <w:tcBorders>
              <w:bottom w:val="single" w:sz="8" w:color="3C5896"/>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All directors and executive officers as a group (16 persons)</w:t>
            </w:r>
          </w:p>
        </w:tc>
        <w:tc>
          <w:tcPr>
            <w:tcW w:w="1660" w:type="dxa"/>
            <w:vAlign w:val="bottom"/>
            <w:tcBorders>
              <w:bottom w:val="single" w:sz="8" w:color="3C5896"/>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1,862,834</w:t>
            </w:r>
          </w:p>
        </w:tc>
        <w:tc>
          <w:tcPr>
            <w:tcW w:w="1640" w:type="dxa"/>
            <w:vAlign w:val="bottom"/>
            <w:tcBorders>
              <w:bottom w:val="single" w:sz="8" w:color="3C5896"/>
              <w:right w:val="single" w:sz="8" w:color="3C5896"/>
            </w:tcBorders>
            <w:gridSpan w:val="2"/>
            <w:shd w:val="clear" w:color="auto" w:fill="CCCCCC"/>
          </w:tcPr>
          <w:p>
            <w:pPr>
              <w:jc w:val="right"/>
              <w:ind w:right="4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-3805555</wp:posOffset>
            </wp:positionV>
            <wp:extent cx="58204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71" w:lineRule="exact"/>
        <w:rPr>
          <w:sz w:val="20"/>
          <w:szCs w:val="20"/>
          <w:color w:val="auto"/>
        </w:rPr>
      </w:pPr>
    </w:p>
    <w:p>
      <w:pPr>
        <w:ind w:left="1120" w:hanging="356"/>
        <w:spacing w:after="0"/>
        <w:tabs>
          <w:tab w:leader="none" w:pos="11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71" w:lineRule="exact"/>
        <w:rPr>
          <w:sz w:val="20"/>
          <w:szCs w:val="20"/>
          <w:color w:val="auto"/>
        </w:rPr>
      </w:pPr>
    </w:p>
    <w:p>
      <w:pPr>
        <w:ind w:left="1120" w:hanging="356"/>
        <w:spacing w:after="0"/>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number of shares reported includes shares covered by options that are exercisable within 60 days as follows:</w:t>
      </w:r>
    </w:p>
    <w:p>
      <w:pPr>
        <w:spacing w:after="0" w:line="3" w:lineRule="exact"/>
        <w:rPr>
          <w:rFonts w:ascii="Arial" w:cs="Arial" w:eastAsia="Arial" w:hAnsi="Arial"/>
          <w:sz w:val="15"/>
          <w:szCs w:val="15"/>
          <w:color w:val="auto"/>
        </w:rPr>
      </w:pPr>
    </w:p>
    <w:p>
      <w:pPr>
        <w:ind w:left="1120" w:right="719"/>
        <w:spacing w:after="0" w:line="260" w:lineRule="auto"/>
        <w:rPr>
          <w:rFonts w:ascii="Arial" w:cs="Arial" w:eastAsia="Arial" w:hAnsi="Arial"/>
          <w:sz w:val="15"/>
          <w:szCs w:val="15"/>
          <w:color w:val="auto"/>
        </w:rPr>
      </w:pPr>
      <w:r>
        <w:rPr>
          <w:rFonts w:ascii="Arial" w:cs="Arial" w:eastAsia="Arial" w:hAnsi="Arial"/>
          <w:sz w:val="15"/>
          <w:szCs w:val="15"/>
          <w:color w:val="auto"/>
        </w:rPr>
        <w:t>Mr. Fahs,1,002,842; Mr. Moore, 212,262; Mr. Brandman, 48,029; Mr. Clark, 7,877; Ms. Rasmussen, 0; and all directors and executive officers as a group,1,271,019.</w:t>
      </w:r>
    </w:p>
    <w:p>
      <w:pPr>
        <w:spacing w:after="0" w:line="44" w:lineRule="exact"/>
        <w:rPr>
          <w:rFonts w:ascii="Arial" w:cs="Arial" w:eastAsia="Arial" w:hAnsi="Arial"/>
          <w:sz w:val="15"/>
          <w:szCs w:val="15"/>
          <w:color w:val="auto"/>
        </w:rPr>
      </w:pPr>
    </w:p>
    <w:p>
      <w:pPr>
        <w:jc w:val="both"/>
        <w:ind w:left="1120" w:right="659" w:hanging="356"/>
        <w:spacing w:after="0" w:line="252"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FMR LLC and affiliates with the SEC on February 6, 2020, reporting beneficial ownership as of December 31, 2019. FMR LLC and affiliates reported that it has sole voting power with respect to 370,337 shares of common stock and sole dispositive power with respect to 7,131,087 shares of common stock.</w:t>
      </w:r>
    </w:p>
    <w:p>
      <w:pPr>
        <w:spacing w:after="0" w:line="64" w:lineRule="exact"/>
        <w:rPr>
          <w:rFonts w:ascii="Arial" w:cs="Arial" w:eastAsia="Arial" w:hAnsi="Arial"/>
          <w:sz w:val="15"/>
          <w:szCs w:val="15"/>
          <w:color w:val="auto"/>
        </w:rPr>
      </w:pPr>
    </w:p>
    <w:p>
      <w:pPr>
        <w:ind w:left="1120" w:right="179" w:hanging="356"/>
        <w:spacing w:after="0" w:line="249"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The Vanguard Group with the SEC on February 10, 2020, reporting beneficial ownership as of December 31, 2019. The Vanguard Group reported that it has sole voting power with respect to 164,852 shares of common stock, sole dispositive power with respect to 6,994,960 shares of common stock, shared voting power with respect to 18,886 shares of common stock and shared dispositive power with respect to 173,718 shares of common stock.</w:t>
      </w:r>
    </w:p>
    <w:p>
      <w:pPr>
        <w:spacing w:after="0" w:line="53" w:lineRule="exact"/>
        <w:rPr>
          <w:rFonts w:ascii="Arial" w:cs="Arial" w:eastAsia="Arial" w:hAnsi="Arial"/>
          <w:sz w:val="15"/>
          <w:szCs w:val="15"/>
          <w:color w:val="auto"/>
        </w:rPr>
      </w:pPr>
    </w:p>
    <w:p>
      <w:pPr>
        <w:ind w:left="1120" w:right="239" w:hanging="356"/>
        <w:spacing w:after="0" w:line="252"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Adage Capital Partners, L.P. with the SEC on February 12, 2020, reporting beneficial ownership as of December 31, 2019. Adage Capital Partners, L.P. reported that it has shared voting power and shared dispositive power with respect to 7,681,773 shares of common stock.</w:t>
      </w:r>
    </w:p>
    <w:p>
      <w:pPr>
        <w:spacing w:after="0" w:line="50" w:lineRule="exact"/>
        <w:rPr>
          <w:rFonts w:ascii="Arial" w:cs="Arial" w:eastAsia="Arial" w:hAnsi="Arial"/>
          <w:sz w:val="15"/>
          <w:szCs w:val="15"/>
          <w:color w:val="auto"/>
        </w:rPr>
      </w:pPr>
    </w:p>
    <w:p>
      <w:pPr>
        <w:ind w:left="1120" w:right="599" w:hanging="356"/>
        <w:spacing w:after="0" w:line="252"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JPMorgan Chase &amp; Co. with the SEC on January 27,2020, reporting beneficial ownership as of December 31, 2019. JPMorgan Chase &amp; Co. reported that it has sole voting power with respect to 6,277,635 shares of common stock and sole dispositive power with respect to 6,735,536 shares of common stock.</w:t>
      </w:r>
    </w:p>
    <w:p>
      <w:pPr>
        <w:spacing w:after="0" w:line="64" w:lineRule="exact"/>
        <w:rPr>
          <w:rFonts w:ascii="Arial" w:cs="Arial" w:eastAsia="Arial" w:hAnsi="Arial"/>
          <w:sz w:val="15"/>
          <w:szCs w:val="15"/>
          <w:color w:val="auto"/>
        </w:rPr>
      </w:pPr>
    </w:p>
    <w:p>
      <w:pPr>
        <w:ind w:left="1120" w:right="439" w:hanging="356"/>
        <w:spacing w:after="0" w:line="252"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BlackRock, Inc. with the SEC on February 5, 2020, reporting beneficial ownership as of December 31, 2019. BlackRock, Inc. reported that it has sole voting power with respect to 5,293,972 shares of common stock and sole dispositive power with respect to 5,432,217 shares of common stock.</w:t>
      </w:r>
    </w:p>
    <w:p>
      <w:pPr>
        <w:spacing w:after="0" w:line="50" w:lineRule="exact"/>
        <w:rPr>
          <w:rFonts w:ascii="Arial" w:cs="Arial" w:eastAsia="Arial" w:hAnsi="Arial"/>
          <w:sz w:val="15"/>
          <w:szCs w:val="15"/>
          <w:color w:val="auto"/>
        </w:rPr>
      </w:pPr>
    </w:p>
    <w:p>
      <w:pPr>
        <w:ind w:left="1120" w:right="279" w:hanging="356"/>
        <w:spacing w:after="0" w:line="252"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Wasatch Advisors, Inc. with the SEC on February 10, 2020, reporting beneficial ownership as of December 31, 2019. Wasatch Advisors, Inc. reported that is has sole voting power and sole dispositive power with respect to 5,284,851 shares of common stock.</w:t>
      </w:r>
    </w:p>
    <w:p>
      <w:pPr>
        <w:spacing w:after="0" w:line="50" w:lineRule="exact"/>
        <w:rPr>
          <w:rFonts w:ascii="Arial" w:cs="Arial" w:eastAsia="Arial" w:hAnsi="Arial"/>
          <w:sz w:val="15"/>
          <w:szCs w:val="15"/>
          <w:color w:val="auto"/>
        </w:rPr>
      </w:pPr>
    </w:p>
    <w:p>
      <w:pPr>
        <w:ind w:left="1120" w:hanging="356"/>
        <w:spacing w:after="0"/>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shares held by the Fahs Family Trust.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IMPORTANT INFORMATION ABOUT VOTING AT THE ANNUAL MEETING</w:t>
      </w:r>
    </w:p>
    <w:p>
      <w:pPr>
        <w:spacing w:after="0" w:line="238" w:lineRule="exact"/>
        <w:rPr>
          <w:sz w:val="20"/>
          <w:szCs w:val="20"/>
          <w:color w:val="auto"/>
        </w:rPr>
      </w:pPr>
    </w:p>
    <w:p>
      <w:pPr>
        <w:ind w:left="760" w:right="1399"/>
        <w:spacing w:after="0" w:line="242" w:lineRule="auto"/>
        <w:rPr>
          <w:sz w:val="20"/>
          <w:szCs w:val="20"/>
          <w:color w:val="auto"/>
        </w:rPr>
      </w:pPr>
      <w:r>
        <w:rPr>
          <w:rFonts w:ascii="Arial" w:cs="Arial" w:eastAsia="Arial" w:hAnsi="Arial"/>
          <w:sz w:val="32"/>
          <w:szCs w:val="32"/>
          <w:color w:val="auto"/>
        </w:rPr>
        <w:t>IMPORTANT INFORMATION ABOUT VOTING AT THE ANNUAL MEETING</w:t>
      </w:r>
    </w:p>
    <w:p>
      <w:pPr>
        <w:spacing w:after="0" w:line="77" w:lineRule="exact"/>
        <w:rPr>
          <w:sz w:val="20"/>
          <w:szCs w:val="20"/>
          <w:color w:val="auto"/>
        </w:rPr>
      </w:pPr>
    </w:p>
    <w:p>
      <w:pPr>
        <w:ind w:left="760" w:right="219"/>
        <w:spacing w:after="0" w:line="252" w:lineRule="auto"/>
        <w:rPr>
          <w:sz w:val="20"/>
          <w:szCs w:val="20"/>
          <w:color w:val="auto"/>
        </w:rPr>
      </w:pPr>
      <w:r>
        <w:rPr>
          <w:rFonts w:ascii="Arial" w:cs="Arial" w:eastAsia="Arial" w:hAnsi="Arial"/>
          <w:sz w:val="18"/>
          <w:szCs w:val="18"/>
          <w:color w:val="auto"/>
        </w:rPr>
        <w:t>If at the close of business on April 15, 2020, you were a stockholder of record or held shares through a broker or bank, you may vote your shares by proxy at the Annual Meeting. If you were a stockholder of record, you may vote your shares over the Internet, by telephone or by mail, or you may vote in person at the Annual Meeting. You may also revoke your proxy at the times and in the manners set forth below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78" w:lineRule="exact"/>
        <w:rPr>
          <w:sz w:val="20"/>
          <w:szCs w:val="20"/>
          <w:color w:val="auto"/>
        </w:rPr>
      </w:pPr>
    </w:p>
    <w:p>
      <w:pPr>
        <w:jc w:val="both"/>
        <w:ind w:left="760" w:right="219"/>
        <w:spacing w:after="0" w:line="268" w:lineRule="auto"/>
        <w:rPr>
          <w:sz w:val="20"/>
          <w:szCs w:val="20"/>
          <w:color w:val="auto"/>
        </w:rPr>
      </w:pPr>
      <w:r>
        <w:rPr>
          <w:rFonts w:ascii="Arial" w:cs="Arial" w:eastAsia="Arial" w:hAnsi="Arial"/>
          <w:sz w:val="18"/>
          <w:szCs w:val="18"/>
          <w:b w:val="1"/>
          <w:bCs w:val="1"/>
          <w:color w:val="auto"/>
        </w:rPr>
        <w:t>If you are a stockholder of record, your vote must be received by 11:59 p.m., Eastern Time, on June 9, 2020 to be counted. If you hold shares through a broker, bank or other nominee, please refer to information from your bank, broker or nominee for voting instructions.</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vote by proxy if you are a stockholder of record: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1120" w:hanging="212"/>
        <w:spacing w:after="0"/>
        <w:tabs>
          <w:tab w:leader="none" w:pos="1120" w:val="left"/>
        </w:tabs>
        <w:numPr>
          <w:ilvl w:val="0"/>
          <w:numId w:val="48"/>
        </w:numPr>
        <w:rPr>
          <w:rFonts w:ascii="Arial" w:cs="Arial" w:eastAsia="Arial" w:hAnsi="Arial"/>
          <w:sz w:val="18"/>
          <w:szCs w:val="18"/>
          <w:color w:val="3C5896"/>
        </w:rPr>
      </w:pPr>
      <w:r>
        <w:rPr>
          <w:rFonts w:ascii="Arial" w:cs="Arial" w:eastAsia="Arial" w:hAnsi="Arial"/>
          <w:sz w:val="18"/>
          <w:szCs w:val="18"/>
          <w:color w:val="auto"/>
        </w:rPr>
        <w:t xml:space="preserve">Go to the website </w:t>
      </w:r>
      <w:r>
        <w:rPr>
          <w:rFonts w:ascii="Arial" w:cs="Arial" w:eastAsia="Arial" w:hAnsi="Arial"/>
          <w:sz w:val="18"/>
          <w:szCs w:val="18"/>
          <w:u w:val="single" w:color="auto"/>
          <w:color w:val="auto"/>
        </w:rPr>
        <w:t>www.investorvote.com/EYE</w:t>
      </w:r>
      <w:r>
        <w:rPr>
          <w:rFonts w:ascii="Arial" w:cs="Arial" w:eastAsia="Arial" w:hAnsi="Arial"/>
          <w:sz w:val="18"/>
          <w:szCs w:val="18"/>
          <w:color w:val="auto"/>
        </w:rPr>
        <w:t xml:space="preserve"> and follow the instructions, 24 hours a day, seven days a week.</w:t>
      </w:r>
    </w:p>
    <w:p>
      <w:pPr>
        <w:spacing w:after="0" w:line="103" w:lineRule="exact"/>
        <w:rPr>
          <w:rFonts w:ascii="Arial" w:cs="Arial" w:eastAsia="Arial" w:hAnsi="Arial"/>
          <w:sz w:val="18"/>
          <w:szCs w:val="18"/>
          <w:color w:val="3C5896"/>
        </w:rPr>
      </w:pPr>
    </w:p>
    <w:p>
      <w:pPr>
        <w:ind w:left="1120" w:right="299" w:hanging="212"/>
        <w:spacing w:after="0" w:line="246" w:lineRule="auto"/>
        <w:tabs>
          <w:tab w:leader="none" w:pos="1120" w:val="left"/>
        </w:tabs>
        <w:numPr>
          <w:ilvl w:val="0"/>
          <w:numId w:val="48"/>
        </w:numPr>
        <w:rPr>
          <w:rFonts w:ascii="Arial" w:cs="Arial" w:eastAsia="Arial" w:hAnsi="Arial"/>
          <w:sz w:val="18"/>
          <w:szCs w:val="18"/>
          <w:color w:val="3C5896"/>
        </w:rPr>
      </w:pPr>
      <w:r>
        <w:rPr>
          <w:rFonts w:ascii="Arial" w:cs="Arial" w:eastAsia="Arial" w:hAnsi="Arial"/>
          <w:sz w:val="18"/>
          <w:szCs w:val="18"/>
          <w:color w:val="auto"/>
        </w:rPr>
        <w:t>You will need the control number included on your Notice of Internet Availability of Proxy Materials, proxy card or related materials to obtain your records and to create an electronic voting instruction form.</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1120" w:right="499" w:hanging="212"/>
        <w:spacing w:after="0" w:line="246" w:lineRule="auto"/>
        <w:tabs>
          <w:tab w:leader="none" w:pos="1120" w:val="left"/>
        </w:tabs>
        <w:numPr>
          <w:ilvl w:val="0"/>
          <w:numId w:val="49"/>
        </w:numPr>
        <w:rPr>
          <w:rFonts w:ascii="Arial" w:cs="Arial" w:eastAsia="Arial" w:hAnsi="Arial"/>
          <w:sz w:val="18"/>
          <w:szCs w:val="18"/>
          <w:color w:val="3C5896"/>
        </w:rPr>
      </w:pPr>
      <w:r>
        <w:rPr>
          <w:rFonts w:ascii="Arial" w:cs="Arial" w:eastAsia="Arial" w:hAnsi="Arial"/>
          <w:sz w:val="18"/>
          <w:szCs w:val="18"/>
          <w:color w:val="auto"/>
        </w:rPr>
        <w:t>From a touch-tone telephone, dial 1-800-652-VOTE (8683) and follow the recorded instructions, 24 hours a day, seven days a week.</w:t>
      </w:r>
    </w:p>
    <w:p>
      <w:pPr>
        <w:spacing w:after="0" w:line="88" w:lineRule="exact"/>
        <w:rPr>
          <w:rFonts w:ascii="Arial" w:cs="Arial" w:eastAsia="Arial" w:hAnsi="Arial"/>
          <w:sz w:val="18"/>
          <w:szCs w:val="18"/>
          <w:color w:val="3C5896"/>
        </w:rPr>
      </w:pPr>
    </w:p>
    <w:p>
      <w:pPr>
        <w:ind w:left="1120" w:right="299" w:hanging="212"/>
        <w:spacing w:after="0" w:line="246" w:lineRule="auto"/>
        <w:tabs>
          <w:tab w:leader="none" w:pos="1120" w:val="left"/>
        </w:tabs>
        <w:numPr>
          <w:ilvl w:val="0"/>
          <w:numId w:val="49"/>
        </w:numPr>
        <w:rPr>
          <w:rFonts w:ascii="Arial" w:cs="Arial" w:eastAsia="Arial" w:hAnsi="Arial"/>
          <w:sz w:val="18"/>
          <w:szCs w:val="18"/>
          <w:color w:val="3C5896"/>
        </w:rPr>
      </w:pPr>
      <w:r>
        <w:rPr>
          <w:rFonts w:ascii="Arial" w:cs="Arial" w:eastAsia="Arial" w:hAnsi="Arial"/>
          <w:sz w:val="18"/>
          <w:szCs w:val="18"/>
          <w:color w:val="auto"/>
        </w:rPr>
        <w:t>You will need the control number included on your Notice of Internet Availability of Proxy Materials, proxy card or related materials in order to vote by telephone.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ind w:left="1120" w:hanging="212"/>
        <w:spacing w:after="0"/>
        <w:tabs>
          <w:tab w:leader="none" w:pos="1120" w:val="left"/>
        </w:tabs>
        <w:numPr>
          <w:ilvl w:val="0"/>
          <w:numId w:val="50"/>
        </w:numPr>
        <w:rPr>
          <w:rFonts w:ascii="Arial" w:cs="Arial" w:eastAsia="Arial" w:hAnsi="Arial"/>
          <w:sz w:val="18"/>
          <w:szCs w:val="18"/>
          <w:color w:val="3C5896"/>
        </w:rPr>
      </w:pPr>
      <w:r>
        <w:rPr>
          <w:rFonts w:ascii="Arial" w:cs="Arial" w:eastAsia="Arial" w:hAnsi="Arial"/>
          <w:sz w:val="18"/>
          <w:szCs w:val="18"/>
          <w:color w:val="auto"/>
        </w:rPr>
        <w:t>Mark your selections on the proxy card.</w:t>
      </w:r>
    </w:p>
    <w:p>
      <w:pPr>
        <w:spacing w:after="0" w:line="103" w:lineRule="exact"/>
        <w:rPr>
          <w:rFonts w:ascii="Arial" w:cs="Arial" w:eastAsia="Arial" w:hAnsi="Arial"/>
          <w:sz w:val="18"/>
          <w:szCs w:val="18"/>
          <w:color w:val="3C5896"/>
        </w:rPr>
      </w:pPr>
    </w:p>
    <w:p>
      <w:pPr>
        <w:ind w:left="1120" w:hanging="212"/>
        <w:spacing w:after="0"/>
        <w:tabs>
          <w:tab w:leader="none" w:pos="1120" w:val="left"/>
        </w:tabs>
        <w:numPr>
          <w:ilvl w:val="0"/>
          <w:numId w:val="50"/>
        </w:numPr>
        <w:rPr>
          <w:rFonts w:ascii="Arial" w:cs="Arial" w:eastAsia="Arial" w:hAnsi="Arial"/>
          <w:sz w:val="18"/>
          <w:szCs w:val="18"/>
          <w:color w:val="3C5896"/>
        </w:rPr>
      </w:pPr>
      <w:r>
        <w:rPr>
          <w:rFonts w:ascii="Arial" w:cs="Arial" w:eastAsia="Arial" w:hAnsi="Arial"/>
          <w:sz w:val="18"/>
          <w:szCs w:val="18"/>
          <w:color w:val="auto"/>
        </w:rPr>
        <w:t>Date and sign your name exactly as it appears on your proxy card.</w:t>
      </w:r>
    </w:p>
    <w:p>
      <w:pPr>
        <w:spacing w:after="0" w:line="103" w:lineRule="exact"/>
        <w:rPr>
          <w:rFonts w:ascii="Arial" w:cs="Arial" w:eastAsia="Arial" w:hAnsi="Arial"/>
          <w:sz w:val="18"/>
          <w:szCs w:val="18"/>
          <w:color w:val="3C5896"/>
        </w:rPr>
      </w:pPr>
    </w:p>
    <w:p>
      <w:pPr>
        <w:ind w:left="1120" w:hanging="212"/>
        <w:spacing w:after="0"/>
        <w:tabs>
          <w:tab w:leader="none" w:pos="1120" w:val="left"/>
        </w:tabs>
        <w:numPr>
          <w:ilvl w:val="0"/>
          <w:numId w:val="50"/>
        </w:numPr>
        <w:rPr>
          <w:rFonts w:ascii="Arial" w:cs="Arial" w:eastAsia="Arial" w:hAnsi="Arial"/>
          <w:sz w:val="18"/>
          <w:szCs w:val="18"/>
          <w:color w:val="3C5896"/>
        </w:rPr>
      </w:pPr>
      <w:r>
        <w:rPr>
          <w:rFonts w:ascii="Arial" w:cs="Arial" w:eastAsia="Arial" w:hAnsi="Arial"/>
          <w:sz w:val="18"/>
          <w:szCs w:val="18"/>
          <w:color w:val="auto"/>
        </w:rPr>
        <w:t>Mail the proxy card in the enclosed postage-paid envelope provided to you.</w:t>
      </w:r>
    </w:p>
    <w:p>
      <w:pPr>
        <w:spacing w:after="0" w:line="103" w:lineRule="exact"/>
        <w:rPr>
          <w:rFonts w:ascii="Arial" w:cs="Arial" w:eastAsia="Arial" w:hAnsi="Arial"/>
          <w:sz w:val="18"/>
          <w:szCs w:val="18"/>
          <w:color w:val="3C5896"/>
        </w:rPr>
      </w:pPr>
    </w:p>
    <w:p>
      <w:pPr>
        <w:ind w:left="1120" w:right="199" w:hanging="212"/>
        <w:spacing w:after="0" w:line="246" w:lineRule="auto"/>
        <w:tabs>
          <w:tab w:leader="none" w:pos="1120" w:val="left"/>
        </w:tabs>
        <w:numPr>
          <w:ilvl w:val="0"/>
          <w:numId w:val="50"/>
        </w:numPr>
        <w:rPr>
          <w:rFonts w:ascii="Arial" w:cs="Arial" w:eastAsia="Arial" w:hAnsi="Arial"/>
          <w:sz w:val="18"/>
          <w:szCs w:val="18"/>
          <w:color w:val="3C5896"/>
        </w:rPr>
      </w:pPr>
      <w:r>
        <w:rPr>
          <w:rFonts w:ascii="Arial" w:cs="Arial" w:eastAsia="Arial" w:hAnsi="Arial"/>
          <w:sz w:val="18"/>
          <w:szCs w:val="18"/>
          <w:color w:val="auto"/>
        </w:rPr>
        <w:t>If you received a Notice of Internet Availability of Proxy Materials and would like to vote in writing, please follow the instructions in the notice to obtain paper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46  </w:t>
      </w:r>
      <w:r>
        <w:rPr>
          <w:sz w:val="1"/>
          <w:szCs w:val="1"/>
          <w:color w:val="auto"/>
        </w:rPr>
        <w:drawing>
          <wp:inline distT="0" distB="0" distL="0" distR="0">
            <wp:extent cx="299720" cy="24003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OTHER INFORMATION FOR STOCKHOLDERS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Stockholder Proposals for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right="199"/>
        <w:spacing w:after="0" w:line="252" w:lineRule="auto"/>
        <w:rPr>
          <w:sz w:val="20"/>
          <w:szCs w:val="20"/>
          <w:color w:val="auto"/>
        </w:rPr>
      </w:pPr>
      <w:r>
        <w:rPr>
          <w:rFonts w:ascii="Arial" w:cs="Arial" w:eastAsia="Arial" w:hAnsi="Arial"/>
          <w:sz w:val="18"/>
          <w:szCs w:val="18"/>
          <w:color w:val="auto"/>
        </w:rPr>
        <w:t>If any stockholder wishes to propose a matter for consideration at our 2021 Annual Meeting of Stockholders,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2021 Annual Meeting, a proposal must be received by our Secretary on or before January 1, 2021. Failure to deliver a proposal in accordance with this procedure may result in it not being deemed timely received.</w:t>
      </w:r>
    </w:p>
    <w:p>
      <w:pPr>
        <w:spacing w:after="0" w:line="100" w:lineRule="exact"/>
        <w:rPr>
          <w:sz w:val="20"/>
          <w:szCs w:val="20"/>
          <w:color w:val="auto"/>
        </w:rPr>
      </w:pPr>
    </w:p>
    <w:p>
      <w:pPr>
        <w:ind w:left="760" w:right="199"/>
        <w:spacing w:after="0" w:line="251" w:lineRule="auto"/>
        <w:rPr>
          <w:sz w:val="20"/>
          <w:szCs w:val="20"/>
          <w:color w:val="auto"/>
        </w:rPr>
      </w:pPr>
      <w:r>
        <w:rPr>
          <w:rFonts w:ascii="Arial" w:cs="Arial" w:eastAsia="Arial" w:hAnsi="Arial"/>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2021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2021 Annual Meeting, such a proposal must be received on or after February 10, 2021, but not later than March 12, 2021. In the event that the date of the 2021 Annual Meeting is advanced by more than 30 days, or delayed by more than 70 days, from the anniversary date of this year’s Annual Meeting of Stockholders, notice by the stockholder to be timely must be so delivered not earlier than the 120th day prior to the 2020 Annual Meeting and not later than the close of business on the later of the 90th day prior to the 2020 Annual Meeting or the tenth day following the day on which public announcement of the date of the 2021 Annual Meeting is first made. Any such proposal will be considered timely only if it is otherwise in compliance with the requirements set forth in our Bylaws. Notwithstanding the foregoing, if the number of directors to be elected to the Board of Directors at the 2020 Annual Meeting is increased and there is no public announcement by the Company naming all of the nominees for director or specifying the size of the increased Board of Directors at least 100 calendar days prior to the first anniversary of the 2020 Annual Meeting (i.e. prior to March 2, 2021), then notice by a stockholder shall be considered timely, but only with respect to nominees for any new positions created by such increase, if it is received by the Secretary not later than the close of business on 10th calendar day following the day on which such public announcement is first made by the Company. Any such proposal will be considered timely only if it is otherwise in compliance with the requirements set forth in our Bylaws.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right="179"/>
        <w:spacing w:after="0" w:line="251"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our Annual Report on Form 10-K for the fiscal year ended December 28, 2019 by contacting the Secretary, National Vision Holdings, Inc., 2435 Commerce Avenue, Building 2200, Duluth, Georgia 30096 or by telephone at (770) 822-3600.</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right="359"/>
        <w:spacing w:after="0" w:line="256" w:lineRule="auto"/>
        <w:rPr>
          <w:sz w:val="20"/>
          <w:szCs w:val="20"/>
          <w:color w:val="auto"/>
        </w:rPr>
      </w:pPr>
      <w:r>
        <w:rPr>
          <w:rFonts w:ascii="Arial" w:cs="Arial" w:eastAsia="Arial" w:hAnsi="Arial"/>
          <w:sz w:val="18"/>
          <w:szCs w:val="18"/>
          <w:color w:val="auto"/>
        </w:rPr>
        <w:t>The Board of Directors does not know of any other matters to be brought before the meeting. If other matters are properly presented, the proxy holders have discretionary authority to vote all proxies in accordance with their best judgment.</w:t>
      </w:r>
    </w:p>
    <w:p>
      <w:pPr>
        <w:spacing w:after="0" w:line="200" w:lineRule="exact"/>
        <w:rPr>
          <w:sz w:val="20"/>
          <w:szCs w:val="20"/>
          <w:color w:val="auto"/>
        </w:rPr>
      </w:pPr>
    </w:p>
    <w:p>
      <w:pPr>
        <w:spacing w:after="0" w:line="279"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375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Why am I being provided with these materials?</w:t>
      </w:r>
    </w:p>
    <w:p>
      <w:pPr>
        <w:spacing w:after="0" w:line="130" w:lineRule="exact"/>
        <w:rPr>
          <w:sz w:val="20"/>
          <w:szCs w:val="20"/>
          <w:color w:val="auto"/>
        </w:rPr>
      </w:pPr>
    </w:p>
    <w:p>
      <w:pPr>
        <w:ind w:left="760" w:right="339"/>
        <w:spacing w:after="0"/>
        <w:rPr>
          <w:sz w:val="20"/>
          <w:szCs w:val="20"/>
          <w:color w:val="auto"/>
        </w:rPr>
      </w:pPr>
      <w:r>
        <w:rPr>
          <w:rFonts w:ascii="Arial" w:cs="Arial" w:eastAsia="Arial" w:hAnsi="Arial"/>
          <w:sz w:val="18"/>
          <w:szCs w:val="18"/>
          <w:color w:val="auto"/>
        </w:rPr>
        <w:t>We have delivered these proxy materials to you in connection with the solicitation by the Board of Directors of National Vision Holdings, Inc. of proxies to be voted at our Annual Meeting of Stockholders to be held on June 10, 2020, and at any postponements or adjournments of the Annual Meeting.</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am I voting on?</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three proposals scheduled to be voted on at the Annual Meeting:</w:t>
      </w:r>
    </w:p>
    <w:p>
      <w:pPr>
        <w:spacing w:after="0" w:line="95" w:lineRule="exact"/>
        <w:rPr>
          <w:sz w:val="20"/>
          <w:szCs w:val="20"/>
          <w:color w:val="auto"/>
        </w:rPr>
      </w:pPr>
    </w:p>
    <w:p>
      <w:pPr>
        <w:ind w:left="1120" w:hanging="212"/>
        <w:spacing w:after="0"/>
        <w:tabs>
          <w:tab w:leader="none" w:pos="1120" w:val="left"/>
        </w:tabs>
        <w:numPr>
          <w:ilvl w:val="0"/>
          <w:numId w:val="51"/>
        </w:numPr>
        <w:rPr>
          <w:rFonts w:ascii="Arial" w:cs="Arial" w:eastAsia="Arial" w:hAnsi="Arial"/>
          <w:sz w:val="18"/>
          <w:szCs w:val="18"/>
          <w:color w:val="3C5896"/>
        </w:rPr>
      </w:pPr>
      <w:r>
        <w:rPr>
          <w:rFonts w:ascii="Arial" w:cs="Arial" w:eastAsia="Arial" w:hAnsi="Arial"/>
          <w:sz w:val="18"/>
          <w:szCs w:val="18"/>
          <w:b w:val="1"/>
          <w:bCs w:val="1"/>
          <w:color w:val="auto"/>
        </w:rPr>
        <w:t>Proposal No. 1</w:t>
      </w:r>
      <w:r>
        <w:rPr>
          <w:rFonts w:ascii="Arial" w:cs="Arial" w:eastAsia="Arial" w:hAnsi="Arial"/>
          <w:sz w:val="18"/>
          <w:szCs w:val="18"/>
          <w:color w:val="auto"/>
        </w:rPr>
        <w:t>: Election of the Class III director nominees listed in this proxy statement.</w:t>
      </w:r>
    </w:p>
    <w:p>
      <w:pPr>
        <w:spacing w:after="0" w:line="90" w:lineRule="exact"/>
        <w:rPr>
          <w:rFonts w:ascii="Arial" w:cs="Arial" w:eastAsia="Arial" w:hAnsi="Arial"/>
          <w:sz w:val="18"/>
          <w:szCs w:val="18"/>
          <w:color w:val="3C5896"/>
        </w:rPr>
      </w:pPr>
    </w:p>
    <w:p>
      <w:pPr>
        <w:ind w:left="1120" w:right="239" w:hanging="212"/>
        <w:spacing w:after="0" w:line="271" w:lineRule="auto"/>
        <w:tabs>
          <w:tab w:leader="none" w:pos="1120" w:val="left"/>
        </w:tabs>
        <w:numPr>
          <w:ilvl w:val="0"/>
          <w:numId w:val="51"/>
        </w:numPr>
        <w:rPr>
          <w:rFonts w:ascii="Arial" w:cs="Arial" w:eastAsia="Arial" w:hAnsi="Arial"/>
          <w:sz w:val="18"/>
          <w:szCs w:val="18"/>
          <w:color w:val="3C5896"/>
        </w:rPr>
      </w:pPr>
      <w:r>
        <w:rPr>
          <w:rFonts w:ascii="Arial" w:cs="Arial" w:eastAsia="Arial" w:hAnsi="Arial"/>
          <w:sz w:val="18"/>
          <w:szCs w:val="18"/>
          <w:b w:val="1"/>
          <w:bCs w:val="1"/>
          <w:color w:val="auto"/>
        </w:rPr>
        <w:t>Proposal No. 2</w:t>
      </w:r>
      <w:r>
        <w:rPr>
          <w:rFonts w:ascii="Arial" w:cs="Arial" w:eastAsia="Arial" w:hAnsi="Arial"/>
          <w:sz w:val="18"/>
          <w:szCs w:val="18"/>
          <w:color w:val="auto"/>
        </w:rPr>
        <w:t>: Ratification of the appointment of Deloitte &amp; Touche LLP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fiscal 2020.</w:t>
      </w:r>
    </w:p>
    <w:p>
      <w:pPr>
        <w:spacing w:after="0" w:line="18" w:lineRule="exact"/>
        <w:rPr>
          <w:rFonts w:ascii="Arial" w:cs="Arial" w:eastAsia="Arial" w:hAnsi="Arial"/>
          <w:sz w:val="18"/>
          <w:szCs w:val="18"/>
          <w:color w:val="3C5896"/>
        </w:rPr>
      </w:pPr>
    </w:p>
    <w:p>
      <w:pPr>
        <w:ind w:left="1120" w:right="419" w:hanging="212"/>
        <w:spacing w:after="0" w:line="271" w:lineRule="auto"/>
        <w:tabs>
          <w:tab w:leader="none" w:pos="1120" w:val="left"/>
        </w:tabs>
        <w:numPr>
          <w:ilvl w:val="0"/>
          <w:numId w:val="51"/>
        </w:numPr>
        <w:rPr>
          <w:rFonts w:ascii="Arial" w:cs="Arial" w:eastAsia="Arial" w:hAnsi="Arial"/>
          <w:sz w:val="18"/>
          <w:szCs w:val="18"/>
          <w:color w:val="3C5896"/>
        </w:rPr>
      </w:pPr>
      <w:r>
        <w:rPr>
          <w:rFonts w:ascii="Arial" w:cs="Arial" w:eastAsia="Arial" w:hAnsi="Arial"/>
          <w:sz w:val="18"/>
          <w:szCs w:val="18"/>
          <w:b w:val="1"/>
          <w:bCs w:val="1"/>
          <w:color w:val="auto"/>
        </w:rPr>
        <w:t>Proposal No. 3</w:t>
      </w:r>
      <w:r>
        <w:rPr>
          <w:rFonts w:ascii="Arial" w:cs="Arial" w:eastAsia="Arial" w:hAnsi="Arial"/>
          <w:sz w:val="18"/>
          <w:szCs w:val="18"/>
          <w:color w:val="auto"/>
        </w:rPr>
        <w:t>: Approval, in a non-binding advisory vote, of the compensation paid to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is entitled to vote?</w:t>
      </w:r>
    </w:p>
    <w:p>
      <w:pPr>
        <w:spacing w:after="0" w:line="130" w:lineRule="exact"/>
        <w:rPr>
          <w:sz w:val="20"/>
          <w:szCs w:val="20"/>
          <w:color w:val="auto"/>
        </w:rPr>
      </w:pPr>
    </w:p>
    <w:p>
      <w:pPr>
        <w:ind w:left="760" w:right="259"/>
        <w:spacing w:after="0"/>
        <w:rPr>
          <w:sz w:val="20"/>
          <w:szCs w:val="20"/>
          <w:color w:val="auto"/>
        </w:rPr>
      </w:pPr>
      <w:r>
        <w:rPr>
          <w:rFonts w:ascii="Arial" w:cs="Arial" w:eastAsia="Arial" w:hAnsi="Arial"/>
          <w:sz w:val="18"/>
          <w:szCs w:val="18"/>
          <w:color w:val="auto"/>
        </w:rPr>
        <w:t>Stockholders as of the close of business on April 15, 2020 (the “Record Date”) may vote at the Annual Meeting. As of that date, there were 81,205,414 shares of common stock outstanding. You have one vote for each share of common stock held by you as of the Record Date, including shares:</w:t>
      </w:r>
    </w:p>
    <w:p>
      <w:pPr>
        <w:spacing w:after="0" w:line="95" w:lineRule="exact"/>
        <w:rPr>
          <w:sz w:val="20"/>
          <w:szCs w:val="20"/>
          <w:color w:val="auto"/>
        </w:rPr>
      </w:pPr>
    </w:p>
    <w:p>
      <w:pPr>
        <w:ind w:left="1120" w:hanging="212"/>
        <w:spacing w:after="0"/>
        <w:tabs>
          <w:tab w:leader="none" w:pos="1120" w:val="left"/>
        </w:tabs>
        <w:numPr>
          <w:ilvl w:val="0"/>
          <w:numId w:val="52"/>
        </w:numPr>
        <w:rPr>
          <w:rFonts w:ascii="Arial" w:cs="Arial" w:eastAsia="Arial" w:hAnsi="Arial"/>
          <w:sz w:val="18"/>
          <w:szCs w:val="18"/>
          <w:color w:val="3C5896"/>
        </w:rPr>
      </w:pPr>
      <w:r>
        <w:rPr>
          <w:rFonts w:ascii="Arial" w:cs="Arial" w:eastAsia="Arial" w:hAnsi="Arial"/>
          <w:sz w:val="18"/>
          <w:szCs w:val="18"/>
          <w:color w:val="auto"/>
        </w:rPr>
        <w:t>Held directly in your name as “stockholder of record” (also referred to as “registered stockholder”);</w:t>
      </w:r>
    </w:p>
    <w:p>
      <w:pPr>
        <w:spacing w:after="0" w:line="90" w:lineRule="exact"/>
        <w:rPr>
          <w:rFonts w:ascii="Arial" w:cs="Arial" w:eastAsia="Arial" w:hAnsi="Arial"/>
          <w:sz w:val="18"/>
          <w:szCs w:val="18"/>
          <w:color w:val="3C5896"/>
        </w:rPr>
      </w:pPr>
    </w:p>
    <w:p>
      <w:pPr>
        <w:ind w:left="1120" w:right="379" w:hanging="212"/>
        <w:spacing w:after="0"/>
        <w:tabs>
          <w:tab w:leader="none" w:pos="1120" w:val="left"/>
        </w:tabs>
        <w:numPr>
          <w:ilvl w:val="0"/>
          <w:numId w:val="52"/>
        </w:numPr>
        <w:rPr>
          <w:rFonts w:ascii="Arial" w:cs="Arial" w:eastAsia="Arial" w:hAnsi="Arial"/>
          <w:sz w:val="18"/>
          <w:szCs w:val="18"/>
          <w:color w:val="3C5896"/>
        </w:rPr>
      </w:pPr>
      <w:r>
        <w:rPr>
          <w:rFonts w:ascii="Arial" w:cs="Arial" w:eastAsia="Arial" w:hAnsi="Arial"/>
          <w:sz w:val="18"/>
          <w:szCs w:val="18"/>
          <w:color w:val="auto"/>
        </w:rPr>
        <w:t>Held for you in an account with a broker, bank or other nominee (shares held in “street name”)—Street name holders generally cannot vote their shares directly and instead must instruct the brokerage firm, bank or nominee how to vote their shares; and</w:t>
      </w:r>
    </w:p>
    <w:p>
      <w:pPr>
        <w:spacing w:after="0" w:line="67" w:lineRule="exact"/>
        <w:rPr>
          <w:rFonts w:ascii="Arial" w:cs="Arial" w:eastAsia="Arial" w:hAnsi="Arial"/>
          <w:sz w:val="18"/>
          <w:szCs w:val="18"/>
          <w:color w:val="3C5896"/>
        </w:rPr>
      </w:pPr>
    </w:p>
    <w:p>
      <w:pPr>
        <w:ind w:left="1120" w:hanging="212"/>
        <w:spacing w:after="0"/>
        <w:tabs>
          <w:tab w:leader="none" w:pos="1120" w:val="left"/>
        </w:tabs>
        <w:numPr>
          <w:ilvl w:val="0"/>
          <w:numId w:val="52"/>
        </w:numPr>
        <w:rPr>
          <w:rFonts w:ascii="Arial" w:cs="Arial" w:eastAsia="Arial" w:hAnsi="Arial"/>
          <w:sz w:val="18"/>
          <w:szCs w:val="18"/>
          <w:color w:val="3C5896"/>
        </w:rPr>
      </w:pPr>
      <w:r>
        <w:rPr>
          <w:rFonts w:ascii="Arial" w:cs="Arial" w:eastAsia="Arial" w:hAnsi="Arial"/>
          <w:sz w:val="18"/>
          <w:szCs w:val="18"/>
          <w:color w:val="auto"/>
        </w:rPr>
        <w:t>Held for you by us as restricted securities under either our 2014 Stock Plan or our 2017 Omnibus Plan.</w:t>
      </w:r>
    </w:p>
    <w:p>
      <w:pPr>
        <w:spacing w:after="0" w:line="139" w:lineRule="exact"/>
        <w:rPr>
          <w:sz w:val="20"/>
          <w:szCs w:val="20"/>
          <w:color w:val="auto"/>
        </w:rPr>
      </w:pPr>
    </w:p>
    <w:p>
      <w:pPr>
        <w:ind w:left="760" w:right="999"/>
        <w:spacing w:after="0" w:line="261" w:lineRule="auto"/>
        <w:rPr>
          <w:sz w:val="20"/>
          <w:szCs w:val="20"/>
          <w:color w:val="auto"/>
        </w:rPr>
      </w:pPr>
      <w:r>
        <w:rPr>
          <w:rFonts w:ascii="Arial" w:cs="Arial" w:eastAsia="Arial" w:hAnsi="Arial"/>
          <w:sz w:val="22"/>
          <w:szCs w:val="22"/>
          <w:b w:val="1"/>
          <w:bCs w:val="1"/>
          <w:color w:val="3C5896"/>
        </w:rPr>
        <w:t>Important Notice Regarding the Availability of Proxy Materials for the Stockholder Meeting to be held on Wednesday, June 10, 2020</w:t>
      </w:r>
    </w:p>
    <w:p>
      <w:pPr>
        <w:spacing w:after="0" w:line="75" w:lineRule="exact"/>
        <w:rPr>
          <w:sz w:val="20"/>
          <w:szCs w:val="20"/>
          <w:color w:val="auto"/>
        </w:rPr>
      </w:pPr>
    </w:p>
    <w:p>
      <w:pPr>
        <w:ind w:left="760" w:right="439"/>
        <w:spacing w:after="0" w:line="246" w:lineRule="auto"/>
        <w:rPr>
          <w:sz w:val="20"/>
          <w:szCs w:val="20"/>
          <w:color w:val="auto"/>
        </w:rPr>
      </w:pPr>
      <w:r>
        <w:rPr>
          <w:rFonts w:ascii="Arial" w:cs="Arial" w:eastAsia="Arial" w:hAnsi="Arial"/>
          <w:sz w:val="18"/>
          <w:szCs w:val="18"/>
          <w:color w:val="auto"/>
        </w:rPr>
        <w:t xml:space="preserve">This Proxy Statement and our Annual Report on Form 10-K for the year ended December 28, 2019 are available free of charge at </w:t>
      </w:r>
      <w:r>
        <w:rPr>
          <w:rFonts w:ascii="Arial" w:cs="Arial" w:eastAsia="Arial" w:hAnsi="Arial"/>
          <w:sz w:val="18"/>
          <w:szCs w:val="18"/>
          <w:i w:val="1"/>
          <w:iCs w:val="1"/>
          <w:u w:val="single" w:color="auto"/>
          <w:color w:val="auto"/>
        </w:rPr>
        <w:t>www.edocumentview.com/EYE</w:t>
      </w:r>
      <w:r>
        <w:rPr>
          <w:rFonts w:ascii="Arial" w:cs="Arial" w:eastAsia="Arial" w:hAnsi="Arial"/>
          <w:sz w:val="18"/>
          <w:szCs w:val="18"/>
          <w:color w:val="auto"/>
        </w:rPr>
        <w:t>.</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Notice and access</w:t>
      </w:r>
    </w:p>
    <w:p>
      <w:pPr>
        <w:spacing w:after="0" w:line="130" w:lineRule="exact"/>
        <w:rPr>
          <w:sz w:val="20"/>
          <w:szCs w:val="20"/>
          <w:color w:val="auto"/>
        </w:rPr>
      </w:pPr>
    </w:p>
    <w:p>
      <w:pPr>
        <w:ind w:left="760" w:right="419"/>
        <w:spacing w:after="0" w:line="238" w:lineRule="auto"/>
        <w:rPr>
          <w:sz w:val="20"/>
          <w:szCs w:val="20"/>
          <w:color w:val="auto"/>
        </w:rPr>
      </w:pPr>
      <w:r>
        <w:rPr>
          <w:rFonts w:ascii="Arial" w:cs="Arial" w:eastAsia="Arial" w:hAnsi="Arial"/>
          <w:sz w:val="18"/>
          <w:szCs w:val="18"/>
          <w:color w:val="auto"/>
        </w:rPr>
        <w:t>Due to the evolving situation regarding COVID-19, we are distributing proxy materials to many stockholders this year via the Internet under the Securities and Exchange Commission’s “Notice and Access” rules. On or about April 24, 2020, we mailed a Notice of Internet Availability of Proxy Materials that contains information about our Annual Meeting and instructions on how to view all proxy materials on the Internet. Also included are instructions on how to vote and how to request a paper or e-mail copy of the proxy materials.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constitutes a quorum?</w:t>
      </w:r>
    </w:p>
    <w:p>
      <w:pPr>
        <w:spacing w:after="0" w:line="130" w:lineRule="exact"/>
        <w:rPr>
          <w:sz w:val="20"/>
          <w:szCs w:val="20"/>
          <w:color w:val="auto"/>
        </w:rPr>
      </w:pPr>
    </w:p>
    <w:p>
      <w:pPr>
        <w:ind w:left="760" w:right="199"/>
        <w:spacing w:after="0"/>
        <w:rPr>
          <w:sz w:val="20"/>
          <w:szCs w:val="20"/>
          <w:color w:val="auto"/>
        </w:rPr>
      </w:pPr>
      <w:r>
        <w:rPr>
          <w:rFonts w:ascii="Arial" w:cs="Arial" w:eastAsia="Arial" w:hAnsi="Arial"/>
          <w:sz w:val="18"/>
          <w:szCs w:val="18"/>
          <w:color w:val="auto"/>
        </w:rPr>
        <w:t>The holders of record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is a “broker non-vote”?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broker non-vote occurs when shares held through a broker are not voted with respect to a proposal because</w:t>
      </w:r>
    </w:p>
    <w:p>
      <w:pPr>
        <w:ind w:left="1040" w:hanging="276"/>
        <w:spacing w:after="0" w:line="23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broker has not received voting instructions from the stockholder who beneficially owns the shares and</w:t>
      </w:r>
    </w:p>
    <w:p>
      <w:pPr>
        <w:ind w:left="760" w:right="259" w:firstLine="4"/>
        <w:spacing w:after="0" w:line="238" w:lineRule="auto"/>
        <w:tabs>
          <w:tab w:leader="none" w:pos="10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broker lacks the authority to vote the shares at its discretion. Proposal Nos. 1 and 3 are considered non-routine matters, and a broker will lack the authority to vote uninstructed shares at their discretion on such proposals. Proposal No. 2 is considered a routine matter, and a broker will be permitted to exercise its discretion to vote uninstructed shares on this proposal.</w:t>
      </w:r>
    </w:p>
    <w:p>
      <w:pPr>
        <w:spacing w:after="0" w:line="30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48  </w:t>
      </w:r>
      <w:r>
        <w:rPr>
          <w:sz w:val="1"/>
          <w:szCs w:val="1"/>
          <w:color w:val="auto"/>
        </w:rPr>
        <w:drawing>
          <wp:inline distT="0" distB="0" distL="0" distR="0">
            <wp:extent cx="299720" cy="24003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many votes are required to approve each proposal?</w:t>
      </w:r>
    </w:p>
    <w:p>
      <w:pPr>
        <w:spacing w:after="0" w:line="130" w:lineRule="exact"/>
        <w:rPr>
          <w:sz w:val="20"/>
          <w:szCs w:val="20"/>
          <w:color w:val="auto"/>
        </w:rPr>
      </w:pPr>
    </w:p>
    <w:p>
      <w:pPr>
        <w:ind w:left="760" w:right="239"/>
        <w:spacing w:after="0" w:line="254" w:lineRule="auto"/>
        <w:rPr>
          <w:sz w:val="20"/>
          <w:szCs w:val="20"/>
          <w:color w:val="auto"/>
        </w:rPr>
      </w:pPr>
      <w:r>
        <w:rPr>
          <w:rFonts w:ascii="Arial" w:cs="Arial" w:eastAsia="Arial" w:hAnsi="Arial"/>
          <w:sz w:val="18"/>
          <w:szCs w:val="18"/>
          <w:color w:val="auto"/>
        </w:rPr>
        <w:t>Under our Bylaws, directors are elected by a plurality of the votes cast in respect of the shares present in person or represented by proxy at the Annual Meeting and entitled to vote on such election, which means that the Class III director nominees with the greatest number of votes cast, even if less than a majority, will be elected until all positions in Class III of the Board have been filled. There is no cumulative voting.</w:t>
      </w:r>
    </w:p>
    <w:p>
      <w:pPr>
        <w:spacing w:after="0" w:line="96" w:lineRule="exact"/>
        <w:rPr>
          <w:sz w:val="20"/>
          <w:szCs w:val="20"/>
          <w:color w:val="auto"/>
        </w:rPr>
      </w:pPr>
    </w:p>
    <w:p>
      <w:pPr>
        <w:ind w:left="760" w:right="359"/>
        <w:spacing w:after="0" w:line="253" w:lineRule="auto"/>
        <w:rPr>
          <w:sz w:val="20"/>
          <w:szCs w:val="20"/>
          <w:color w:val="auto"/>
        </w:rPr>
      </w:pPr>
      <w:r>
        <w:rPr>
          <w:rFonts w:ascii="Arial" w:cs="Arial" w:eastAsia="Arial" w:hAnsi="Arial"/>
          <w:sz w:val="18"/>
          <w:szCs w:val="18"/>
          <w:color w:val="auto"/>
        </w:rPr>
        <w:t>For any other proposal being considered at the Annual Meeting, under our Bylaws, approval of the proposal requires the vote of the holders of a majority of the voting power of the shares of stock present in person or represented by proxy at the Annual Meeting and entitled to vote on such proposal. While Proposal No. 3, the vote on executive compensation, is advisory in nature and non-binding, the Board will review the voting results and expects to take them into consideration when making future decisions regarding executive compensation.</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are votes counted?</w:t>
      </w:r>
    </w:p>
    <w:p>
      <w:pPr>
        <w:spacing w:after="0" w:line="130" w:lineRule="exact"/>
        <w:rPr>
          <w:sz w:val="20"/>
          <w:szCs w:val="20"/>
          <w:color w:val="auto"/>
        </w:rPr>
      </w:pPr>
    </w:p>
    <w:p>
      <w:pPr>
        <w:ind w:left="760" w:right="179"/>
        <w:spacing w:after="0" w:line="254" w:lineRule="auto"/>
        <w:rPr>
          <w:sz w:val="20"/>
          <w:szCs w:val="20"/>
          <w:color w:val="auto"/>
        </w:rPr>
      </w:pPr>
      <w:r>
        <w:rPr>
          <w:rFonts w:ascii="Arial" w:cs="Arial" w:eastAsia="Arial" w:hAnsi="Arial"/>
          <w:sz w:val="18"/>
          <w:szCs w:val="18"/>
          <w:color w:val="auto"/>
        </w:rPr>
        <w:t>With respect to the election of directors (Proposal No. 1), you may vote “FOR” or “WITHHOLD” with respect to the nominees. Votes that are “withheld” will have the same effect as an abstention and will not count as a vote “FOR” or “AGAINST” a director because directors are elected by plurality voting. Broker non-votes will have no effect on the outcome of Proposal No. 1.</w:t>
      </w:r>
    </w:p>
    <w:p>
      <w:pPr>
        <w:spacing w:after="0" w:line="96" w:lineRule="exact"/>
        <w:rPr>
          <w:sz w:val="20"/>
          <w:szCs w:val="20"/>
          <w:color w:val="auto"/>
        </w:rPr>
      </w:pPr>
    </w:p>
    <w:p>
      <w:pPr>
        <w:ind w:left="760" w:right="259"/>
        <w:spacing w:after="0" w:line="254" w:lineRule="auto"/>
        <w:rPr>
          <w:sz w:val="20"/>
          <w:szCs w:val="20"/>
          <w:color w:val="auto"/>
        </w:rPr>
      </w:pPr>
      <w:r>
        <w:rPr>
          <w:rFonts w:ascii="Arial" w:cs="Arial" w:eastAsia="Arial" w:hAnsi="Arial"/>
          <w:sz w:val="18"/>
          <w:szCs w:val="18"/>
          <w:color w:val="auto"/>
        </w:rPr>
        <w:t>With respect to the ratification of our independent registered public accounting firm (Proposal No. 2) and the advisory vote to approve the compensation of our named executive officers (Proposal No. 3), you may vote “FOR,” “AGAINST” or “ABSTAIN.” For each of Proposal Nos. 2 and 3, abstentions will have the effect of a vote “against” the proposal. For Proposal No. 3, broker non-votes will have no effect on the outcome of the proposal.</w:t>
      </w:r>
    </w:p>
    <w:p>
      <w:pPr>
        <w:spacing w:after="0" w:line="96" w:lineRule="exact"/>
        <w:rPr>
          <w:sz w:val="20"/>
          <w:szCs w:val="20"/>
          <w:color w:val="auto"/>
        </w:rPr>
      </w:pPr>
    </w:p>
    <w:p>
      <w:pPr>
        <w:jc w:val="both"/>
        <w:ind w:left="760" w:right="219"/>
        <w:spacing w:after="0" w:line="256" w:lineRule="auto"/>
        <w:rPr>
          <w:sz w:val="20"/>
          <w:szCs w:val="20"/>
          <w:color w:val="auto"/>
        </w:rPr>
      </w:pPr>
      <w:r>
        <w:rPr>
          <w:rFonts w:ascii="Arial" w:cs="Arial" w:eastAsia="Arial" w:hAnsi="Arial"/>
          <w:sz w:val="18"/>
          <w:szCs w:val="18"/>
          <w:color w:val="auto"/>
        </w:rPr>
        <w:t>If you just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does the Board recommend that I vote?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recommends that you vote your shares:</w:t>
      </w:r>
    </w:p>
    <w:p>
      <w:pPr>
        <w:spacing w:after="0" w:line="117" w:lineRule="exact"/>
        <w:rPr>
          <w:sz w:val="20"/>
          <w:szCs w:val="20"/>
          <w:color w:val="auto"/>
        </w:rPr>
      </w:pPr>
    </w:p>
    <w:p>
      <w:pPr>
        <w:ind w:left="1120" w:hanging="212"/>
        <w:spacing w:after="0"/>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“FOR” the director nominees set forth in this proxy statement.</w:t>
      </w:r>
    </w:p>
    <w:p>
      <w:pPr>
        <w:spacing w:after="0" w:line="117" w:lineRule="exact"/>
        <w:rPr>
          <w:rFonts w:ascii="Arial" w:cs="Arial" w:eastAsia="Arial" w:hAnsi="Arial"/>
          <w:sz w:val="18"/>
          <w:szCs w:val="18"/>
          <w:color w:val="3C5896"/>
        </w:rPr>
      </w:pPr>
    </w:p>
    <w:p>
      <w:pPr>
        <w:ind w:left="1120" w:right="819" w:hanging="212"/>
        <w:spacing w:after="0" w:line="246" w:lineRule="auto"/>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“FOR” the ratification of the appointment of Deloitte &amp; Touche LLP as our independent registered public accounting firm for fiscal 2020.</w:t>
      </w:r>
    </w:p>
    <w:p>
      <w:pPr>
        <w:spacing w:after="0" w:line="88" w:lineRule="exact"/>
        <w:rPr>
          <w:rFonts w:ascii="Arial" w:cs="Arial" w:eastAsia="Arial" w:hAnsi="Arial"/>
          <w:sz w:val="18"/>
          <w:szCs w:val="18"/>
          <w:color w:val="3C5896"/>
        </w:rPr>
      </w:pPr>
    </w:p>
    <w:p>
      <w:pPr>
        <w:ind w:left="1120" w:right="759" w:hanging="212"/>
        <w:spacing w:after="0" w:line="246" w:lineRule="auto"/>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“FOR” the approval, on a non-binding, advisory basis, of the compensation paid to our named executive officers.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count the vote?</w:t>
      </w:r>
    </w:p>
    <w:p>
      <w:pPr>
        <w:spacing w:after="0" w:line="130" w:lineRule="exact"/>
        <w:rPr>
          <w:sz w:val="20"/>
          <w:szCs w:val="20"/>
          <w:color w:val="auto"/>
        </w:rPr>
      </w:pPr>
    </w:p>
    <w:p>
      <w:pPr>
        <w:ind w:left="760" w:right="659"/>
        <w:spacing w:after="0" w:line="261" w:lineRule="auto"/>
        <w:rPr>
          <w:sz w:val="20"/>
          <w:szCs w:val="20"/>
          <w:color w:val="auto"/>
        </w:rPr>
      </w:pPr>
      <w:r>
        <w:rPr>
          <w:rFonts w:ascii="Arial" w:cs="Arial" w:eastAsia="Arial" w:hAnsi="Arial"/>
          <w:sz w:val="18"/>
          <w:szCs w:val="18"/>
          <w:color w:val="auto"/>
        </w:rPr>
        <w:t>Representatives of Computershare Trust Company, N.A., our transfer agent, will tabulate the votes and act as inspectors of election.</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 I vote my shares without attending the Annual Meeting?</w:t>
      </w:r>
    </w:p>
    <w:p>
      <w:pPr>
        <w:spacing w:after="0" w:line="130" w:lineRule="exact"/>
        <w:rPr>
          <w:sz w:val="20"/>
          <w:szCs w:val="20"/>
          <w:color w:val="auto"/>
        </w:rPr>
      </w:pPr>
    </w:p>
    <w:p>
      <w:pPr>
        <w:ind w:left="760" w:right="879"/>
        <w:spacing w:after="0" w:line="261" w:lineRule="auto"/>
        <w:rPr>
          <w:sz w:val="20"/>
          <w:szCs w:val="20"/>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72" w:lineRule="exact"/>
        <w:rPr>
          <w:sz w:val="20"/>
          <w:szCs w:val="20"/>
          <w:color w:val="auto"/>
        </w:rPr>
      </w:pPr>
    </w:p>
    <w:p>
      <w:pPr>
        <w:ind w:left="1120" w:right="199" w:hanging="212"/>
        <w:spacing w:after="0" w:line="245" w:lineRule="auto"/>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i w:val="1"/>
          <w:iCs w:val="1"/>
          <w:color w:val="auto"/>
        </w:rPr>
        <w:t>By Internet—</w:t>
      </w:r>
      <w:r>
        <w:rPr>
          <w:rFonts w:ascii="Arial" w:cs="Arial" w:eastAsia="Arial" w:hAnsi="Arial"/>
          <w:sz w:val="18"/>
          <w:szCs w:val="18"/>
          <w:color w:val="auto"/>
        </w:rPr>
        <w:t>If you have Internet access, you may submit your proxy by going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www.investorvote.com/EYE</w:t>
      </w:r>
      <w:r>
        <w:rPr>
          <w:rFonts w:ascii="Arial" w:cs="Arial" w:eastAsia="Arial" w:hAnsi="Arial"/>
          <w:sz w:val="18"/>
          <w:szCs w:val="18"/>
          <w:i w:val="1"/>
          <w:iCs w:val="1"/>
          <w:color w:val="auto"/>
        </w:rPr>
        <w:t xml:space="preserve"> </w:t>
      </w:r>
      <w:r>
        <w:rPr>
          <w:rFonts w:ascii="Arial" w:cs="Arial" w:eastAsia="Arial" w:hAnsi="Arial"/>
          <w:sz w:val="18"/>
          <w:szCs w:val="18"/>
          <w:color w:val="auto"/>
        </w:rPr>
        <w:t>and by following the instructions on how to complete an electronic proxy card. You will need the control number included on your Notice of Internet Availability of Proxy Materials, proxy card or related materials in order to vote by Internet.</w:t>
      </w:r>
    </w:p>
    <w:p>
      <w:pPr>
        <w:spacing w:after="0" w:line="86" w:lineRule="exact"/>
        <w:rPr>
          <w:rFonts w:ascii="Arial" w:cs="Arial" w:eastAsia="Arial" w:hAnsi="Arial"/>
          <w:sz w:val="18"/>
          <w:szCs w:val="18"/>
          <w:color w:val="3C5896"/>
        </w:rPr>
      </w:pPr>
    </w:p>
    <w:p>
      <w:pPr>
        <w:jc w:val="both"/>
        <w:ind w:left="1120" w:right="539" w:hanging="212"/>
        <w:spacing w:after="0" w:line="250" w:lineRule="auto"/>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i w:val="1"/>
          <w:iCs w:val="1"/>
          <w:color w:val="auto"/>
        </w:rPr>
        <w:t>By Telephone—</w:t>
      </w:r>
      <w:r>
        <w:rPr>
          <w:rFonts w:ascii="Arial" w:cs="Arial" w:eastAsia="Arial" w:hAnsi="Arial"/>
          <w:sz w:val="18"/>
          <w:szCs w:val="18"/>
          <w:color w:val="auto"/>
        </w:rPr>
        <w:t>If you have access to a touch-tone telephone, you may submit your proxy by dialing 1-800-652-VOTE (8683) and by following the recorded instructions. You will need the control number included on your notice, proxy card or related materials in order to vote by telephone.</w:t>
      </w:r>
    </w:p>
    <w:p>
      <w:pPr>
        <w:spacing w:after="0" w:line="68" w:lineRule="exact"/>
        <w:rPr>
          <w:rFonts w:ascii="Arial" w:cs="Arial" w:eastAsia="Arial" w:hAnsi="Arial"/>
          <w:sz w:val="18"/>
          <w:szCs w:val="18"/>
          <w:color w:val="3C5896"/>
        </w:rPr>
      </w:pPr>
    </w:p>
    <w:p>
      <w:pPr>
        <w:ind w:left="1120" w:right="319" w:hanging="212"/>
        <w:spacing w:after="0" w:line="250" w:lineRule="auto"/>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mail by signing and dating the enclosed proxy card where indicated and by mailing</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returning the card in the postage-paid envelope provided to you. You should sign your name exactly</w:t>
      </w:r>
    </w:p>
    <w:p>
      <w:pPr>
        <w:spacing w:after="0" w:line="297"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47" w:lineRule="exact"/>
        <w:rPr>
          <w:sz w:val="20"/>
          <w:szCs w:val="20"/>
          <w:color w:val="auto"/>
        </w:rPr>
      </w:pPr>
    </w:p>
    <w:p>
      <w:pPr>
        <w:jc w:val="both"/>
        <w:ind w:left="1120" w:right="699"/>
        <w:spacing w:after="0" w:line="274" w:lineRule="auto"/>
        <w:rPr>
          <w:sz w:val="20"/>
          <w:szCs w:val="20"/>
          <w:color w:val="auto"/>
        </w:rPr>
      </w:pPr>
      <w:r>
        <w:rPr>
          <w:rFonts w:ascii="Arial" w:cs="Arial" w:eastAsia="Arial" w:hAnsi="Arial"/>
          <w:sz w:val="17"/>
          <w:szCs w:val="17"/>
          <w:color w:val="auto"/>
        </w:rPr>
        <w:t>as it appears on the proxy card. If you are signing in a representative capacity (for example, as guardian, executor, trustee, custodian, attorney or officer of a corporation), indicate your name and title or capacity.</w:t>
      </w:r>
    </w:p>
    <w:p>
      <w:pPr>
        <w:spacing w:after="0" w:line="45" w:lineRule="exact"/>
        <w:rPr>
          <w:sz w:val="20"/>
          <w:szCs w:val="20"/>
          <w:color w:val="auto"/>
        </w:rPr>
      </w:pPr>
    </w:p>
    <w:p>
      <w:pPr>
        <w:ind w:left="760" w:right="659"/>
        <w:spacing w:after="0" w:line="287" w:lineRule="auto"/>
        <w:rPr>
          <w:sz w:val="20"/>
          <w:szCs w:val="20"/>
          <w:color w:val="auto"/>
        </w:rPr>
      </w:pPr>
      <w:r>
        <w:rPr>
          <w:rFonts w:ascii="Arial" w:cs="Arial" w:eastAsia="Arial" w:hAnsi="Arial"/>
          <w:sz w:val="18"/>
          <w:szCs w:val="18"/>
          <w:b w:val="1"/>
          <w:bCs w:val="1"/>
          <w:i w:val="1"/>
          <w:iCs w:val="1"/>
          <w:color w:val="auto"/>
        </w:rPr>
        <w:t>Internet and telephone voting will close at 11:59 p.m., Eastern Time, on June 9, 2020. Proxy cards with respect to shares held of record must be received no later than June 9, 2020.</w:t>
      </w:r>
    </w:p>
    <w:p>
      <w:pPr>
        <w:spacing w:after="0" w:line="67" w:lineRule="exact"/>
        <w:rPr>
          <w:sz w:val="20"/>
          <w:szCs w:val="20"/>
          <w:color w:val="auto"/>
        </w:rPr>
      </w:pPr>
    </w:p>
    <w:p>
      <w:pPr>
        <w:ind w:left="760" w:right="219"/>
        <w:spacing w:after="0" w:line="256" w:lineRule="auto"/>
        <w:rPr>
          <w:sz w:val="20"/>
          <w:szCs w:val="20"/>
          <w:color w:val="auto"/>
        </w:rPr>
      </w:pPr>
      <w:r>
        <w:rPr>
          <w:rFonts w:ascii="Arial" w:cs="Arial" w:eastAsia="Arial" w:hAnsi="Arial"/>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 I vote my shares in person at the Annual Meeting?</w:t>
      </w:r>
    </w:p>
    <w:p>
      <w:pPr>
        <w:spacing w:after="0" w:line="130" w:lineRule="exact"/>
        <w:rPr>
          <w:sz w:val="20"/>
          <w:szCs w:val="20"/>
          <w:color w:val="auto"/>
        </w:rPr>
      </w:pPr>
    </w:p>
    <w:p>
      <w:pPr>
        <w:ind w:left="760" w:right="219"/>
        <w:spacing w:after="0" w:line="252" w:lineRule="auto"/>
        <w:rPr>
          <w:sz w:val="20"/>
          <w:szCs w:val="20"/>
          <w:color w:val="auto"/>
        </w:rPr>
      </w:pPr>
      <w:r>
        <w:rPr>
          <w:rFonts w:ascii="Arial" w:cs="Arial" w:eastAsia="Arial" w:hAnsi="Arial"/>
          <w:sz w:val="18"/>
          <w:szCs w:val="18"/>
          <w:color w:val="auto"/>
        </w:rPr>
        <w:t>If you are a stockholder of record and prefer to vote your shares at the Annual Meeting, you must bring proof of identification along with your proof of ownership. If you hold your shares in street name, you may only vote shares at the Annual Meeting if you bring a signed proxy from the record holder (broker, bank or other nominee) giving you the right to vote the shares, as well as proof of identification and proof of ownership. Even if you plan to attend the Annual Meeting, we encourage you to vote in advance by Internet, telephone or mail so that your vote will be counted even if you later decide not to attend the Annual Meeting.</w:t>
      </w:r>
    </w:p>
    <w:p>
      <w:pPr>
        <w:spacing w:after="0" w:line="100" w:lineRule="exact"/>
        <w:rPr>
          <w:sz w:val="20"/>
          <w:szCs w:val="20"/>
          <w:color w:val="auto"/>
        </w:rPr>
      </w:pPr>
    </w:p>
    <w:p>
      <w:pPr>
        <w:ind w:left="760" w:right="199"/>
        <w:spacing w:after="0" w:line="251" w:lineRule="auto"/>
        <w:rPr>
          <w:sz w:val="20"/>
          <w:szCs w:val="20"/>
          <w:color w:val="auto"/>
        </w:rPr>
      </w:pPr>
      <w:r>
        <w:rPr>
          <w:rFonts w:ascii="Arial" w:cs="Arial" w:eastAsia="Arial" w:hAnsi="Arial"/>
          <w:sz w:val="18"/>
          <w:szCs w:val="18"/>
          <w:color w:val="auto"/>
        </w:rPr>
        <w:t xml:space="preserve">Although we presently intend to hold the Annual Meeting in person, we are sensitive to the public health and travel concerns our stockholders may have and recommendations that public health officials may issue in light of the evolving situation regarding COVID-19. As a part of our precautions regarding COVID-19, we may impose additional procedures or limitations on meeting attendees (beyond those described in the Proxy Statement) and are also planning for the possibility that the Annual Meeting may be held solely by means of remote communication. If we take this step, we will announce the decision to do so in advance in a press release, and details on how to participate will be available at </w:t>
      </w:r>
      <w:r>
        <w:rPr>
          <w:rFonts w:ascii="Arial" w:cs="Arial" w:eastAsia="Arial" w:hAnsi="Arial"/>
          <w:sz w:val="18"/>
          <w:szCs w:val="18"/>
          <w:u w:val="single" w:color="auto"/>
          <w:color w:val="auto"/>
        </w:rPr>
        <w:t>www.nationalvision.com/investors</w:t>
      </w:r>
      <w:r>
        <w:rPr>
          <w:rFonts w:ascii="Arial" w:cs="Arial" w:eastAsia="Arial" w:hAnsi="Arial"/>
          <w:sz w:val="18"/>
          <w:szCs w:val="18"/>
          <w:color w:val="auto"/>
        </w:rPr>
        <w:t xml:space="preserve">. Your Notice of Internet Availability of Proxy Materials, proxy card and related materials would not be updated to reflect the change to a virtual meeting and you would need the control number provided to attend the virtual Annual Meeting. </w:t>
      </w:r>
      <w:r>
        <w:rPr>
          <w:rFonts w:ascii="Arial" w:cs="Arial" w:eastAsia="Arial" w:hAnsi="Arial"/>
          <w:sz w:val="18"/>
          <w:szCs w:val="18"/>
          <w:b w:val="1"/>
          <w:bCs w:val="1"/>
          <w:color w:val="auto"/>
        </w:rPr>
        <w:t>Thus, it is very important that you</w:t>
      </w:r>
      <w:r>
        <w:rPr>
          <w:rFonts w:ascii="Arial" w:cs="Arial" w:eastAsia="Arial" w:hAnsi="Arial"/>
          <w:sz w:val="18"/>
          <w:szCs w:val="18"/>
          <w:color w:val="auto"/>
        </w:rPr>
        <w:t xml:space="preserve"> </w:t>
      </w:r>
      <w:r>
        <w:rPr>
          <w:rFonts w:ascii="Arial" w:cs="Arial" w:eastAsia="Arial" w:hAnsi="Arial"/>
          <w:sz w:val="18"/>
          <w:szCs w:val="18"/>
          <w:b w:val="1"/>
          <w:bCs w:val="1"/>
          <w:color w:val="auto"/>
        </w:rPr>
        <w:t>retain your Notice of Internet Availability of Proxy Materials, proxy card and related materials, including your control number, through the date of the Annual Meeting</w:t>
      </w:r>
      <w:r>
        <w:rPr>
          <w:rFonts w:ascii="Arial" w:cs="Arial" w:eastAsia="Arial" w:hAnsi="Arial"/>
          <w:sz w:val="18"/>
          <w:szCs w:val="18"/>
          <w:color w:val="auto"/>
        </w:rPr>
        <w: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Do I need a ticket to be admitted to the Annual Meeting?</w:t>
      </w:r>
    </w:p>
    <w:p>
      <w:pPr>
        <w:spacing w:after="0" w:line="130" w:lineRule="exact"/>
        <w:rPr>
          <w:sz w:val="20"/>
          <w:szCs w:val="20"/>
          <w:color w:val="auto"/>
        </w:rPr>
      </w:pPr>
    </w:p>
    <w:p>
      <w:pPr>
        <w:ind w:left="760" w:right="259"/>
        <w:spacing w:after="0" w:line="252" w:lineRule="auto"/>
        <w:rPr>
          <w:sz w:val="20"/>
          <w:szCs w:val="20"/>
          <w:color w:val="auto"/>
        </w:rPr>
      </w:pPr>
      <w:r>
        <w:rPr>
          <w:rFonts w:ascii="Arial" w:cs="Arial" w:eastAsia="Arial" w:hAnsi="Arial"/>
          <w:sz w:val="18"/>
          <w:szCs w:val="18"/>
          <w:color w:val="auto"/>
        </w:rPr>
        <w:t>In order to be admitted to the meeting, you will need to present (1) a form of personal identification, and either your Proxy Card or proof of your stock ownership of National Vision stock on the Record Date. If your shares are held beneficially in the name of a bank, broker or other holder of record and you wish to be admitted to attend the Annual Meeting, you must present proof of your ownership of National Vision stock, such as a bank or brokerage account statement. No cameras, recording equipment, electronic devices, large bags, briefcases or packages will be permitted in the Annual Meeting. Please see “—How do I vote my shares in person at the Annual Meeting” above for important information about the possibility of a remote communications Annual Meeting rather than a physical location due to the possible public health impacts associated with COVID-19.</w:t>
      </w:r>
    </w:p>
    <w:p>
      <w:pPr>
        <w:spacing w:after="0" w:line="97" w:lineRule="exact"/>
        <w:rPr>
          <w:sz w:val="20"/>
          <w:szCs w:val="20"/>
          <w:color w:val="auto"/>
        </w:rPr>
      </w:pPr>
    </w:p>
    <w:p>
      <w:pPr>
        <w:ind w:left="760" w:right="2899"/>
        <w:spacing w:after="0" w:line="261" w:lineRule="auto"/>
        <w:rPr>
          <w:sz w:val="20"/>
          <w:szCs w:val="20"/>
          <w:color w:val="auto"/>
        </w:rPr>
      </w:pPr>
      <w:r>
        <w:rPr>
          <w:rFonts w:ascii="Arial" w:cs="Arial" w:eastAsia="Arial" w:hAnsi="Arial"/>
          <w:sz w:val="18"/>
          <w:szCs w:val="18"/>
          <w:color w:val="auto"/>
        </w:rPr>
        <w:t xml:space="preserve">For directions to the meeting, you may contact Beth Dobson at (470) 448-2173 or </w:t>
      </w:r>
      <w:r>
        <w:rPr>
          <w:rFonts w:ascii="Arial" w:cs="Arial" w:eastAsia="Arial" w:hAnsi="Arial"/>
          <w:sz w:val="18"/>
          <w:szCs w:val="18"/>
          <w:u w:val="single" w:color="auto"/>
          <w:color w:val="auto"/>
        </w:rPr>
        <w:t>Beth.Dobson@nationalvision.com</w:t>
      </w:r>
      <w:r>
        <w:rPr>
          <w:rFonts w:ascii="Arial" w:cs="Arial" w:eastAsia="Arial" w:hAnsi="Arial"/>
          <w:sz w:val="18"/>
          <w:szCs w:val="18"/>
          <w:color w:val="auto"/>
        </w:rPr>
        <w: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does it mean if I receive more than one proxy card on or about the same time?</w:t>
      </w:r>
    </w:p>
    <w:p>
      <w:pPr>
        <w:spacing w:after="0" w:line="130" w:lineRule="exact"/>
        <w:rPr>
          <w:sz w:val="20"/>
          <w:szCs w:val="20"/>
          <w:color w:val="auto"/>
        </w:rPr>
      </w:pPr>
    </w:p>
    <w:p>
      <w:pPr>
        <w:jc w:val="both"/>
        <w:ind w:left="760" w:right="339"/>
        <w:spacing w:after="0" w:line="256"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May I change my vote or revoke my proxy?</w:t>
      </w:r>
    </w:p>
    <w:p>
      <w:pPr>
        <w:spacing w:after="0" w:line="130" w:lineRule="exact"/>
        <w:rPr>
          <w:sz w:val="20"/>
          <w:szCs w:val="20"/>
          <w:color w:val="auto"/>
        </w:rPr>
      </w:pPr>
    </w:p>
    <w:p>
      <w:pPr>
        <w:ind w:left="760" w:right="519"/>
        <w:spacing w:after="0" w:line="261" w:lineRule="auto"/>
        <w:rPr>
          <w:sz w:val="20"/>
          <w:szCs w:val="20"/>
          <w:color w:val="auto"/>
        </w:rPr>
      </w:pPr>
      <w:r>
        <w:rPr>
          <w:rFonts w:ascii="Arial" w:cs="Arial" w:eastAsia="Arial" w:hAnsi="Arial"/>
          <w:sz w:val="18"/>
          <w:szCs w:val="18"/>
          <w:color w:val="auto"/>
        </w:rPr>
        <w:t>Yes. Whether you have voted by Internet, telephone or mail, if you are a stockholder of record, you may change your vote and revoke your proxy by:</w:t>
      </w:r>
    </w:p>
    <w:p>
      <w:pPr>
        <w:spacing w:after="0" w:line="103" w:lineRule="exact"/>
        <w:rPr>
          <w:sz w:val="20"/>
          <w:szCs w:val="20"/>
          <w:color w:val="auto"/>
        </w:rPr>
      </w:pPr>
    </w:p>
    <w:p>
      <w:pPr>
        <w:ind w:left="1120" w:right="439" w:hanging="212"/>
        <w:spacing w:after="0" w:line="246" w:lineRule="auto"/>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sending a written statement to that effect to our Secretary, provided such statement is received no later than June 9, 2020;</w:t>
      </w:r>
    </w:p>
    <w:p>
      <w:pPr>
        <w:spacing w:after="0" w:line="88" w:lineRule="exact"/>
        <w:rPr>
          <w:rFonts w:ascii="Arial" w:cs="Arial" w:eastAsia="Arial" w:hAnsi="Arial"/>
          <w:sz w:val="18"/>
          <w:szCs w:val="18"/>
          <w:color w:val="3C5896"/>
        </w:rPr>
      </w:pPr>
    </w:p>
    <w:p>
      <w:pPr>
        <w:ind w:left="1120" w:right="479" w:hanging="212"/>
        <w:spacing w:after="0" w:line="246" w:lineRule="auto"/>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voting by Internet or telephone at a later time than your previous vote and before the closing of those voting facilities at 11:59 p.m., Eastern Time, on June 9, 2020;</w:t>
      </w:r>
    </w:p>
    <w:p>
      <w:pPr>
        <w:spacing w:after="0" w:line="29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50  </w:t>
      </w:r>
      <w:r>
        <w:rPr>
          <w:sz w:val="1"/>
          <w:szCs w:val="1"/>
          <w:color w:val="auto"/>
        </w:rPr>
        <w:drawing>
          <wp:inline distT="0" distB="0" distL="0" distR="0">
            <wp:extent cx="299720" cy="24003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47" w:lineRule="exact"/>
        <w:rPr>
          <w:sz w:val="20"/>
          <w:szCs w:val="20"/>
          <w:color w:val="auto"/>
        </w:rPr>
      </w:pPr>
    </w:p>
    <w:p>
      <w:pPr>
        <w:ind w:left="1120" w:right="199" w:hanging="212"/>
        <w:spacing w:after="0" w:line="246" w:lineRule="auto"/>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color w:val="auto"/>
        </w:rPr>
        <w:t>submitting a properly signed proxy card, which has a later date than your previous vote, and that is received no later than June 9, 2020; or</w:t>
      </w:r>
    </w:p>
    <w:p>
      <w:pPr>
        <w:spacing w:after="0" w:line="88" w:lineRule="exact"/>
        <w:rPr>
          <w:rFonts w:ascii="Arial" w:cs="Arial" w:eastAsia="Arial" w:hAnsi="Arial"/>
          <w:sz w:val="18"/>
          <w:szCs w:val="18"/>
          <w:color w:val="3C5896"/>
        </w:rPr>
      </w:pPr>
    </w:p>
    <w:p>
      <w:pPr>
        <w:ind w:left="1120" w:hanging="212"/>
        <w:spacing w:after="0"/>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color w:val="auto"/>
        </w:rPr>
        <w:t>attending the Annual Meeting and voting in person.</w:t>
      </w:r>
    </w:p>
    <w:p>
      <w:pPr>
        <w:spacing w:after="0" w:line="104" w:lineRule="exact"/>
        <w:rPr>
          <w:sz w:val="20"/>
          <w:szCs w:val="20"/>
          <w:color w:val="auto"/>
        </w:rPr>
      </w:pPr>
    </w:p>
    <w:p>
      <w:pPr>
        <w:ind w:left="760" w:right="479"/>
        <w:spacing w:after="0" w:line="261" w:lineRule="auto"/>
        <w:rPr>
          <w:sz w:val="20"/>
          <w:szCs w:val="20"/>
          <w:color w:val="auto"/>
        </w:rPr>
      </w:pPr>
      <w:r>
        <w:rPr>
          <w:rFonts w:ascii="Arial" w:cs="Arial" w:eastAsia="Arial" w:hAnsi="Arial"/>
          <w:sz w:val="18"/>
          <w:szCs w:val="18"/>
          <w:color w:val="auto"/>
        </w:rPr>
        <w:t>If you hold shares in street name, please refer to information from your bank, broker or other nominee on how to revoke or submit new voting instructions.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Could other matters be decided at the Annual Meeting?</w:t>
      </w:r>
    </w:p>
    <w:p>
      <w:pPr>
        <w:spacing w:after="0" w:line="130" w:lineRule="exact"/>
        <w:rPr>
          <w:sz w:val="20"/>
          <w:szCs w:val="20"/>
          <w:color w:val="auto"/>
        </w:rPr>
      </w:pPr>
    </w:p>
    <w:p>
      <w:pPr>
        <w:ind w:left="760" w:right="219"/>
        <w:spacing w:after="0" w:line="254"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pay for the cost of this proxy solicitation?</w:t>
      </w:r>
    </w:p>
    <w:p>
      <w:pPr>
        <w:spacing w:after="0" w:line="130" w:lineRule="exact"/>
        <w:rPr>
          <w:sz w:val="20"/>
          <w:szCs w:val="20"/>
          <w:color w:val="auto"/>
        </w:rPr>
      </w:pPr>
    </w:p>
    <w:p>
      <w:pPr>
        <w:ind w:left="760" w:right="279"/>
        <w:spacing w:after="0" w:line="253"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We have also retained Alliance Advisors, LLC to aid in the solicitation of proxies for an estimated fee of $22,000 plus expenses. Brokers and other nominees will be requested to solicit proxies or authorizations from beneficial owners and will be reimbursed for their reasonable expenses.</w:t>
      </w:r>
    </w:p>
    <w:p>
      <w:pPr>
        <w:spacing w:after="0" w:line="133" w:lineRule="exact"/>
        <w:rPr>
          <w:sz w:val="20"/>
          <w:szCs w:val="20"/>
          <w:color w:val="auto"/>
        </w:rPr>
      </w:pPr>
    </w:p>
    <w:p>
      <w:pPr>
        <w:ind w:left="760" w:right="239"/>
        <w:spacing w:after="0" w:line="261" w:lineRule="auto"/>
        <w:rPr>
          <w:sz w:val="20"/>
          <w:szCs w:val="20"/>
          <w:color w:val="auto"/>
        </w:rPr>
      </w:pPr>
      <w:r>
        <w:rPr>
          <w:rFonts w:ascii="Arial" w:cs="Arial" w:eastAsia="Arial" w:hAnsi="Arial"/>
          <w:sz w:val="22"/>
          <w:szCs w:val="22"/>
          <w:b w:val="1"/>
          <w:bCs w:val="1"/>
          <w:color w:val="3C5896"/>
        </w:rPr>
        <w:t>How can I view copies of the Company’s corporate documents and SEC filings, including the Proxy Statement and Annual Report?</w:t>
      </w:r>
    </w:p>
    <w:p>
      <w:pPr>
        <w:spacing w:after="0" w:line="75" w:lineRule="exact"/>
        <w:rPr>
          <w:sz w:val="20"/>
          <w:szCs w:val="20"/>
          <w:color w:val="auto"/>
        </w:rPr>
      </w:pPr>
    </w:p>
    <w:p>
      <w:pPr>
        <w:ind w:left="760" w:right="539"/>
        <w:spacing w:after="0" w:line="273" w:lineRule="auto"/>
        <w:rPr>
          <w:sz w:val="20"/>
          <w:szCs w:val="20"/>
          <w:color w:val="auto"/>
        </w:rPr>
      </w:pPr>
      <w:r>
        <w:rPr>
          <w:rFonts w:ascii="Arial" w:cs="Arial" w:eastAsia="Arial" w:hAnsi="Arial"/>
          <w:sz w:val="17"/>
          <w:szCs w:val="17"/>
          <w:color w:val="auto"/>
        </w:rPr>
        <w:t xml:space="preserve">Our website contains the Company’s Certificate of Incorporation, Bylaws, Corporate Governance Guidelines, Committee Charters, Code of Conduct and the Company’s SEC filings. To view these documents, go to </w:t>
      </w:r>
      <w:r>
        <w:rPr>
          <w:rFonts w:ascii="Arial" w:cs="Arial" w:eastAsia="Arial" w:hAnsi="Arial"/>
          <w:sz w:val="17"/>
          <w:szCs w:val="17"/>
          <w:u w:val="single" w:color="auto"/>
          <w:color w:val="auto"/>
        </w:rPr>
        <w:t>www.nationalvision.com</w:t>
      </w:r>
      <w:r>
        <w:rPr>
          <w:rFonts w:ascii="Arial" w:cs="Arial" w:eastAsia="Arial" w:hAnsi="Arial"/>
          <w:sz w:val="17"/>
          <w:szCs w:val="17"/>
          <w:color w:val="auto"/>
        </w:rPr>
        <w:t xml:space="preserve"> and click on “Investors.” Copies of our Annual Report on Form 10-K for the year ended December 28, 2019 are also available without charge to stockholders upon written request addressed to:</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Building 2200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Duluth, Georgia 30096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APPENDIX A</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375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760" w:right="239"/>
        <w:spacing w:after="0" w:line="251" w:lineRule="auto"/>
        <w:rPr>
          <w:sz w:val="20"/>
          <w:szCs w:val="20"/>
          <w:color w:val="auto"/>
        </w:rPr>
      </w:pPr>
      <w:r>
        <w:rPr>
          <w:rFonts w:ascii="Arial" w:cs="Arial" w:eastAsia="Arial" w:hAnsi="Arial"/>
          <w:sz w:val="18"/>
          <w:szCs w:val="18"/>
          <w:color w:val="auto"/>
        </w:rPr>
        <w:t xml:space="preserve">The Proxy Statement Summary and Compensation Discussion and Analysis sections of our proxy statement contain non-GAAP financial measures within the meaning of Regulation G promulgated by the U.S. Securities and Exchange Commission. The Company uses certain non-GAAP financial measures to supplement the Company’s financial information presented in accordance with GAAP and aid understanding of the Company’s business performance.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For additional details regarding our non-GAAP financial measures below, see the Company’s Current Report on Form 8-K filed with the SEC on February 26, 2020. This information is also available on the Company’s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 xml:space="preserve"> in our Investors section.</w:t>
      </w:r>
    </w:p>
    <w:p>
      <w:pPr>
        <w:spacing w:after="0" w:line="102" w:lineRule="exact"/>
        <w:rPr>
          <w:sz w:val="20"/>
          <w:szCs w:val="20"/>
          <w:color w:val="auto"/>
        </w:rPr>
      </w:pPr>
    </w:p>
    <w:p>
      <w:pPr>
        <w:ind w:left="760" w:right="259"/>
        <w:spacing w:after="0" w:line="254" w:lineRule="auto"/>
        <w:rPr>
          <w:sz w:val="20"/>
          <w:szCs w:val="20"/>
          <w:color w:val="auto"/>
        </w:rPr>
      </w:pPr>
      <w:r>
        <w:rPr>
          <w:rFonts w:ascii="Arial" w:cs="Arial" w:eastAsia="Arial" w:hAnsi="Arial"/>
          <w:sz w:val="18"/>
          <w:szCs w:val="18"/>
          <w:color w:val="auto"/>
        </w:rPr>
        <w:t>We define adjusted EBITDA as EBITDA (net income, plus interest expense, income tax provision (benefit), and depreciation and amortization), further adjusted to exclude stock compensation expense, debt issuance costs, loss on the extinguishment of debt, asset impairment, new store pre-opening expenses, non-cash rent, secondary offering expenses, management realignment expenses, long-term incentive plan expenses, and other expenses.</w:t>
      </w:r>
    </w:p>
    <w:p>
      <w:pPr>
        <w:spacing w:after="0" w:line="96" w:lineRule="exact"/>
        <w:rPr>
          <w:sz w:val="20"/>
          <w:szCs w:val="20"/>
          <w:color w:val="auto"/>
        </w:rPr>
      </w:pPr>
    </w:p>
    <w:p>
      <w:pPr>
        <w:ind w:left="760" w:right="199"/>
        <w:spacing w:after="0" w:line="251"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103" w:lineRule="exact"/>
        <w:rPr>
          <w:sz w:val="20"/>
          <w:szCs w:val="20"/>
          <w:color w:val="auto"/>
        </w:rPr>
      </w:pPr>
    </w:p>
    <w:p>
      <w:pPr>
        <w:ind w:left="760" w:right="199"/>
        <w:spacing w:after="0" w:line="253" w:lineRule="auto"/>
        <w:rPr>
          <w:sz w:val="20"/>
          <w:szCs w:val="20"/>
          <w:color w:val="auto"/>
        </w:rPr>
      </w:pPr>
      <w:r>
        <w:rPr>
          <w:rFonts w:ascii="Arial" w:cs="Arial" w:eastAsia="Arial" w:hAnsi="Arial"/>
          <w:sz w:val="18"/>
          <w:szCs w:val="18"/>
          <w:color w:val="auto"/>
        </w:rPr>
        <w:t>We define adjusted net income as net income, adjusted to exclude stock compensation expense, debt issuance costs, loss on extinguishment of debt, asset impairment, new store pre-opening expenses, non-cash rent, secondary offering expenses, management realignment expenses, long-term incentive plan expenses, other expenses, amortization of acquisition intangibles and deferred financing costs, tax benefit of stock option exercises, less the tax effect of these adjustments.</w:t>
      </w:r>
    </w:p>
    <w:p>
      <w:pPr>
        <w:spacing w:after="0" w:line="97" w:lineRule="exact"/>
        <w:rPr>
          <w:sz w:val="20"/>
          <w:szCs w:val="20"/>
          <w:color w:val="auto"/>
        </w:rPr>
      </w:pPr>
    </w:p>
    <w:p>
      <w:pPr>
        <w:ind w:left="760" w:right="699"/>
        <w:spacing w:after="0" w:line="261" w:lineRule="auto"/>
        <w:rPr>
          <w:sz w:val="20"/>
          <w:szCs w:val="20"/>
          <w:color w:val="auto"/>
        </w:rPr>
      </w:pPr>
      <w:r>
        <w:rPr>
          <w:rFonts w:ascii="Arial" w:cs="Arial" w:eastAsia="Arial" w:hAnsi="Arial"/>
          <w:sz w:val="18"/>
          <w:szCs w:val="18"/>
          <w:color w:val="auto"/>
        </w:rPr>
        <w:t>We define adjusted diluted EPS as adjusted net income divided by weighted average diluted common shares outstanding.</w:t>
      </w:r>
    </w:p>
    <w:p>
      <w:pPr>
        <w:spacing w:after="0" w:line="90" w:lineRule="exact"/>
        <w:rPr>
          <w:sz w:val="20"/>
          <w:szCs w:val="20"/>
          <w:color w:val="auto"/>
        </w:rPr>
      </w:pPr>
    </w:p>
    <w:p>
      <w:pPr>
        <w:ind w:left="760" w:right="239"/>
        <w:spacing w:after="0" w:line="252" w:lineRule="auto"/>
        <w:rPr>
          <w:sz w:val="20"/>
          <w:szCs w:val="20"/>
          <w:color w:val="auto"/>
        </w:rPr>
      </w:pPr>
      <w:r>
        <w:rPr>
          <w:rFonts w:ascii="Arial" w:cs="Arial" w:eastAsia="Arial" w:hAnsi="Arial"/>
          <w:sz w:val="18"/>
          <w:szCs w:val="18"/>
          <w:color w:val="auto"/>
        </w:rPr>
        <w:t>Adjusted net income, Adjusted EBITDA, adjusted comparable store sales growth and adjusted diluted EPS are not recognized terms under GAAP and should not be considered as an alternative to net income (loss) or comparable store sales growth as a measure of operating performance, or any other performance measure derived in accordance with GAAP.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52  </w:t>
      </w:r>
      <w:r>
        <w:rPr>
          <w:sz w:val="1"/>
          <w:szCs w:val="1"/>
          <w:color w:val="auto"/>
        </w:rPr>
        <w:drawing>
          <wp:inline distT="0" distB="0" distL="0" distR="0">
            <wp:extent cx="299720" cy="24003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center"/>
        <w:ind w:left="1040" w:right="1620"/>
        <w:spacing w:after="0" w:line="261" w:lineRule="auto"/>
        <w:rPr>
          <w:sz w:val="20"/>
          <w:szCs w:val="20"/>
          <w:color w:val="auto"/>
        </w:rPr>
      </w:pPr>
      <w:r>
        <w:rPr>
          <w:rFonts w:ascii="Arial" w:cs="Arial" w:eastAsia="Arial" w:hAnsi="Arial"/>
          <w:sz w:val="18"/>
          <w:szCs w:val="18"/>
          <w:b w:val="1"/>
          <w:bCs w:val="1"/>
          <w:color w:val="auto"/>
        </w:rPr>
        <w:t xml:space="preserve">National Vision Holdings, Inc. and Subsidiaries Reconciliation of GAAP and Non-GAAP Financial Measures For the Fiscal Years Ended December 28, 2019 and December 29, 2018 </w:t>
      </w:r>
      <w:r>
        <w:rPr>
          <w:rFonts w:ascii="Arial" w:cs="Arial" w:eastAsia="Arial" w:hAnsi="Arial"/>
          <w:sz w:val="18"/>
          <w:szCs w:val="18"/>
          <w:i w:val="1"/>
          <w:iCs w:val="1"/>
          <w:color w:val="auto"/>
        </w:rPr>
        <w:t xml:space="preserve">In Thousands, Except Earnings Per Share </w:t>
      </w:r>
      <w:r>
        <w:rPr>
          <w:rFonts w:ascii="Arial" w:cs="Arial" w:eastAsia="Arial" w:hAnsi="Arial"/>
          <w:sz w:val="18"/>
          <w:szCs w:val="18"/>
          <w:b w:val="1"/>
          <w:bCs w:val="1"/>
          <w:color w:val="auto"/>
        </w:rPr>
        <w:t>(Unaudited)</w:t>
      </w:r>
    </w:p>
    <w:p>
      <w:pPr>
        <w:spacing w:after="0" w:line="35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Reconciliation of EBITDA, Adjusted EBITDA and Adjusted EBITDA Margin</w:t>
      </w:r>
    </w:p>
    <w:p>
      <w:pPr>
        <w:spacing w:after="0" w:line="160"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4300" w:type="dxa"/>
            <w:vAlign w:val="bottom"/>
            <w:tcBorders>
              <w:top w:val="single" w:sz="8" w:color="3C5896"/>
              <w:right w:val="single" w:sz="8" w:color="9EACCA"/>
            </w:tcBorders>
            <w:vMerge w:val="restart"/>
            <w:shd w:val="clear" w:color="auto" w:fill="3C5896"/>
          </w:tcPr>
          <w:p>
            <w:pPr>
              <w:ind w:left="1560"/>
              <w:spacing w:after="0"/>
              <w:rPr>
                <w:sz w:val="20"/>
                <w:szCs w:val="20"/>
                <w:color w:val="auto"/>
              </w:rPr>
            </w:pPr>
            <w:r>
              <w:rPr>
                <w:rFonts w:ascii="Arial" w:cs="Arial" w:eastAsia="Arial" w:hAnsi="Arial"/>
                <w:sz w:val="18"/>
                <w:szCs w:val="18"/>
                <w:b w:val="1"/>
                <w:bCs w:val="1"/>
                <w:color w:val="FFFFFF"/>
              </w:rPr>
              <w:t>In thousands</w:t>
            </w:r>
          </w:p>
        </w:tc>
        <w:tc>
          <w:tcPr>
            <w:tcW w:w="200" w:type="dxa"/>
            <w:vAlign w:val="bottom"/>
            <w:tcBorders>
              <w:top w:val="single" w:sz="8" w:color="3C5896"/>
            </w:tcBorders>
            <w:shd w:val="clear" w:color="auto" w:fill="3C5896"/>
          </w:tcPr>
          <w:p>
            <w:pPr>
              <w:spacing w:after="0"/>
              <w:rPr>
                <w:sz w:val="17"/>
                <w:szCs w:val="17"/>
                <w:color w:val="auto"/>
              </w:rPr>
            </w:pPr>
          </w:p>
        </w:tc>
        <w:tc>
          <w:tcPr>
            <w:tcW w:w="120" w:type="dxa"/>
            <w:vAlign w:val="bottom"/>
            <w:tcBorders>
              <w:top w:val="single" w:sz="8" w:color="3C5896"/>
            </w:tcBorders>
            <w:shd w:val="clear" w:color="auto" w:fill="3C5896"/>
          </w:tcPr>
          <w:p>
            <w:pPr>
              <w:spacing w:after="0"/>
              <w:rPr>
                <w:sz w:val="17"/>
                <w:szCs w:val="17"/>
                <w:color w:val="auto"/>
              </w:rPr>
            </w:pPr>
          </w:p>
        </w:tc>
        <w:tc>
          <w:tcPr>
            <w:tcW w:w="2100" w:type="dxa"/>
            <w:vAlign w:val="bottom"/>
            <w:tcBorders>
              <w:top w:val="single" w:sz="8" w:color="3C5896"/>
              <w:right w:val="single" w:sz="8" w:color="9EACCA"/>
            </w:tcBorders>
            <w:gridSpan w:val="5"/>
            <w:shd w:val="clear" w:color="auto" w:fill="3C5896"/>
          </w:tcPr>
          <w:p>
            <w:pPr>
              <w:jc w:val="center"/>
              <w:ind w:right="360"/>
              <w:spacing w:after="0"/>
              <w:rPr>
                <w:sz w:val="20"/>
                <w:szCs w:val="20"/>
                <w:color w:val="auto"/>
              </w:rPr>
            </w:pPr>
            <w:r>
              <w:rPr>
                <w:rFonts w:ascii="Arial" w:cs="Arial" w:eastAsia="Arial" w:hAnsi="Arial"/>
                <w:sz w:val="18"/>
                <w:szCs w:val="18"/>
                <w:b w:val="1"/>
                <w:bCs w:val="1"/>
                <w:color w:val="FFFFFF"/>
                <w:w w:val="98"/>
              </w:rPr>
              <w:t>Fiscal Year</w:t>
            </w:r>
          </w:p>
        </w:tc>
        <w:tc>
          <w:tcPr>
            <w:tcW w:w="200" w:type="dxa"/>
            <w:vAlign w:val="bottom"/>
            <w:tcBorders>
              <w:top w:val="single" w:sz="8" w:color="3C5896"/>
            </w:tcBorders>
            <w:shd w:val="clear" w:color="auto" w:fill="3C5896"/>
          </w:tcPr>
          <w:p>
            <w:pPr>
              <w:spacing w:after="0"/>
              <w:rPr>
                <w:sz w:val="17"/>
                <w:szCs w:val="17"/>
                <w:color w:val="auto"/>
              </w:rPr>
            </w:pPr>
          </w:p>
        </w:tc>
        <w:tc>
          <w:tcPr>
            <w:tcW w:w="120" w:type="dxa"/>
            <w:vAlign w:val="bottom"/>
            <w:tcBorders>
              <w:top w:val="single" w:sz="8" w:color="3C5896"/>
            </w:tcBorders>
            <w:shd w:val="clear" w:color="auto" w:fill="3C5896"/>
          </w:tcPr>
          <w:p>
            <w:pPr>
              <w:spacing w:after="0"/>
              <w:rPr>
                <w:sz w:val="17"/>
                <w:szCs w:val="17"/>
                <w:color w:val="auto"/>
              </w:rPr>
            </w:pPr>
          </w:p>
        </w:tc>
        <w:tc>
          <w:tcPr>
            <w:tcW w:w="2100" w:type="dxa"/>
            <w:vAlign w:val="bottom"/>
            <w:tcBorders>
              <w:top w:val="single" w:sz="8" w:color="3C5896"/>
              <w:right w:val="single" w:sz="8" w:color="3C5896"/>
            </w:tcBorders>
            <w:gridSpan w:val="5"/>
            <w:shd w:val="clear" w:color="auto" w:fill="3C5896"/>
          </w:tcPr>
          <w:p>
            <w:pPr>
              <w:jc w:val="center"/>
              <w:ind w:right="360"/>
              <w:spacing w:after="0"/>
              <w:rPr>
                <w:sz w:val="20"/>
                <w:szCs w:val="20"/>
                <w:color w:val="auto"/>
              </w:rPr>
            </w:pPr>
            <w:r>
              <w:rPr>
                <w:rFonts w:ascii="Arial" w:cs="Arial" w:eastAsia="Arial" w:hAnsi="Arial"/>
                <w:sz w:val="18"/>
                <w:szCs w:val="18"/>
                <w:b w:val="1"/>
                <w:bCs w:val="1"/>
                <w:color w:val="FFFFFF"/>
                <w:w w:val="98"/>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4300" w:type="dxa"/>
            <w:vAlign w:val="bottom"/>
            <w:tcBorders>
              <w:right w:val="single" w:sz="8" w:color="9EACCA"/>
            </w:tcBorders>
            <w:vMerge w:val="continue"/>
            <w:shd w:val="clear" w:color="auto" w:fill="3C5896"/>
          </w:tcPr>
          <w:p>
            <w:pPr>
              <w:spacing w:after="0"/>
              <w:rPr>
                <w:sz w:val="21"/>
                <w:szCs w:val="21"/>
                <w:color w:val="auto"/>
              </w:rPr>
            </w:pPr>
          </w:p>
        </w:tc>
        <w:tc>
          <w:tcPr>
            <w:tcW w:w="20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300" w:type="dxa"/>
            <w:vAlign w:val="bottom"/>
            <w:gridSpan w:val="3"/>
            <w:shd w:val="clear" w:color="auto" w:fill="3C5896"/>
          </w:tcPr>
          <w:p>
            <w:pPr>
              <w:jc w:val="right"/>
              <w:ind w:right="220"/>
              <w:spacing w:after="0"/>
              <w:rPr>
                <w:sz w:val="20"/>
                <w:szCs w:val="20"/>
                <w:color w:val="auto"/>
              </w:rPr>
            </w:pPr>
            <w:r>
              <w:rPr>
                <w:rFonts w:ascii="Arial" w:cs="Arial" w:eastAsia="Arial" w:hAnsi="Arial"/>
                <w:sz w:val="18"/>
                <w:szCs w:val="18"/>
                <w:b w:val="1"/>
                <w:bCs w:val="1"/>
                <w:color w:val="FFFFFF"/>
              </w:rPr>
              <w:t>2019</w:t>
            </w:r>
          </w:p>
        </w:tc>
        <w:tc>
          <w:tcPr>
            <w:tcW w:w="360" w:type="dxa"/>
            <w:vAlign w:val="bottom"/>
            <w:shd w:val="clear" w:color="auto" w:fill="3C5896"/>
          </w:tcPr>
          <w:p>
            <w:pPr>
              <w:spacing w:after="0"/>
              <w:rPr>
                <w:sz w:val="21"/>
                <w:szCs w:val="21"/>
                <w:color w:val="auto"/>
              </w:rPr>
            </w:pPr>
          </w:p>
        </w:tc>
        <w:tc>
          <w:tcPr>
            <w:tcW w:w="440" w:type="dxa"/>
            <w:vAlign w:val="bottom"/>
            <w:tcBorders>
              <w:right w:val="single" w:sz="8" w:color="9EACCA"/>
            </w:tcBorders>
            <w:shd w:val="clear" w:color="auto" w:fill="3C5896"/>
          </w:tcPr>
          <w:p>
            <w:pPr>
              <w:spacing w:after="0"/>
              <w:rPr>
                <w:sz w:val="21"/>
                <w:szCs w:val="21"/>
                <w:color w:val="auto"/>
              </w:rPr>
            </w:pPr>
          </w:p>
        </w:tc>
        <w:tc>
          <w:tcPr>
            <w:tcW w:w="20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300" w:type="dxa"/>
            <w:vAlign w:val="bottom"/>
            <w:gridSpan w:val="3"/>
            <w:shd w:val="clear" w:color="auto" w:fill="3C5896"/>
          </w:tcPr>
          <w:p>
            <w:pPr>
              <w:jc w:val="right"/>
              <w:ind w:right="240"/>
              <w:spacing w:after="0"/>
              <w:rPr>
                <w:sz w:val="20"/>
                <w:szCs w:val="20"/>
                <w:color w:val="auto"/>
              </w:rPr>
            </w:pPr>
            <w:r>
              <w:rPr>
                <w:rFonts w:ascii="Arial" w:cs="Arial" w:eastAsia="Arial" w:hAnsi="Arial"/>
                <w:sz w:val="18"/>
                <w:szCs w:val="18"/>
                <w:b w:val="1"/>
                <w:bCs w:val="1"/>
                <w:color w:val="FFFFFF"/>
              </w:rPr>
              <w:t>2018</w:t>
            </w:r>
          </w:p>
        </w:tc>
        <w:tc>
          <w:tcPr>
            <w:tcW w:w="360" w:type="dxa"/>
            <w:vAlign w:val="bottom"/>
            <w:shd w:val="clear" w:color="auto" w:fill="3C5896"/>
          </w:tcPr>
          <w:p>
            <w:pPr>
              <w:spacing w:after="0"/>
              <w:rPr>
                <w:sz w:val="21"/>
                <w:szCs w:val="21"/>
                <w:color w:val="auto"/>
              </w:rPr>
            </w:pPr>
          </w:p>
        </w:tc>
        <w:tc>
          <w:tcPr>
            <w:tcW w:w="44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430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9EACCA"/>
            </w:tcBorders>
            <w:gridSpan w:val="2"/>
          </w:tcPr>
          <w:p>
            <w:pPr>
              <w:jc w:val="right"/>
              <w:ind w:right="240"/>
              <w:spacing w:after="0"/>
              <w:rPr>
                <w:sz w:val="20"/>
                <w:szCs w:val="20"/>
                <w:color w:val="auto"/>
              </w:rPr>
            </w:pPr>
            <w:r>
              <w:rPr>
                <w:rFonts w:ascii="Arial" w:cs="Arial" w:eastAsia="Arial" w:hAnsi="Arial"/>
                <w:sz w:val="18"/>
                <w:szCs w:val="18"/>
                <w:color w:val="auto"/>
              </w:rPr>
              <w:t>32,798</w:t>
            </w:r>
          </w:p>
        </w:tc>
        <w:tc>
          <w:tcPr>
            <w:tcW w:w="40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23,653</w:t>
            </w:r>
          </w:p>
        </w:tc>
        <w:tc>
          <w:tcPr>
            <w:tcW w:w="420" w:type="dxa"/>
            <w:vAlign w:val="bottom"/>
          </w:tcPr>
          <w:p>
            <w:pPr>
              <w:spacing w:after="0"/>
              <w:rPr>
                <w:sz w:val="21"/>
                <w:szCs w:val="21"/>
                <w:color w:val="auto"/>
              </w:rPr>
            </w:pPr>
          </w:p>
        </w:tc>
        <w:tc>
          <w:tcPr>
            <w:tcW w:w="8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43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900" w:type="dxa"/>
            <w:vAlign w:val="bottom"/>
            <w:tcBorders>
              <w:right w:val="single" w:sz="8" w:color="9EACCA"/>
            </w:tcBorders>
            <w:gridSpan w:val="2"/>
            <w:shd w:val="clear" w:color="auto" w:fill="CCCCCC"/>
          </w:tcPr>
          <w:p>
            <w:pPr>
              <w:jc w:val="right"/>
              <w:ind w:right="240"/>
              <w:spacing w:after="0"/>
              <w:rPr>
                <w:sz w:val="20"/>
                <w:szCs w:val="20"/>
                <w:color w:val="auto"/>
              </w:rPr>
            </w:pPr>
            <w:r>
              <w:rPr>
                <w:rFonts w:ascii="Arial" w:cs="Arial" w:eastAsia="Arial" w:hAnsi="Arial"/>
                <w:sz w:val="18"/>
                <w:szCs w:val="18"/>
                <w:color w:val="auto"/>
              </w:rPr>
              <w:t>33,300</w:t>
            </w:r>
          </w:p>
        </w:tc>
        <w:tc>
          <w:tcPr>
            <w:tcW w:w="40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8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37,283</w:t>
            </w:r>
          </w:p>
        </w:tc>
        <w:tc>
          <w:tcPr>
            <w:tcW w:w="420" w:type="dxa"/>
            <w:vAlign w:val="bottom"/>
            <w:shd w:val="clear" w:color="auto" w:fill="CCCCCC"/>
          </w:tcPr>
          <w:p>
            <w:pPr>
              <w:spacing w:after="0"/>
              <w:rPr>
                <w:sz w:val="22"/>
                <w:szCs w:val="22"/>
                <w:color w:val="auto"/>
              </w:rPr>
            </w:pPr>
          </w:p>
        </w:tc>
        <w:tc>
          <w:tcPr>
            <w:tcW w:w="8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430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(2,309)</w:t>
            </w:r>
          </w:p>
        </w:tc>
        <w:tc>
          <w:tcPr>
            <w:tcW w:w="40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right w:val="single" w:sz="8" w:color="9EACCA"/>
            </w:tcBorders>
            <w:gridSpan w:val="2"/>
          </w:tcPr>
          <w:p>
            <w:pPr>
              <w:jc w:val="right"/>
              <w:ind w:right="160"/>
              <w:spacing w:after="0"/>
              <w:rPr>
                <w:sz w:val="20"/>
                <w:szCs w:val="20"/>
                <w:color w:val="auto"/>
              </w:rPr>
            </w:pPr>
            <w:r>
              <w:rPr>
                <w:rFonts w:ascii="Arial" w:cs="Arial" w:eastAsia="Arial" w:hAnsi="Arial"/>
                <w:sz w:val="18"/>
                <w:szCs w:val="18"/>
                <w:color w:val="auto"/>
              </w:rPr>
              <w:t>(18,785)</w:t>
            </w:r>
          </w:p>
        </w:tc>
        <w:tc>
          <w:tcPr>
            <w:tcW w:w="420" w:type="dxa"/>
            <w:vAlign w:val="bottom"/>
          </w:tcPr>
          <w:p>
            <w:pPr>
              <w:spacing w:after="0"/>
              <w:rPr>
                <w:sz w:val="21"/>
                <w:szCs w:val="21"/>
                <w:color w:val="auto"/>
              </w:rPr>
            </w:pPr>
          </w:p>
        </w:tc>
        <w:tc>
          <w:tcPr>
            <w:tcW w:w="800" w:type="dxa"/>
            <w:vAlign w:val="bottom"/>
            <w:tcBorders>
              <w:right w:val="single" w:sz="8" w:color="3C5896"/>
            </w:tcBorders>
            <w:gridSpan w:val="2"/>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CCCCCC"/>
          </w:tcPr>
          <w:p>
            <w:pPr>
              <w:spacing w:after="0"/>
              <w:rPr>
                <w:sz w:val="22"/>
                <w:szCs w:val="22"/>
                <w:color w:val="auto"/>
              </w:rPr>
            </w:pPr>
          </w:p>
        </w:tc>
        <w:tc>
          <w:tcPr>
            <w:tcW w:w="43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87,244</w:t>
            </w:r>
          </w:p>
        </w:tc>
        <w:tc>
          <w:tcPr>
            <w:tcW w:w="240" w:type="dxa"/>
            <w:vAlign w:val="bottom"/>
            <w:tcBorders>
              <w:right w:val="single" w:sz="8" w:color="9EACCA"/>
            </w:tcBorders>
            <w:shd w:val="clear" w:color="auto" w:fill="CCCCCC"/>
          </w:tcPr>
          <w:p>
            <w:pPr>
              <w:spacing w:after="0"/>
              <w:rPr>
                <w:sz w:val="22"/>
                <w:szCs w:val="22"/>
                <w:color w:val="auto"/>
              </w:rPr>
            </w:pPr>
          </w:p>
        </w:tc>
        <w:tc>
          <w:tcPr>
            <w:tcW w:w="40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8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74,339</w:t>
            </w:r>
          </w:p>
        </w:tc>
        <w:tc>
          <w:tcPr>
            <w:tcW w:w="420" w:type="dxa"/>
            <w:vAlign w:val="bottom"/>
            <w:shd w:val="clear" w:color="auto" w:fill="CCCCCC"/>
          </w:tcPr>
          <w:p>
            <w:pPr>
              <w:spacing w:after="0"/>
              <w:rPr>
                <w:sz w:val="22"/>
                <w:szCs w:val="22"/>
                <w:color w:val="auto"/>
              </w:rPr>
            </w:pPr>
          </w:p>
        </w:tc>
        <w:tc>
          <w:tcPr>
            <w:tcW w:w="8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4300" w:type="dxa"/>
            <w:vAlign w:val="bottom"/>
            <w:tcBorders>
              <w:right w:val="single" w:sz="8" w:color="9EACCA"/>
            </w:tcBorders>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9EACCA"/>
            </w:tcBorders>
            <w:shd w:val="clear" w:color="auto" w:fill="CCCCCC"/>
          </w:tcPr>
          <w:p>
            <w:pPr>
              <w:spacing w:after="0" w:line="20" w:lineRule="exact"/>
              <w:rPr>
                <w:sz w:val="1"/>
                <w:szCs w:val="1"/>
                <w:color w:val="auto"/>
              </w:rPr>
            </w:pPr>
          </w:p>
        </w:tc>
        <w:tc>
          <w:tcPr>
            <w:tcW w:w="400" w:type="dxa"/>
            <w:vAlign w:val="bottom"/>
            <w:shd w:val="clear" w:color="auto" w:fill="CCCC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right w:val="single" w:sz="8" w:color="9EACCA"/>
            </w:tcBorders>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9EACCA"/>
            </w:tcBorders>
            <w:shd w:val="clear" w:color="auto" w:fill="CCCCCC"/>
          </w:tcPr>
          <w:p>
            <w:pPr>
              <w:spacing w:after="0" w:line="20" w:lineRule="exact"/>
              <w:rPr>
                <w:sz w:val="1"/>
                <w:szCs w:val="1"/>
                <w:color w:val="auto"/>
              </w:rPr>
            </w:pPr>
          </w:p>
        </w:tc>
        <w:tc>
          <w:tcPr>
            <w:tcW w:w="420" w:type="dxa"/>
            <w:vAlign w:val="bottom"/>
            <w:shd w:val="clear" w:color="auto" w:fill="CCCC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4300" w:type="dxa"/>
            <w:vAlign w:val="bottom"/>
            <w:tcBorders>
              <w:right w:val="single" w:sz="8" w:color="9EACCA"/>
            </w:tcBorders>
          </w:tcPr>
          <w:p>
            <w:pPr>
              <w:ind w:left="18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151,033</w:t>
            </w:r>
          </w:p>
        </w:tc>
        <w:tc>
          <w:tcPr>
            <w:tcW w:w="240" w:type="dxa"/>
            <w:vAlign w:val="bottom"/>
            <w:tcBorders>
              <w:right w:val="single" w:sz="8" w:color="9EACCA"/>
            </w:tcBorders>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8"/>
              </w:rPr>
              <w:t>116,490</w:t>
            </w:r>
          </w:p>
        </w:tc>
        <w:tc>
          <w:tcPr>
            <w:tcW w:w="420" w:type="dxa"/>
            <w:vAlign w:val="bottom"/>
          </w:tcPr>
          <w:p>
            <w:pPr>
              <w:spacing w:after="0"/>
              <w:rPr>
                <w:sz w:val="21"/>
                <w:szCs w:val="21"/>
                <w:color w:val="auto"/>
              </w:rPr>
            </w:pPr>
          </w:p>
        </w:tc>
        <w:tc>
          <w:tcPr>
            <w:tcW w:w="8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430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900" w:type="dxa"/>
            <w:vAlign w:val="bottom"/>
            <w:tcBorders>
              <w:right w:val="single" w:sz="8" w:color="9EACCA"/>
            </w:tcBorders>
            <w:gridSpan w:val="2"/>
            <w:shd w:val="clear" w:color="auto" w:fill="CCCCCC"/>
          </w:tcPr>
          <w:p>
            <w:pPr>
              <w:jc w:val="right"/>
              <w:ind w:right="240"/>
              <w:spacing w:after="0"/>
              <w:rPr>
                <w:sz w:val="20"/>
                <w:szCs w:val="20"/>
                <w:color w:val="auto"/>
              </w:rPr>
            </w:pPr>
            <w:r>
              <w:rPr>
                <w:rFonts w:ascii="Arial" w:cs="Arial" w:eastAsia="Arial" w:hAnsi="Arial"/>
                <w:sz w:val="18"/>
                <w:szCs w:val="18"/>
                <w:color w:val="auto"/>
              </w:rPr>
              <w:t>12,670</w:t>
            </w:r>
          </w:p>
        </w:tc>
        <w:tc>
          <w:tcPr>
            <w:tcW w:w="400" w:type="dxa"/>
            <w:vAlign w:val="bottom"/>
            <w:shd w:val="clear" w:color="auto" w:fill="CCCCCC"/>
          </w:tcPr>
          <w:p>
            <w:pPr>
              <w:spacing w:after="0"/>
              <w:rPr>
                <w:sz w:val="24"/>
                <w:szCs w:val="24"/>
                <w:color w:val="auto"/>
              </w:rPr>
            </w:pPr>
          </w:p>
        </w:tc>
        <w:tc>
          <w:tcPr>
            <w:tcW w:w="80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20,939</w:t>
            </w:r>
          </w:p>
        </w:tc>
        <w:tc>
          <w:tcPr>
            <w:tcW w:w="420" w:type="dxa"/>
            <w:vAlign w:val="bottom"/>
            <w:shd w:val="clear" w:color="auto" w:fill="CCCCCC"/>
          </w:tcPr>
          <w:p>
            <w:pPr>
              <w:spacing w:after="0"/>
              <w:rPr>
                <w:sz w:val="24"/>
                <w:szCs w:val="24"/>
                <w:color w:val="auto"/>
              </w:rPr>
            </w:pPr>
          </w:p>
        </w:tc>
        <w:tc>
          <w:tcPr>
            <w:tcW w:w="8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430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Debt issuance costs</w:t>
            </w:r>
            <w:r>
              <w:rPr>
                <w:rFonts w:ascii="Arial" w:cs="Arial" w:eastAsia="Arial" w:hAnsi="Arial"/>
                <w:sz w:val="26"/>
                <w:szCs w:val="26"/>
                <w:color w:val="auto"/>
                <w:vertAlign w:val="superscript"/>
              </w:rPr>
              <w:t>(b)</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Borders>
              <w:right w:val="single" w:sz="8" w:color="9EACCA"/>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23"/>
                <w:szCs w:val="23"/>
                <w:color w:val="auto"/>
              </w:rPr>
            </w:pPr>
          </w:p>
        </w:tc>
        <w:tc>
          <w:tcPr>
            <w:tcW w:w="8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430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(c)</w:t>
            </w:r>
          </w:p>
        </w:tc>
        <w:tc>
          <w:tcPr>
            <w:tcW w:w="2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900" w:type="dxa"/>
            <w:vAlign w:val="bottom"/>
            <w:tcBorders>
              <w:right w:val="single" w:sz="8" w:color="9EACCA"/>
            </w:tcBorders>
            <w:gridSpan w:val="2"/>
            <w:shd w:val="clear" w:color="auto" w:fill="CCCCCC"/>
          </w:tcPr>
          <w:p>
            <w:pPr>
              <w:jc w:val="right"/>
              <w:ind w:right="240"/>
              <w:spacing w:after="0"/>
              <w:rPr>
                <w:sz w:val="20"/>
                <w:szCs w:val="20"/>
                <w:color w:val="auto"/>
              </w:rPr>
            </w:pPr>
            <w:r>
              <w:rPr>
                <w:rFonts w:ascii="Arial" w:cs="Arial" w:eastAsia="Arial" w:hAnsi="Arial"/>
                <w:sz w:val="18"/>
                <w:szCs w:val="18"/>
                <w:color w:val="auto"/>
              </w:rPr>
              <w:t>9,786</w:t>
            </w:r>
          </w:p>
        </w:tc>
        <w:tc>
          <w:tcPr>
            <w:tcW w:w="40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CCCC"/>
          </w:tcPr>
          <w:p>
            <w:pPr>
              <w:spacing w:after="0"/>
              <w:rPr>
                <w:sz w:val="23"/>
                <w:szCs w:val="23"/>
                <w:color w:val="auto"/>
              </w:rPr>
            </w:pPr>
          </w:p>
        </w:tc>
        <w:tc>
          <w:tcPr>
            <w:tcW w:w="8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430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9EACCA"/>
            </w:tcBorders>
            <w:gridSpan w:val="2"/>
          </w:tcPr>
          <w:p>
            <w:pPr>
              <w:jc w:val="right"/>
              <w:ind w:right="240"/>
              <w:spacing w:after="0"/>
              <w:rPr>
                <w:sz w:val="20"/>
                <w:szCs w:val="20"/>
                <w:color w:val="auto"/>
              </w:rPr>
            </w:pPr>
            <w:r>
              <w:rPr>
                <w:rFonts w:ascii="Arial" w:cs="Arial" w:eastAsia="Arial" w:hAnsi="Arial"/>
                <w:sz w:val="18"/>
                <w:szCs w:val="18"/>
                <w:color w:val="auto"/>
              </w:rPr>
              <w:t>8,894</w:t>
            </w:r>
          </w:p>
        </w:tc>
        <w:tc>
          <w:tcPr>
            <w:tcW w:w="400" w:type="dxa"/>
            <w:vAlign w:val="bottom"/>
          </w:tcPr>
          <w:p>
            <w:pPr>
              <w:spacing w:after="0"/>
              <w:rPr>
                <w:sz w:val="24"/>
                <w:szCs w:val="24"/>
                <w:color w:val="auto"/>
              </w:rPr>
            </w:pPr>
          </w:p>
        </w:tc>
        <w:tc>
          <w:tcPr>
            <w:tcW w:w="80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17,630</w:t>
            </w:r>
          </w:p>
        </w:tc>
        <w:tc>
          <w:tcPr>
            <w:tcW w:w="420" w:type="dxa"/>
            <w:vAlign w:val="bottom"/>
          </w:tcPr>
          <w:p>
            <w:pPr>
              <w:spacing w:after="0"/>
              <w:rPr>
                <w:sz w:val="24"/>
                <w:szCs w:val="24"/>
                <w:color w:val="auto"/>
              </w:rPr>
            </w:pPr>
          </w:p>
        </w:tc>
        <w:tc>
          <w:tcPr>
            <w:tcW w:w="8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430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New store pre-opening expenses</w:t>
            </w:r>
            <w:r>
              <w:rPr>
                <w:rFonts w:ascii="Arial" w:cs="Arial" w:eastAsia="Arial" w:hAnsi="Arial"/>
                <w:sz w:val="26"/>
                <w:szCs w:val="26"/>
                <w:color w:val="auto"/>
                <w:vertAlign w:val="superscript"/>
              </w:rPr>
              <w:t>(e)</w:t>
            </w: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900" w:type="dxa"/>
            <w:vAlign w:val="bottom"/>
            <w:tcBorders>
              <w:right w:val="single" w:sz="8" w:color="9EACCA"/>
            </w:tcBorders>
            <w:gridSpan w:val="2"/>
            <w:shd w:val="clear" w:color="auto" w:fill="CCCCCC"/>
          </w:tcPr>
          <w:p>
            <w:pPr>
              <w:jc w:val="right"/>
              <w:ind w:right="240"/>
              <w:spacing w:after="0"/>
              <w:rPr>
                <w:sz w:val="20"/>
                <w:szCs w:val="20"/>
                <w:color w:val="auto"/>
              </w:rPr>
            </w:pPr>
            <w:r>
              <w:rPr>
                <w:rFonts w:ascii="Arial" w:cs="Arial" w:eastAsia="Arial" w:hAnsi="Arial"/>
                <w:sz w:val="18"/>
                <w:szCs w:val="18"/>
                <w:color w:val="auto"/>
              </w:rPr>
              <w:t>3,334</w:t>
            </w:r>
          </w:p>
        </w:tc>
        <w:tc>
          <w:tcPr>
            <w:tcW w:w="400" w:type="dxa"/>
            <w:vAlign w:val="bottom"/>
            <w:shd w:val="clear" w:color="auto" w:fill="CCCCCC"/>
          </w:tcPr>
          <w:p>
            <w:pPr>
              <w:spacing w:after="0"/>
              <w:rPr>
                <w:sz w:val="24"/>
                <w:szCs w:val="24"/>
                <w:color w:val="auto"/>
              </w:rPr>
            </w:pPr>
          </w:p>
        </w:tc>
        <w:tc>
          <w:tcPr>
            <w:tcW w:w="80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2,229</w:t>
            </w:r>
          </w:p>
        </w:tc>
        <w:tc>
          <w:tcPr>
            <w:tcW w:w="420" w:type="dxa"/>
            <w:vAlign w:val="bottom"/>
            <w:shd w:val="clear" w:color="auto" w:fill="CCCCCC"/>
          </w:tcPr>
          <w:p>
            <w:pPr>
              <w:spacing w:after="0"/>
              <w:rPr>
                <w:sz w:val="24"/>
                <w:szCs w:val="24"/>
                <w:color w:val="auto"/>
              </w:rPr>
            </w:pPr>
          </w:p>
        </w:tc>
        <w:tc>
          <w:tcPr>
            <w:tcW w:w="8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430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Non-cash rent</w:t>
            </w:r>
            <w:r>
              <w:rPr>
                <w:rFonts w:ascii="Arial" w:cs="Arial" w:eastAsia="Arial" w:hAnsi="Arial"/>
                <w:sz w:val="26"/>
                <w:szCs w:val="26"/>
                <w:color w:val="auto"/>
                <w:vertAlign w:val="superscript"/>
              </w:rPr>
              <w:t>(f)</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9EACCA"/>
            </w:tcBorders>
            <w:gridSpan w:val="2"/>
          </w:tcPr>
          <w:p>
            <w:pPr>
              <w:jc w:val="right"/>
              <w:ind w:right="240"/>
              <w:spacing w:after="0"/>
              <w:rPr>
                <w:sz w:val="20"/>
                <w:szCs w:val="20"/>
                <w:color w:val="auto"/>
              </w:rPr>
            </w:pPr>
            <w:r>
              <w:rPr>
                <w:rFonts w:ascii="Arial" w:cs="Arial" w:eastAsia="Arial" w:hAnsi="Arial"/>
                <w:sz w:val="18"/>
                <w:szCs w:val="18"/>
                <w:color w:val="auto"/>
              </w:rPr>
              <w:t>3,208</w:t>
            </w:r>
          </w:p>
        </w:tc>
        <w:tc>
          <w:tcPr>
            <w:tcW w:w="400" w:type="dxa"/>
            <w:vAlign w:val="bottom"/>
          </w:tcPr>
          <w:p>
            <w:pPr>
              <w:spacing w:after="0"/>
              <w:rPr>
                <w:sz w:val="24"/>
                <w:szCs w:val="24"/>
                <w:color w:val="auto"/>
              </w:rPr>
            </w:pPr>
          </w:p>
        </w:tc>
        <w:tc>
          <w:tcPr>
            <w:tcW w:w="80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2,801</w:t>
            </w:r>
          </w:p>
        </w:tc>
        <w:tc>
          <w:tcPr>
            <w:tcW w:w="420" w:type="dxa"/>
            <w:vAlign w:val="bottom"/>
          </w:tcPr>
          <w:p>
            <w:pPr>
              <w:spacing w:after="0"/>
              <w:rPr>
                <w:sz w:val="24"/>
                <w:szCs w:val="24"/>
                <w:color w:val="auto"/>
              </w:rPr>
            </w:pPr>
          </w:p>
        </w:tc>
        <w:tc>
          <w:tcPr>
            <w:tcW w:w="8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430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(g)</w:t>
            </w: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900" w:type="dxa"/>
            <w:vAlign w:val="bottom"/>
            <w:tcBorders>
              <w:right w:val="single" w:sz="8" w:color="9EACCA"/>
            </w:tcBorders>
            <w:gridSpan w:val="2"/>
            <w:shd w:val="clear" w:color="auto" w:fill="CCCCCC"/>
          </w:tcPr>
          <w:p>
            <w:pPr>
              <w:jc w:val="right"/>
              <w:ind w:right="240"/>
              <w:spacing w:after="0"/>
              <w:rPr>
                <w:sz w:val="20"/>
                <w:szCs w:val="20"/>
                <w:color w:val="auto"/>
              </w:rPr>
            </w:pPr>
            <w:r>
              <w:rPr>
                <w:rFonts w:ascii="Arial" w:cs="Arial" w:eastAsia="Arial" w:hAnsi="Arial"/>
                <w:sz w:val="18"/>
                <w:szCs w:val="18"/>
                <w:color w:val="auto"/>
              </w:rPr>
              <w:t>401</w:t>
            </w:r>
          </w:p>
        </w:tc>
        <w:tc>
          <w:tcPr>
            <w:tcW w:w="400" w:type="dxa"/>
            <w:vAlign w:val="bottom"/>
            <w:shd w:val="clear" w:color="auto" w:fill="CCCCCC"/>
          </w:tcPr>
          <w:p>
            <w:pPr>
              <w:spacing w:after="0"/>
              <w:rPr>
                <w:sz w:val="24"/>
                <w:szCs w:val="24"/>
                <w:color w:val="auto"/>
              </w:rPr>
            </w:pPr>
          </w:p>
        </w:tc>
        <w:tc>
          <w:tcPr>
            <w:tcW w:w="80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2,451</w:t>
            </w:r>
          </w:p>
        </w:tc>
        <w:tc>
          <w:tcPr>
            <w:tcW w:w="420" w:type="dxa"/>
            <w:vAlign w:val="bottom"/>
            <w:shd w:val="clear" w:color="auto" w:fill="CCCCCC"/>
          </w:tcPr>
          <w:p>
            <w:pPr>
              <w:spacing w:after="0"/>
              <w:rPr>
                <w:sz w:val="24"/>
                <w:szCs w:val="24"/>
                <w:color w:val="auto"/>
              </w:rPr>
            </w:pPr>
          </w:p>
        </w:tc>
        <w:tc>
          <w:tcPr>
            <w:tcW w:w="8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430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(h)</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9EACCA"/>
            </w:tcBorders>
            <w:gridSpan w:val="2"/>
          </w:tcPr>
          <w:p>
            <w:pPr>
              <w:jc w:val="right"/>
              <w:ind w:right="240"/>
              <w:spacing w:after="0"/>
              <w:rPr>
                <w:sz w:val="20"/>
                <w:szCs w:val="20"/>
                <w:color w:val="auto"/>
              </w:rPr>
            </w:pPr>
            <w:r>
              <w:rPr>
                <w:rFonts w:ascii="Arial" w:cs="Arial" w:eastAsia="Arial" w:hAnsi="Arial"/>
                <w:sz w:val="18"/>
                <w:szCs w:val="18"/>
                <w:color w:val="auto"/>
              </w:rPr>
              <w:t>2,155</w:t>
            </w:r>
          </w:p>
        </w:tc>
        <w:tc>
          <w:tcPr>
            <w:tcW w:w="400" w:type="dxa"/>
            <w:vAlign w:val="bottom"/>
          </w:tcPr>
          <w:p>
            <w:pPr>
              <w:spacing w:after="0"/>
              <w:rPr>
                <w:sz w:val="24"/>
                <w:szCs w:val="24"/>
                <w:color w:val="auto"/>
              </w:rPr>
            </w:pPr>
          </w:p>
        </w:tc>
        <w:tc>
          <w:tcPr>
            <w:tcW w:w="80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430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(i)</w:t>
            </w: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900" w:type="dxa"/>
            <w:vAlign w:val="bottom"/>
            <w:tcBorders>
              <w:right w:val="single" w:sz="8" w:color="9EACCA"/>
            </w:tcBorders>
            <w:gridSpan w:val="2"/>
            <w:shd w:val="clear" w:color="auto" w:fill="CCCCCC"/>
          </w:tcPr>
          <w:p>
            <w:pPr>
              <w:jc w:val="right"/>
              <w:ind w:right="240"/>
              <w:spacing w:after="0"/>
              <w:rPr>
                <w:sz w:val="20"/>
                <w:szCs w:val="20"/>
                <w:color w:val="auto"/>
              </w:rPr>
            </w:pPr>
            <w:r>
              <w:rPr>
                <w:rFonts w:ascii="Arial" w:cs="Arial" w:eastAsia="Arial" w:hAnsi="Arial"/>
                <w:sz w:val="18"/>
                <w:szCs w:val="18"/>
                <w:color w:val="auto"/>
              </w:rPr>
              <w:t>2,830</w:t>
            </w:r>
          </w:p>
        </w:tc>
        <w:tc>
          <w:tcPr>
            <w:tcW w:w="400" w:type="dxa"/>
            <w:vAlign w:val="bottom"/>
            <w:shd w:val="clear" w:color="auto" w:fill="CCCCCC"/>
          </w:tcPr>
          <w:p>
            <w:pPr>
              <w:spacing w:after="0"/>
              <w:rPr>
                <w:sz w:val="24"/>
                <w:szCs w:val="24"/>
                <w:color w:val="auto"/>
              </w:rPr>
            </w:pPr>
          </w:p>
        </w:tc>
        <w:tc>
          <w:tcPr>
            <w:tcW w:w="80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7,040</w:t>
            </w:r>
          </w:p>
        </w:tc>
        <w:tc>
          <w:tcPr>
            <w:tcW w:w="420" w:type="dxa"/>
            <w:vAlign w:val="bottom"/>
            <w:shd w:val="clear" w:color="auto" w:fill="CCCCCC"/>
          </w:tcPr>
          <w:p>
            <w:pPr>
              <w:spacing w:after="0"/>
              <w:rPr>
                <w:sz w:val="24"/>
                <w:szCs w:val="24"/>
                <w:color w:val="auto"/>
              </w:rPr>
            </w:pPr>
          </w:p>
        </w:tc>
        <w:tc>
          <w:tcPr>
            <w:tcW w:w="8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430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(j)</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6,370</w:t>
            </w:r>
          </w:p>
        </w:tc>
        <w:tc>
          <w:tcPr>
            <w:tcW w:w="240" w:type="dxa"/>
            <w:vAlign w:val="bottom"/>
            <w:tcBorders>
              <w:right w:val="single" w:sz="8" w:color="9EACCA"/>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4,585</w:t>
            </w:r>
          </w:p>
        </w:tc>
        <w:tc>
          <w:tcPr>
            <w:tcW w:w="420" w:type="dxa"/>
            <w:vAlign w:val="bottom"/>
          </w:tcPr>
          <w:p>
            <w:pPr>
              <w:spacing w:after="0"/>
              <w:rPr>
                <w:sz w:val="24"/>
                <w:szCs w:val="24"/>
                <w:color w:val="auto"/>
              </w:rPr>
            </w:pPr>
          </w:p>
        </w:tc>
        <w:tc>
          <w:tcPr>
            <w:tcW w:w="8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4300" w:type="dxa"/>
            <w:vAlign w:val="bottom"/>
            <w:tcBorders>
              <w:right w:val="single" w:sz="8" w:color="9EACCA"/>
            </w:tcBorders>
            <w:vMerge w:val="restart"/>
            <w:shd w:val="clear" w:color="auto" w:fill="CCCCCC"/>
          </w:tcPr>
          <w:p>
            <w:pPr>
              <w:ind w:left="180"/>
              <w:spacing w:after="0"/>
              <w:rPr>
                <w:sz w:val="20"/>
                <w:szCs w:val="20"/>
                <w:color w:val="auto"/>
              </w:rPr>
            </w:pPr>
            <w:r>
              <w:rPr>
                <w:rFonts w:ascii="Arial" w:cs="Arial" w:eastAsia="Arial" w:hAnsi="Arial"/>
                <w:sz w:val="18"/>
                <w:szCs w:val="18"/>
                <w:b w:val="1"/>
                <w:bCs w:val="1"/>
                <w:color w:val="auto"/>
              </w:rPr>
              <w:t>Adjusted EBITDA/Adjusted EBITDA Margin</w:t>
            </w:r>
          </w:p>
        </w:tc>
        <w:tc>
          <w:tcPr>
            <w:tcW w:w="2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9EACCA"/>
            </w:tcBorders>
            <w:shd w:val="clear" w:color="auto" w:fill="CCCCCC"/>
          </w:tcPr>
          <w:p>
            <w:pPr>
              <w:spacing w:after="0" w:line="20" w:lineRule="exact"/>
              <w:rPr>
                <w:sz w:val="1"/>
                <w:szCs w:val="1"/>
                <w:color w:val="auto"/>
              </w:rPr>
            </w:pPr>
          </w:p>
        </w:tc>
        <w:tc>
          <w:tcPr>
            <w:tcW w:w="400" w:type="dxa"/>
            <w:vAlign w:val="bottom"/>
            <w:shd w:val="clear" w:color="auto" w:fill="CCCC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right w:val="single" w:sz="8" w:color="9EACCA"/>
            </w:tcBorders>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9EACCA"/>
            </w:tcBorders>
            <w:shd w:val="clear" w:color="auto" w:fill="CCCCCC"/>
          </w:tcPr>
          <w:p>
            <w:pPr>
              <w:spacing w:after="0" w:line="20" w:lineRule="exact"/>
              <w:rPr>
                <w:sz w:val="1"/>
                <w:szCs w:val="1"/>
                <w:color w:val="auto"/>
              </w:rPr>
            </w:pPr>
          </w:p>
        </w:tc>
        <w:tc>
          <w:tcPr>
            <w:tcW w:w="420" w:type="dxa"/>
            <w:vAlign w:val="bottom"/>
            <w:shd w:val="clear" w:color="auto" w:fill="CCCC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left w:val="single" w:sz="8" w:color="3C5896"/>
              <w:bottom w:val="single" w:sz="8" w:color="3C5896"/>
            </w:tcBorders>
            <w:shd w:val="clear" w:color="auto" w:fill="CCCCCC"/>
          </w:tcPr>
          <w:p>
            <w:pPr>
              <w:spacing w:after="0"/>
              <w:rPr>
                <w:sz w:val="21"/>
                <w:szCs w:val="21"/>
                <w:color w:val="auto"/>
              </w:rPr>
            </w:pPr>
          </w:p>
        </w:tc>
        <w:tc>
          <w:tcPr>
            <w:tcW w:w="4300" w:type="dxa"/>
            <w:vAlign w:val="bottom"/>
            <w:tcBorders>
              <w:bottom w:val="single" w:sz="8" w:color="3C5896"/>
              <w:right w:val="single" w:sz="8" w:color="9EACCA"/>
            </w:tcBorders>
            <w:vMerge w:val="continue"/>
            <w:shd w:val="clear" w:color="auto" w:fill="CCCCCC"/>
          </w:tcPr>
          <w:p>
            <w:pPr>
              <w:spacing w:after="0"/>
              <w:rPr>
                <w:sz w:val="21"/>
                <w:szCs w:val="21"/>
                <w:color w:val="auto"/>
              </w:rPr>
            </w:pPr>
          </w:p>
        </w:tc>
        <w:tc>
          <w:tcPr>
            <w:tcW w:w="200" w:type="dxa"/>
            <w:vAlign w:val="bottom"/>
            <w:tcBorders>
              <w:bottom w:val="single" w:sz="8" w:color="3C5896"/>
            </w:tcBorders>
            <w:shd w:val="clear" w:color="auto" w:fill="CCCCCC"/>
          </w:tcPr>
          <w:p>
            <w:pPr>
              <w:spacing w:after="0"/>
              <w:rPr>
                <w:sz w:val="21"/>
                <w:szCs w:val="21"/>
                <w:color w:val="auto"/>
              </w:rPr>
            </w:pPr>
          </w:p>
        </w:tc>
        <w:tc>
          <w:tcPr>
            <w:tcW w:w="120" w:type="dxa"/>
            <w:vAlign w:val="bottom"/>
            <w:tcBorders>
              <w:bottom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w w:val="98"/>
              </w:rPr>
              <w:t>200,681</w:t>
            </w:r>
          </w:p>
        </w:tc>
        <w:tc>
          <w:tcPr>
            <w:tcW w:w="240" w:type="dxa"/>
            <w:vAlign w:val="bottom"/>
            <w:tcBorders>
              <w:bottom w:val="single" w:sz="8" w:color="3C5896"/>
              <w:right w:val="single" w:sz="8" w:color="9EACCA"/>
            </w:tcBorders>
            <w:shd w:val="clear" w:color="auto" w:fill="CCCCCC"/>
          </w:tcPr>
          <w:p>
            <w:pPr>
              <w:spacing w:after="0"/>
              <w:rPr>
                <w:sz w:val="21"/>
                <w:szCs w:val="21"/>
                <w:color w:val="auto"/>
              </w:rPr>
            </w:pPr>
          </w:p>
        </w:tc>
        <w:tc>
          <w:tcPr>
            <w:tcW w:w="400" w:type="dxa"/>
            <w:vAlign w:val="bottom"/>
            <w:tcBorders>
              <w:bottom w:val="single" w:sz="8" w:color="3C5896"/>
            </w:tcBorders>
            <w:shd w:val="clear" w:color="auto" w:fill="CCCCCC"/>
          </w:tcPr>
          <w:p>
            <w:pPr>
              <w:spacing w:after="0"/>
              <w:rPr>
                <w:sz w:val="21"/>
                <w:szCs w:val="21"/>
                <w:color w:val="auto"/>
              </w:rPr>
            </w:pPr>
          </w:p>
        </w:tc>
        <w:tc>
          <w:tcPr>
            <w:tcW w:w="800" w:type="dxa"/>
            <w:vAlign w:val="bottom"/>
            <w:tcBorders>
              <w:bottom w:val="single" w:sz="8" w:color="3C5896"/>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w w:val="97"/>
              </w:rPr>
              <w:t>11.6%</w:t>
            </w:r>
          </w:p>
        </w:tc>
        <w:tc>
          <w:tcPr>
            <w:tcW w:w="320" w:type="dxa"/>
            <w:vAlign w:val="bottom"/>
            <w:tcBorders>
              <w:bottom w:val="single" w:sz="8" w:color="3C5896"/>
            </w:tcBorders>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3C5896"/>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8"/>
              </w:rPr>
              <w:t>174,365</w:t>
            </w:r>
          </w:p>
        </w:tc>
        <w:tc>
          <w:tcPr>
            <w:tcW w:w="420" w:type="dxa"/>
            <w:vAlign w:val="bottom"/>
            <w:tcBorders>
              <w:bottom w:val="single" w:sz="8" w:color="3C5896"/>
            </w:tcBorders>
            <w:shd w:val="clear" w:color="auto" w:fill="CCCCCC"/>
          </w:tcPr>
          <w:p>
            <w:pPr>
              <w:spacing w:after="0"/>
              <w:rPr>
                <w:sz w:val="21"/>
                <w:szCs w:val="21"/>
                <w:color w:val="auto"/>
              </w:rPr>
            </w:pPr>
          </w:p>
        </w:tc>
        <w:tc>
          <w:tcPr>
            <w:tcW w:w="800" w:type="dxa"/>
            <w:vAlign w:val="bottom"/>
            <w:tcBorders>
              <w:bottom w:val="single" w:sz="8" w:color="3C5896"/>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w w:val="97"/>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-179070</wp:posOffset>
            </wp:positionV>
            <wp:extent cx="274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4114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-179070</wp:posOffset>
            </wp:positionV>
            <wp:extent cx="44234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-2776855</wp:posOffset>
            </wp:positionV>
            <wp:extent cx="58204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Percentages reflect line item as a percentage of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Reconciliation of Adjusted Comparable Store Sales Growth to Total Comparable Store Sales Growth</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Owned &amp; host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-596265</wp:posOffset>
            </wp:positionV>
            <wp:extent cx="5837555" cy="19545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37555" cy="1954530"/>
                    </a:xfrm>
                    <a:prstGeom prst="rect">
                      <a:avLst/>
                    </a:prstGeom>
                    <a:noFill/>
                  </pic:spPr>
                </pic:pic>
              </a:graphicData>
            </a:graphic>
          </wp:anchor>
        </w:drawing>
      </w:r>
    </w:p>
    <w:p>
      <w:pPr>
        <w:spacing w:after="0" w:line="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America’s Best</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Eyeglass World</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Military</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Fred Meyer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Legacy segment</w:t>
      </w:r>
      <w:r>
        <w:rPr>
          <w:rFonts w:ascii="Arial" w:cs="Arial" w:eastAsia="Arial" w:hAnsi="Arial"/>
          <w:sz w:val="26"/>
          <w:szCs w:val="26"/>
          <w:b w:val="1"/>
          <w:bCs w:val="1"/>
          <w:color w:val="auto"/>
          <w:vertAlign w:val="superscript"/>
        </w:rPr>
        <w:t>(b)</w:t>
      </w:r>
    </w:p>
    <w:p>
      <w:pPr>
        <w:spacing w:after="0" w:line="281" w:lineRule="exact"/>
        <w:rPr>
          <w:sz w:val="20"/>
          <w:szCs w:val="20"/>
          <w:color w:val="auto"/>
        </w:rPr>
      </w:pPr>
    </w:p>
    <w:p>
      <w:pPr>
        <w:ind w:left="820" w:right="1920"/>
        <w:spacing w:after="0" w:line="273" w:lineRule="auto"/>
        <w:rPr>
          <w:sz w:val="20"/>
          <w:szCs w:val="20"/>
          <w:color w:val="auto"/>
        </w:rPr>
      </w:pPr>
      <w:r>
        <w:rPr>
          <w:rFonts w:ascii="Arial" w:cs="Arial" w:eastAsia="Arial" w:hAnsi="Arial"/>
          <w:sz w:val="17"/>
          <w:szCs w:val="17"/>
          <w:color w:val="auto"/>
        </w:rPr>
        <w:t>Total comparable store sales growth Adjusted Comparable Store Sales Growth</w:t>
      </w:r>
      <w:r>
        <w:rPr>
          <w:rFonts w:ascii="Arial" w:cs="Arial" w:eastAsia="Arial" w:hAnsi="Arial"/>
          <w:sz w:val="25"/>
          <w:szCs w:val="25"/>
          <w:color w:val="auto"/>
          <w:vertAlign w:val="superscript"/>
        </w:rPr>
        <w:t>(c)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Comparable store sales growth</w:t>
      </w:r>
      <w:r>
        <w:rPr>
          <w:rFonts w:ascii="Arial" w:cs="Arial" w:eastAsia="Arial" w:hAnsi="Arial"/>
          <w:sz w:val="26"/>
          <w:szCs w:val="26"/>
          <w:b w:val="1"/>
          <w:bCs w:val="1"/>
          <w:color w:val="FFFFFF"/>
          <w:vertAlign w:val="superscript"/>
        </w:rPr>
        <w:t>(a)</w:t>
      </w:r>
    </w:p>
    <w:tbl>
      <w:tblPr>
        <w:tblLayout w:type="fixed"/>
        <w:tblInd w:w="10" w:type="dxa"/>
        <w:tblCellMar>
          <w:top w:w="0" w:type="dxa"/>
          <w:left w:w="0" w:type="dxa"/>
          <w:bottom w:w="0" w:type="dxa"/>
          <w:right w:w="0" w:type="dxa"/>
        </w:tblCellMar>
      </w:tblPr>
      <w:tr>
        <w:trPr>
          <w:trHeight w:val="181"/>
        </w:trPr>
        <w:tc>
          <w:tcPr>
            <w:tcW w:w="60" w:type="dxa"/>
            <w:vAlign w:val="bottom"/>
          </w:tcPr>
          <w:p>
            <w:pPr>
              <w:spacing w:after="0"/>
              <w:rPr>
                <w:sz w:val="15"/>
                <w:szCs w:val="15"/>
                <w:color w:val="auto"/>
              </w:rPr>
            </w:pPr>
          </w:p>
        </w:tc>
        <w:tc>
          <w:tcPr>
            <w:tcW w:w="1440" w:type="dxa"/>
            <w:vAlign w:val="bottom"/>
            <w:tcBorders>
              <w:right w:val="single" w:sz="8" w:color="9EACCA"/>
            </w:tcBorders>
            <w:shd w:val="clear" w:color="auto" w:fill="3C5896"/>
          </w:tcPr>
          <w:p>
            <w:pPr>
              <w:jc w:val="right"/>
              <w:ind w:right="190"/>
              <w:spacing w:after="0" w:line="181" w:lineRule="exact"/>
              <w:rPr>
                <w:sz w:val="20"/>
                <w:szCs w:val="20"/>
                <w:color w:val="auto"/>
              </w:rPr>
            </w:pPr>
            <w:r>
              <w:rPr>
                <w:rFonts w:ascii="Arial" w:cs="Arial" w:eastAsia="Arial" w:hAnsi="Arial"/>
                <w:sz w:val="18"/>
                <w:szCs w:val="18"/>
                <w:b w:val="1"/>
                <w:bCs w:val="1"/>
                <w:color w:val="FFFFFF"/>
              </w:rPr>
              <w:t>Fiscal Year</w:t>
            </w:r>
          </w:p>
        </w:tc>
        <w:tc>
          <w:tcPr>
            <w:tcW w:w="1480" w:type="dxa"/>
            <w:vAlign w:val="bottom"/>
            <w:shd w:val="clear" w:color="auto" w:fill="3C5896"/>
          </w:tcPr>
          <w:p>
            <w:pPr>
              <w:jc w:val="right"/>
              <w:ind w:right="190"/>
              <w:spacing w:after="0" w:line="181" w:lineRule="exact"/>
              <w:rPr>
                <w:sz w:val="20"/>
                <w:szCs w:val="20"/>
                <w:color w:val="auto"/>
              </w:rPr>
            </w:pPr>
            <w:r>
              <w:rPr>
                <w:rFonts w:ascii="Arial" w:cs="Arial" w:eastAsia="Arial" w:hAnsi="Arial"/>
                <w:sz w:val="18"/>
                <w:szCs w:val="18"/>
                <w:b w:val="1"/>
                <w:bCs w:val="1"/>
                <w:color w:val="FFFFFF"/>
              </w:rPr>
              <w:t>Fiscal Year</w:t>
            </w:r>
          </w:p>
        </w:tc>
        <w:tc>
          <w:tcPr>
            <w:tcW w:w="20" w:type="dxa"/>
            <w:vAlign w:val="bottom"/>
            <w:shd w:val="clear" w:color="auto" w:fill="3C5896"/>
          </w:tcPr>
          <w:p>
            <w:pPr>
              <w:spacing w:after="0"/>
              <w:rPr>
                <w:sz w:val="15"/>
                <w:szCs w:val="15"/>
                <w:color w:val="auto"/>
              </w:rPr>
            </w:pPr>
          </w:p>
        </w:tc>
      </w:tr>
      <w:tr>
        <w:trPr>
          <w:trHeight w:val="246"/>
        </w:trPr>
        <w:tc>
          <w:tcPr>
            <w:tcW w:w="60" w:type="dxa"/>
            <w:vAlign w:val="bottom"/>
          </w:tcPr>
          <w:p>
            <w:pPr>
              <w:spacing w:after="0"/>
              <w:rPr>
                <w:sz w:val="21"/>
                <w:szCs w:val="21"/>
                <w:color w:val="auto"/>
              </w:rPr>
            </w:pPr>
          </w:p>
        </w:tc>
        <w:tc>
          <w:tcPr>
            <w:tcW w:w="1440" w:type="dxa"/>
            <w:vAlign w:val="bottom"/>
            <w:tcBorders>
              <w:right w:val="single" w:sz="8" w:color="9EACCA"/>
            </w:tcBorders>
            <w:shd w:val="clear" w:color="auto" w:fill="3C5896"/>
          </w:tcPr>
          <w:p>
            <w:pPr>
              <w:jc w:val="right"/>
              <w:ind w:right="470"/>
              <w:spacing w:after="0"/>
              <w:rPr>
                <w:sz w:val="20"/>
                <w:szCs w:val="20"/>
                <w:color w:val="auto"/>
              </w:rPr>
            </w:pPr>
            <w:r>
              <w:rPr>
                <w:rFonts w:ascii="Arial" w:cs="Arial" w:eastAsia="Arial" w:hAnsi="Arial"/>
                <w:sz w:val="18"/>
                <w:szCs w:val="18"/>
                <w:b w:val="1"/>
                <w:bCs w:val="1"/>
                <w:color w:val="FFFFFF"/>
              </w:rPr>
              <w:t>2019</w:t>
            </w:r>
          </w:p>
        </w:tc>
        <w:tc>
          <w:tcPr>
            <w:tcW w:w="1480" w:type="dxa"/>
            <w:vAlign w:val="bottom"/>
            <w:shd w:val="clear" w:color="auto" w:fill="3C5896"/>
          </w:tcPr>
          <w:p>
            <w:pPr>
              <w:jc w:val="right"/>
              <w:ind w:right="450"/>
              <w:spacing w:after="0"/>
              <w:rPr>
                <w:sz w:val="20"/>
                <w:szCs w:val="20"/>
                <w:color w:val="auto"/>
              </w:rPr>
            </w:pPr>
            <w:r>
              <w:rPr>
                <w:rFonts w:ascii="Arial" w:cs="Arial" w:eastAsia="Arial" w:hAnsi="Arial"/>
                <w:sz w:val="18"/>
                <w:szCs w:val="18"/>
                <w:b w:val="1"/>
                <w:bCs w:val="1"/>
                <w:color w:val="FFFFFF"/>
              </w:rPr>
              <w:t>2018</w:t>
            </w:r>
          </w:p>
        </w:tc>
        <w:tc>
          <w:tcPr>
            <w:tcW w:w="20" w:type="dxa"/>
            <w:vAlign w:val="bottom"/>
            <w:shd w:val="clear" w:color="auto" w:fill="3C5896"/>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440" w:type="dxa"/>
            <w:vAlign w:val="bottom"/>
            <w:tcBorders>
              <w:right w:val="single" w:sz="8" w:color="9EACCA"/>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60" w:type="dxa"/>
            <w:vAlign w:val="bottom"/>
            <w:tcBorders>
              <w:left w:val="single" w:sz="8" w:color="9EACCA"/>
            </w:tcBorders>
          </w:tcPr>
          <w:p>
            <w:pPr>
              <w:spacing w:after="0"/>
              <w:rPr>
                <w:sz w:val="21"/>
                <w:szCs w:val="21"/>
                <w:color w:val="auto"/>
              </w:rPr>
            </w:pPr>
          </w:p>
        </w:tc>
        <w:tc>
          <w:tcPr>
            <w:tcW w:w="1440" w:type="dxa"/>
            <w:vAlign w:val="bottom"/>
            <w:tcBorders>
              <w:right w:val="single" w:sz="8" w:color="9EACCA"/>
            </w:tcBorders>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60" w:type="dxa"/>
            <w:vAlign w:val="bottom"/>
            <w:tcBorders>
              <w:left w:val="single" w:sz="8" w:color="9EACCA"/>
            </w:tcBorders>
            <w:shd w:val="clear" w:color="auto" w:fill="CCCCCC"/>
          </w:tcPr>
          <w:p>
            <w:pPr>
              <w:spacing w:after="0"/>
              <w:rPr>
                <w:sz w:val="22"/>
                <w:szCs w:val="22"/>
                <w:color w:val="auto"/>
              </w:rPr>
            </w:pPr>
          </w:p>
        </w:tc>
        <w:tc>
          <w:tcPr>
            <w:tcW w:w="1440" w:type="dxa"/>
            <w:vAlign w:val="bottom"/>
            <w:tcBorders>
              <w:right w:val="single" w:sz="8" w:color="9EACCA"/>
            </w:tcBorders>
            <w:shd w:val="clear" w:color="auto" w:fill="CCCCCC"/>
          </w:tcPr>
          <w:p>
            <w:pPr>
              <w:jc w:val="right"/>
              <w:ind w:right="350"/>
              <w:spacing w:after="0"/>
              <w:rPr>
                <w:sz w:val="20"/>
                <w:szCs w:val="20"/>
                <w:color w:val="auto"/>
              </w:rPr>
            </w:pPr>
            <w:r>
              <w:rPr>
                <w:rFonts w:ascii="Arial" w:cs="Arial" w:eastAsia="Arial" w:hAnsi="Arial"/>
                <w:sz w:val="18"/>
                <w:szCs w:val="18"/>
                <w:color w:val="auto"/>
              </w:rPr>
              <w:t>7.1%</w:t>
            </w:r>
          </w:p>
        </w:tc>
        <w:tc>
          <w:tcPr>
            <w:tcW w:w="1480" w:type="dxa"/>
            <w:vAlign w:val="bottom"/>
            <w:shd w:val="clear" w:color="auto" w:fill="CCCCCC"/>
          </w:tcPr>
          <w:p>
            <w:pPr>
              <w:jc w:val="right"/>
              <w:ind w:right="33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2"/>
                <w:szCs w:val="22"/>
                <w:color w:val="auto"/>
              </w:rPr>
            </w:pPr>
          </w:p>
        </w:tc>
      </w:tr>
      <w:tr>
        <w:trPr>
          <w:trHeight w:val="250"/>
        </w:trPr>
        <w:tc>
          <w:tcPr>
            <w:tcW w:w="60" w:type="dxa"/>
            <w:vAlign w:val="bottom"/>
            <w:tcBorders>
              <w:left w:val="single" w:sz="8" w:color="9EACCA"/>
            </w:tcBorders>
          </w:tcPr>
          <w:p>
            <w:pPr>
              <w:spacing w:after="0"/>
              <w:rPr>
                <w:sz w:val="21"/>
                <w:szCs w:val="21"/>
                <w:color w:val="auto"/>
              </w:rPr>
            </w:pPr>
          </w:p>
        </w:tc>
        <w:tc>
          <w:tcPr>
            <w:tcW w:w="1440" w:type="dxa"/>
            <w:vAlign w:val="bottom"/>
            <w:tcBorders>
              <w:right w:val="single" w:sz="8" w:color="9EACCA"/>
            </w:tcBorders>
          </w:tcPr>
          <w:p>
            <w:pPr>
              <w:jc w:val="right"/>
              <w:ind w:right="350"/>
              <w:spacing w:after="0"/>
              <w:rPr>
                <w:sz w:val="20"/>
                <w:szCs w:val="20"/>
                <w:color w:val="auto"/>
              </w:rPr>
            </w:pPr>
            <w:r>
              <w:rPr>
                <w:rFonts w:ascii="Arial" w:cs="Arial" w:eastAsia="Arial" w:hAnsi="Arial"/>
                <w:sz w:val="18"/>
                <w:szCs w:val="18"/>
                <w:color w:val="auto"/>
              </w:rPr>
              <w:t>5.8%</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r>
      <w:tr>
        <w:trPr>
          <w:trHeight w:val="263"/>
        </w:trPr>
        <w:tc>
          <w:tcPr>
            <w:tcW w:w="60" w:type="dxa"/>
            <w:vAlign w:val="bottom"/>
            <w:tcBorders>
              <w:left w:val="single" w:sz="8" w:color="9EACCA"/>
            </w:tcBorders>
            <w:shd w:val="clear" w:color="auto" w:fill="CCCCCC"/>
          </w:tcPr>
          <w:p>
            <w:pPr>
              <w:spacing w:after="0"/>
              <w:rPr>
                <w:sz w:val="22"/>
                <w:szCs w:val="22"/>
                <w:color w:val="auto"/>
              </w:rPr>
            </w:pPr>
          </w:p>
        </w:tc>
        <w:tc>
          <w:tcPr>
            <w:tcW w:w="1440" w:type="dxa"/>
            <w:vAlign w:val="bottom"/>
            <w:tcBorders>
              <w:right w:val="single" w:sz="8" w:color="9EACCA"/>
            </w:tcBorders>
            <w:shd w:val="clear" w:color="auto" w:fill="CCCCCC"/>
          </w:tcPr>
          <w:p>
            <w:pPr>
              <w:jc w:val="right"/>
              <w:ind w:right="350"/>
              <w:spacing w:after="0"/>
              <w:rPr>
                <w:sz w:val="20"/>
                <w:szCs w:val="20"/>
                <w:color w:val="auto"/>
              </w:rPr>
            </w:pPr>
            <w:r>
              <w:rPr>
                <w:rFonts w:ascii="Arial" w:cs="Arial" w:eastAsia="Arial" w:hAnsi="Arial"/>
                <w:sz w:val="18"/>
                <w:szCs w:val="18"/>
                <w:color w:val="auto"/>
              </w:rPr>
              <w:t>1.4%</w:t>
            </w:r>
          </w:p>
        </w:tc>
        <w:tc>
          <w:tcPr>
            <w:tcW w:w="1480" w:type="dxa"/>
            <w:vAlign w:val="bottom"/>
            <w:shd w:val="clear" w:color="auto" w:fill="CCCCCC"/>
          </w:tcPr>
          <w:p>
            <w:pPr>
              <w:jc w:val="right"/>
              <w:ind w:right="27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2"/>
                <w:szCs w:val="22"/>
                <w:color w:val="auto"/>
              </w:rPr>
            </w:pPr>
          </w:p>
        </w:tc>
      </w:tr>
      <w:tr>
        <w:trPr>
          <w:trHeight w:val="250"/>
        </w:trPr>
        <w:tc>
          <w:tcPr>
            <w:tcW w:w="60" w:type="dxa"/>
            <w:vAlign w:val="bottom"/>
            <w:tcBorders>
              <w:left w:val="single" w:sz="8" w:color="9EACCA"/>
            </w:tcBorders>
          </w:tcPr>
          <w:p>
            <w:pPr>
              <w:spacing w:after="0"/>
              <w:rPr>
                <w:sz w:val="21"/>
                <w:szCs w:val="21"/>
                <w:color w:val="auto"/>
              </w:rPr>
            </w:pPr>
          </w:p>
        </w:tc>
        <w:tc>
          <w:tcPr>
            <w:tcW w:w="1440" w:type="dxa"/>
            <w:vAlign w:val="bottom"/>
            <w:tcBorders>
              <w:right w:val="single" w:sz="8" w:color="9EACCA"/>
            </w:tcBorders>
          </w:tcPr>
          <w:p>
            <w:pPr>
              <w:jc w:val="right"/>
              <w:ind w:right="290"/>
              <w:spacing w:after="0"/>
              <w:rPr>
                <w:sz w:val="20"/>
                <w:szCs w:val="20"/>
                <w:color w:val="auto"/>
              </w:rPr>
            </w:pPr>
            <w:r>
              <w:rPr>
                <w:rFonts w:ascii="Arial" w:cs="Arial" w:eastAsia="Arial" w:hAnsi="Arial"/>
                <w:sz w:val="18"/>
                <w:szCs w:val="18"/>
                <w:color w:val="auto"/>
              </w:rPr>
              <w:t>(4.4)%</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r>
      <w:tr>
        <w:trPr>
          <w:trHeight w:val="277"/>
        </w:trPr>
        <w:tc>
          <w:tcPr>
            <w:tcW w:w="60" w:type="dxa"/>
            <w:vAlign w:val="bottom"/>
            <w:tcBorders>
              <w:left w:val="single" w:sz="8" w:color="9EACCA"/>
            </w:tcBorders>
            <w:shd w:val="clear" w:color="auto" w:fill="CCCCCC"/>
          </w:tcPr>
          <w:p>
            <w:pPr>
              <w:spacing w:after="0"/>
              <w:rPr>
                <w:sz w:val="24"/>
                <w:szCs w:val="24"/>
                <w:color w:val="auto"/>
              </w:rPr>
            </w:pPr>
          </w:p>
        </w:tc>
        <w:tc>
          <w:tcPr>
            <w:tcW w:w="1440" w:type="dxa"/>
            <w:vAlign w:val="bottom"/>
            <w:tcBorders>
              <w:right w:val="single" w:sz="8" w:color="9EACCA"/>
            </w:tcBorders>
            <w:shd w:val="clear" w:color="auto" w:fill="CCCCCC"/>
          </w:tcPr>
          <w:p>
            <w:pPr>
              <w:jc w:val="right"/>
              <w:ind w:right="350"/>
              <w:spacing w:after="0"/>
              <w:rPr>
                <w:sz w:val="20"/>
                <w:szCs w:val="20"/>
                <w:color w:val="auto"/>
              </w:rPr>
            </w:pPr>
            <w:r>
              <w:rPr>
                <w:rFonts w:ascii="Arial" w:cs="Arial" w:eastAsia="Arial" w:hAnsi="Arial"/>
                <w:sz w:val="18"/>
                <w:szCs w:val="18"/>
                <w:color w:val="auto"/>
              </w:rPr>
              <w:t>3.1%</w:t>
            </w:r>
          </w:p>
        </w:tc>
        <w:tc>
          <w:tcPr>
            <w:tcW w:w="1480" w:type="dxa"/>
            <w:vAlign w:val="bottom"/>
            <w:shd w:val="clear" w:color="auto" w:fill="CCCCCC"/>
          </w:tcPr>
          <w:p>
            <w:pPr>
              <w:jc w:val="right"/>
              <w:ind w:right="33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4"/>
                <w:szCs w:val="24"/>
                <w:color w:val="auto"/>
              </w:rPr>
            </w:pPr>
          </w:p>
        </w:tc>
      </w:tr>
      <w:tr>
        <w:trPr>
          <w:trHeight w:val="270"/>
        </w:trPr>
        <w:tc>
          <w:tcPr>
            <w:tcW w:w="60" w:type="dxa"/>
            <w:vAlign w:val="bottom"/>
            <w:tcBorders>
              <w:left w:val="single" w:sz="8" w:color="9EACCA"/>
            </w:tcBorders>
          </w:tcPr>
          <w:p>
            <w:pPr>
              <w:spacing w:after="0"/>
              <w:rPr>
                <w:sz w:val="23"/>
                <w:szCs w:val="23"/>
                <w:color w:val="auto"/>
              </w:rPr>
            </w:pPr>
          </w:p>
        </w:tc>
        <w:tc>
          <w:tcPr>
            <w:tcW w:w="1440" w:type="dxa"/>
            <w:vAlign w:val="bottom"/>
            <w:tcBorders>
              <w:right w:val="single" w:sz="8" w:color="9EACCA"/>
            </w:tcBorders>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60" w:type="dxa"/>
            <w:vAlign w:val="bottom"/>
            <w:tcBorders>
              <w:left w:val="single" w:sz="8" w:color="9EACCA"/>
            </w:tcBorders>
            <w:shd w:val="clear" w:color="auto" w:fill="CCCCCC"/>
          </w:tcPr>
          <w:p>
            <w:pPr>
              <w:spacing w:after="0"/>
              <w:rPr>
                <w:sz w:val="22"/>
                <w:szCs w:val="22"/>
                <w:color w:val="auto"/>
              </w:rPr>
            </w:pPr>
          </w:p>
        </w:tc>
        <w:tc>
          <w:tcPr>
            <w:tcW w:w="1440" w:type="dxa"/>
            <w:vAlign w:val="bottom"/>
            <w:tcBorders>
              <w:right w:val="single" w:sz="8" w:color="9EACCA"/>
            </w:tcBorders>
            <w:shd w:val="clear" w:color="auto" w:fill="CCCCCC"/>
          </w:tcPr>
          <w:p>
            <w:pPr>
              <w:jc w:val="right"/>
              <w:ind w:right="350"/>
              <w:spacing w:after="0"/>
              <w:rPr>
                <w:sz w:val="20"/>
                <w:szCs w:val="20"/>
                <w:color w:val="auto"/>
              </w:rPr>
            </w:pPr>
            <w:r>
              <w:rPr>
                <w:rFonts w:ascii="Arial" w:cs="Arial" w:eastAsia="Arial" w:hAnsi="Arial"/>
                <w:sz w:val="18"/>
                <w:szCs w:val="18"/>
                <w:color w:val="auto"/>
              </w:rPr>
              <w:t>6.5%</w:t>
            </w:r>
          </w:p>
        </w:tc>
        <w:tc>
          <w:tcPr>
            <w:tcW w:w="1480" w:type="dxa"/>
            <w:vAlign w:val="bottom"/>
            <w:shd w:val="clear" w:color="auto" w:fill="CCCCCC"/>
          </w:tcPr>
          <w:p>
            <w:pPr>
              <w:jc w:val="right"/>
              <w:ind w:right="33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2"/>
                <w:szCs w:val="22"/>
                <w:color w:val="auto"/>
              </w:rPr>
            </w:pPr>
          </w:p>
        </w:tc>
      </w:tr>
      <w:tr>
        <w:trPr>
          <w:trHeight w:val="257"/>
        </w:trPr>
        <w:tc>
          <w:tcPr>
            <w:tcW w:w="60" w:type="dxa"/>
            <w:vAlign w:val="bottom"/>
            <w:tcBorders>
              <w:left w:val="single" w:sz="8" w:color="9EACCA"/>
            </w:tcBorders>
          </w:tcPr>
          <w:p>
            <w:pPr>
              <w:spacing w:after="0"/>
              <w:rPr>
                <w:sz w:val="22"/>
                <w:szCs w:val="22"/>
                <w:color w:val="auto"/>
              </w:rPr>
            </w:pPr>
          </w:p>
        </w:tc>
        <w:tc>
          <w:tcPr>
            <w:tcW w:w="1440" w:type="dxa"/>
            <w:vAlign w:val="bottom"/>
            <w:tcBorders>
              <w:right w:val="single" w:sz="8" w:color="9EACCA"/>
            </w:tcBorders>
          </w:tcPr>
          <w:p>
            <w:pPr>
              <w:jc w:val="right"/>
              <w:ind w:right="350"/>
              <w:spacing w:after="0"/>
              <w:rPr>
                <w:sz w:val="20"/>
                <w:szCs w:val="20"/>
                <w:color w:val="auto"/>
              </w:rPr>
            </w:pPr>
            <w:r>
              <w:rPr>
                <w:rFonts w:ascii="Arial" w:cs="Arial" w:eastAsia="Arial" w:hAnsi="Arial"/>
                <w:sz w:val="18"/>
                <w:szCs w:val="18"/>
                <w:color w:val="auto"/>
              </w:rPr>
              <w:t>6.2%</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2"/>
                <w:szCs w:val="22"/>
                <w:color w:val="auto"/>
              </w:rPr>
            </w:pPr>
          </w:p>
        </w:tc>
      </w:tr>
    </w:tbl>
    <w:p>
      <w:pPr>
        <w:spacing w:after="0" w:line="64" w:lineRule="exact"/>
        <w:rPr>
          <w:sz w:val="20"/>
          <w:szCs w:val="20"/>
          <w:color w:val="auto"/>
        </w:rPr>
      </w:pPr>
    </w:p>
    <w:p>
      <w:pPr>
        <w:sectPr>
          <w:pgSz w:w="11900" w:h="16838" w:orient="portrait"/>
          <w:cols w:equalWidth="0" w:num="2">
            <w:col w:w="6240" w:space="720"/>
            <w:col w:w="3179"/>
          </w:cols>
          <w:pgMar w:left="320" w:top="132" w:right="1440" w:bottom="1440" w:gutter="0" w:footer="0" w:header="0"/>
          <w:type w:val="continuous"/>
        </w:sectPr>
      </w:pPr>
    </w:p>
    <w:p>
      <w:pPr>
        <w:ind w:left="1120" w:right="239" w:hanging="356"/>
        <w:spacing w:after="0" w:line="246" w:lineRule="auto"/>
        <w:tabs>
          <w:tab w:leader="none" w:pos="11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Chief Operating Decision Maker reviews, and consistent with reportable segment revenues presented in Note 16. “Segment Reporting” in our consolidated financial statements, with the exception of the Legacy segment, which is adjusted as noted in (c) (ii) below.</w:t>
      </w:r>
    </w:p>
    <w:p>
      <w:pPr>
        <w:spacing w:after="0" w:line="58" w:lineRule="exact"/>
        <w:rPr>
          <w:rFonts w:ascii="Arial" w:cs="Arial" w:eastAsia="Arial" w:hAnsi="Arial"/>
          <w:sz w:val="15"/>
          <w:szCs w:val="15"/>
          <w:color w:val="auto"/>
        </w:rPr>
      </w:pPr>
    </w:p>
    <w:p>
      <w:pPr>
        <w:ind w:left="1120" w:right="299" w:hanging="356"/>
        <w:spacing w:after="0" w:line="244" w:lineRule="auto"/>
        <w:tabs>
          <w:tab w:leader="none" w:pos="11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As a result of changes in applicable California law, certain optometrists employed by FirstSight Vision Services Inc. (“FirstSight”) were transferred to a professional corporation that contracts directly with our legacy segment in the fourth quarter of 2018, similar to optometrist transfers that occurred in the third quarter of 2017. Incremental eye exam revenue as a result of these changes in operations at FirstSight drove a favorable impact to comparable store sales growth in the Legacy segment of approximately</w:t>
      </w:r>
    </w:p>
    <w:p>
      <w:pPr>
        <w:ind w:left="1120" w:right="379"/>
        <w:spacing w:after="0" w:line="260" w:lineRule="auto"/>
        <w:rPr>
          <w:rFonts w:ascii="Arial" w:cs="Arial" w:eastAsia="Arial" w:hAnsi="Arial"/>
          <w:sz w:val="15"/>
          <w:szCs w:val="15"/>
          <w:color w:val="auto"/>
        </w:rPr>
      </w:pPr>
      <w:r>
        <w:rPr>
          <w:rFonts w:ascii="Arial" w:cs="Arial" w:eastAsia="Arial" w:hAnsi="Arial"/>
          <w:sz w:val="15"/>
          <w:szCs w:val="15"/>
          <w:color w:val="auto"/>
        </w:rPr>
        <w:t>140 basis points for the three months ended December 28, 2019, and favorable impact of 180 basis points and 120 basis points for fiscal year 2019 and fiscal year 2018, respectively.</w:t>
      </w:r>
    </w:p>
    <w:p>
      <w:pPr>
        <w:spacing w:after="0" w:line="58" w:lineRule="exact"/>
        <w:rPr>
          <w:rFonts w:ascii="Arial" w:cs="Arial" w:eastAsia="Arial" w:hAnsi="Arial"/>
          <w:sz w:val="15"/>
          <w:szCs w:val="15"/>
          <w:color w:val="auto"/>
        </w:rPr>
      </w:pPr>
    </w:p>
    <w:p>
      <w:pPr>
        <w:ind w:left="1120" w:right="239" w:hanging="356"/>
        <w:spacing w:after="0" w:line="246" w:lineRule="auto"/>
        <w:tabs>
          <w:tab w:leader="none" w:pos="11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differences between total comparable store sales growth based on consolidated net revenue and Adjusted Comparable Store Sales Growth are: (i) Adjusted Comparable Store Sales Growth includes the effect of deferred and unearned revenue as if such revenues were earned at the point of sale, resulting in a decrease of 0.1% and 0.8% from total comparable store sales growth based on consolidated net revenue for fiscal year 2019 and fiscal year 2018, respectively, and (ii) Adjusted Comparable Store Sales Growth includes retail sales to the Legacy partner’s customers (rather than the revenues recognized consistent with the management &amp; services agreement), resulting in a decrease of 0.2% from total comparable store sales growth based on consolidated net revenue for each of the fiscal years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54  </w:t>
      </w:r>
      <w:r>
        <w:rPr>
          <w:sz w:val="1"/>
          <w:szCs w:val="1"/>
          <w:color w:val="auto"/>
        </w:rPr>
        <w:drawing>
          <wp:inline distT="0" distB="0" distL="0" distR="0">
            <wp:extent cx="299720" cy="24003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66" w:lineRule="exact"/>
        <w:rPr>
          <w:sz w:val="20"/>
          <w:szCs w:val="20"/>
          <w:color w:val="auto"/>
        </w:rPr>
      </w:pPr>
    </w:p>
    <w:tbl>
      <w:tblPr>
        <w:tblLayout w:type="fixed"/>
        <w:tblInd w:w="770" w:type="dxa"/>
        <w:tblCellMar>
          <w:top w:w="0" w:type="dxa"/>
          <w:left w:w="0" w:type="dxa"/>
          <w:bottom w:w="0" w:type="dxa"/>
          <w:right w:w="0" w:type="dxa"/>
        </w:tblCellMar>
      </w:tblPr>
      <w:tr>
        <w:trPr>
          <w:trHeight w:val="283"/>
        </w:trPr>
        <w:tc>
          <w:tcPr>
            <w:tcW w:w="60" w:type="dxa"/>
            <w:vAlign w:val="bottom"/>
            <w:tcBorders>
              <w:left w:val="single" w:sz="8" w:color="3C5896"/>
            </w:tcBorders>
            <w:shd w:val="clear" w:color="auto" w:fill="3C5896"/>
          </w:tcPr>
          <w:p>
            <w:pPr>
              <w:spacing w:after="0"/>
              <w:rPr>
                <w:sz w:val="24"/>
                <w:szCs w:val="24"/>
                <w:color w:val="auto"/>
              </w:rPr>
            </w:pPr>
          </w:p>
        </w:tc>
        <w:tc>
          <w:tcPr>
            <w:tcW w:w="6540" w:type="dxa"/>
            <w:vAlign w:val="bottom"/>
            <w:tcBorders>
              <w:right w:val="single" w:sz="8" w:color="3C5896"/>
            </w:tcBorders>
            <w:shd w:val="clear" w:color="auto" w:fill="3C5896"/>
          </w:tcPr>
          <w:p>
            <w:pPr>
              <w:spacing w:after="0"/>
              <w:rPr>
                <w:sz w:val="24"/>
                <w:szCs w:val="24"/>
                <w:color w:val="auto"/>
              </w:rPr>
            </w:pPr>
          </w:p>
        </w:tc>
        <w:tc>
          <w:tcPr>
            <w:tcW w:w="40" w:type="dxa"/>
            <w:vAlign w:val="bottom"/>
            <w:shd w:val="clear" w:color="auto" w:fill="3C5896"/>
          </w:tcPr>
          <w:p>
            <w:pPr>
              <w:spacing w:after="0"/>
              <w:rPr>
                <w:sz w:val="24"/>
                <w:szCs w:val="24"/>
                <w:color w:val="auto"/>
              </w:rPr>
            </w:pPr>
          </w:p>
        </w:tc>
        <w:tc>
          <w:tcPr>
            <w:tcW w:w="260" w:type="dxa"/>
            <w:vAlign w:val="bottom"/>
            <w:tcBorders>
              <w:right w:val="single" w:sz="8" w:color="3C5896"/>
            </w:tcBorders>
            <w:shd w:val="clear" w:color="auto" w:fill="3C5896"/>
          </w:tcPr>
          <w:p>
            <w:pPr>
              <w:spacing w:after="0"/>
              <w:rPr>
                <w:sz w:val="24"/>
                <w:szCs w:val="24"/>
                <w:color w:val="auto"/>
              </w:rPr>
            </w:pPr>
          </w:p>
        </w:tc>
        <w:tc>
          <w:tcPr>
            <w:tcW w:w="120" w:type="dxa"/>
            <w:vAlign w:val="bottom"/>
            <w:shd w:val="clear" w:color="auto" w:fill="3C5896"/>
          </w:tcPr>
          <w:p>
            <w:pPr>
              <w:spacing w:after="0"/>
              <w:rPr>
                <w:sz w:val="24"/>
                <w:szCs w:val="24"/>
                <w:color w:val="auto"/>
              </w:rPr>
            </w:pPr>
          </w:p>
        </w:tc>
        <w:tc>
          <w:tcPr>
            <w:tcW w:w="560" w:type="dxa"/>
            <w:vAlign w:val="bottom"/>
            <w:tcBorders>
              <w:right w:val="single" w:sz="8" w:color="3C5896"/>
            </w:tcBorders>
            <w:shd w:val="clear" w:color="auto" w:fill="3C5896"/>
          </w:tcPr>
          <w:p>
            <w:pPr>
              <w:spacing w:after="0"/>
              <w:rPr>
                <w:sz w:val="24"/>
                <w:szCs w:val="24"/>
                <w:color w:val="auto"/>
              </w:rPr>
            </w:pPr>
          </w:p>
        </w:tc>
        <w:tc>
          <w:tcPr>
            <w:tcW w:w="320" w:type="dxa"/>
            <w:vAlign w:val="bottom"/>
            <w:tcBorders>
              <w:right w:val="single" w:sz="8" w:color="3C5896"/>
            </w:tcBorders>
            <w:shd w:val="clear" w:color="auto" w:fill="3C5896"/>
          </w:tcPr>
          <w:p>
            <w:pPr>
              <w:spacing w:after="0"/>
              <w:rPr>
                <w:sz w:val="24"/>
                <w:szCs w:val="24"/>
                <w:color w:val="auto"/>
              </w:rPr>
            </w:pPr>
          </w:p>
        </w:tc>
        <w:tc>
          <w:tcPr>
            <w:tcW w:w="1300" w:type="dxa"/>
            <w:vAlign w:val="bottom"/>
            <w:tcBorders>
              <w:right w:val="single" w:sz="8" w:color="3C5896"/>
            </w:tcBorders>
            <w:gridSpan w:val="4"/>
            <w:shd w:val="clear" w:color="auto" w:fill="3C5896"/>
          </w:tcPr>
          <w:p>
            <w:pPr>
              <w:jc w:val="center"/>
              <w:ind w:right="40"/>
              <w:spacing w:after="0"/>
              <w:rPr>
                <w:sz w:val="20"/>
                <w:szCs w:val="20"/>
                <w:color w:val="auto"/>
              </w:rPr>
            </w:pPr>
            <w:r>
              <w:rPr>
                <w:rFonts w:ascii="Arial" w:cs="Arial" w:eastAsia="Arial" w:hAnsi="Arial"/>
                <w:sz w:val="18"/>
                <w:szCs w:val="18"/>
                <w:b w:val="1"/>
                <w:bCs w:val="1"/>
                <w:color w:val="FFFFFF"/>
                <w:w w:val="99"/>
              </w:rPr>
              <w:t>APPENDIX A</w:t>
            </w:r>
          </w:p>
        </w:tc>
        <w:tc>
          <w:tcPr>
            <w:tcW w:w="0" w:type="dxa"/>
            <w:vAlign w:val="bottom"/>
          </w:tcPr>
          <w:p>
            <w:pPr>
              <w:spacing w:after="0"/>
              <w:rPr>
                <w:sz w:val="1"/>
                <w:szCs w:val="1"/>
                <w:color w:val="auto"/>
              </w:rPr>
            </w:pPr>
          </w:p>
        </w:tc>
      </w:tr>
      <w:tr>
        <w:trPr>
          <w:trHeight w:val="446"/>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Net Income to Net Income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3C5896"/>
            </w:tcBorders>
          </w:tcPr>
          <w:p>
            <w:pPr>
              <w:spacing w:after="0"/>
              <w:rPr>
                <w:sz w:val="12"/>
                <w:szCs w:val="12"/>
                <w:color w:val="auto"/>
              </w:rPr>
            </w:pPr>
          </w:p>
        </w:tc>
        <w:tc>
          <w:tcPr>
            <w:tcW w:w="6540" w:type="dxa"/>
            <w:vAlign w:val="bottom"/>
            <w:tcBorders>
              <w:bottom w:val="single" w:sz="8" w:color="3C5896"/>
            </w:tcBorders>
          </w:tcPr>
          <w:p>
            <w:pPr>
              <w:spacing w:after="0"/>
              <w:rPr>
                <w:sz w:val="12"/>
                <w:szCs w:val="12"/>
                <w:color w:val="auto"/>
              </w:rPr>
            </w:pPr>
          </w:p>
        </w:tc>
        <w:tc>
          <w:tcPr>
            <w:tcW w:w="40" w:type="dxa"/>
            <w:vAlign w:val="bottom"/>
            <w:tcBorders>
              <w:bottom w:val="single" w:sz="8" w:color="3C5896"/>
            </w:tcBorders>
          </w:tcPr>
          <w:p>
            <w:pPr>
              <w:spacing w:after="0"/>
              <w:rPr>
                <w:sz w:val="12"/>
                <w:szCs w:val="12"/>
                <w:color w:val="auto"/>
              </w:rPr>
            </w:pPr>
          </w:p>
        </w:tc>
        <w:tc>
          <w:tcPr>
            <w:tcW w:w="260" w:type="dxa"/>
            <w:vAlign w:val="bottom"/>
            <w:tcBorders>
              <w:bottom w:val="single" w:sz="8" w:color="3C5896"/>
            </w:tcBorders>
          </w:tcPr>
          <w:p>
            <w:pPr>
              <w:spacing w:after="0"/>
              <w:rPr>
                <w:sz w:val="12"/>
                <w:szCs w:val="12"/>
                <w:color w:val="auto"/>
              </w:rPr>
            </w:pPr>
          </w:p>
        </w:tc>
        <w:tc>
          <w:tcPr>
            <w:tcW w:w="680" w:type="dxa"/>
            <w:vAlign w:val="bottom"/>
            <w:tcBorders>
              <w:bottom w:val="single" w:sz="8" w:color="3C5896"/>
            </w:tcBorders>
            <w:gridSpan w:val="2"/>
          </w:tcPr>
          <w:p>
            <w:pPr>
              <w:spacing w:after="0"/>
              <w:rPr>
                <w:sz w:val="12"/>
                <w:szCs w:val="12"/>
                <w:color w:val="auto"/>
              </w:rPr>
            </w:pPr>
          </w:p>
        </w:tc>
        <w:tc>
          <w:tcPr>
            <w:tcW w:w="320" w:type="dxa"/>
            <w:vAlign w:val="bottom"/>
            <w:tcBorders>
              <w:bottom w:val="single" w:sz="8" w:color="3C5896"/>
            </w:tcBorders>
          </w:tcPr>
          <w:p>
            <w:pPr>
              <w:spacing w:after="0"/>
              <w:rPr>
                <w:sz w:val="12"/>
                <w:szCs w:val="12"/>
                <w:color w:val="auto"/>
              </w:rPr>
            </w:pPr>
          </w:p>
        </w:tc>
        <w:tc>
          <w:tcPr>
            <w:tcW w:w="300" w:type="dxa"/>
            <w:vAlign w:val="bottom"/>
            <w:tcBorders>
              <w:bottom w:val="single" w:sz="8" w:color="3C5896"/>
            </w:tcBorders>
          </w:tcPr>
          <w:p>
            <w:pPr>
              <w:spacing w:after="0"/>
              <w:rPr>
                <w:sz w:val="12"/>
                <w:szCs w:val="12"/>
                <w:color w:val="auto"/>
              </w:rPr>
            </w:pPr>
          </w:p>
        </w:tc>
        <w:tc>
          <w:tcPr>
            <w:tcW w:w="680" w:type="dxa"/>
            <w:vAlign w:val="bottom"/>
            <w:tcBorders>
              <w:bottom w:val="single" w:sz="8" w:color="3C5896"/>
            </w:tcBorders>
            <w:gridSpan w:val="2"/>
          </w:tcPr>
          <w:p>
            <w:pPr>
              <w:spacing w:after="0"/>
              <w:rPr>
                <w:sz w:val="12"/>
                <w:szCs w:val="12"/>
                <w:color w:val="auto"/>
              </w:rPr>
            </w:pPr>
          </w:p>
        </w:tc>
        <w:tc>
          <w:tcPr>
            <w:tcW w:w="320" w:type="dxa"/>
            <w:vAlign w:val="bottom"/>
            <w:tcBorders>
              <w:bottom w:val="single" w:sz="8" w:color="3C5896"/>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3C5896"/>
            </w:tcBorders>
            <w:shd w:val="clear" w:color="auto" w:fill="3C5896"/>
          </w:tcPr>
          <w:p>
            <w:pPr>
              <w:spacing w:after="0"/>
              <w:rPr>
                <w:sz w:val="16"/>
                <w:szCs w:val="16"/>
                <w:color w:val="auto"/>
              </w:rPr>
            </w:pPr>
          </w:p>
        </w:tc>
        <w:tc>
          <w:tcPr>
            <w:tcW w:w="6540" w:type="dxa"/>
            <w:vAlign w:val="bottom"/>
            <w:tcBorders>
              <w:right w:val="single" w:sz="8" w:color="3C5896"/>
            </w:tcBorders>
            <w:vMerge w:val="restart"/>
            <w:shd w:val="clear" w:color="auto" w:fill="3C5896"/>
          </w:tcPr>
          <w:p>
            <w:pPr>
              <w:ind w:left="2660"/>
              <w:spacing w:after="0"/>
              <w:rPr>
                <w:sz w:val="20"/>
                <w:szCs w:val="20"/>
                <w:color w:val="auto"/>
              </w:rPr>
            </w:pPr>
            <w:r>
              <w:rPr>
                <w:rFonts w:ascii="Arial" w:cs="Arial" w:eastAsia="Arial" w:hAnsi="Arial"/>
                <w:sz w:val="18"/>
                <w:szCs w:val="18"/>
                <w:b w:val="1"/>
                <w:bCs w:val="1"/>
                <w:color w:val="FFFFFF"/>
              </w:rPr>
              <w:t>In thousands</w:t>
            </w:r>
          </w:p>
        </w:tc>
        <w:tc>
          <w:tcPr>
            <w:tcW w:w="40" w:type="dxa"/>
            <w:vAlign w:val="bottom"/>
            <w:shd w:val="clear" w:color="auto" w:fill="3C5896"/>
          </w:tcPr>
          <w:p>
            <w:pPr>
              <w:spacing w:after="0"/>
              <w:rPr>
                <w:sz w:val="16"/>
                <w:szCs w:val="16"/>
                <w:color w:val="auto"/>
              </w:rPr>
            </w:pPr>
          </w:p>
        </w:tc>
        <w:tc>
          <w:tcPr>
            <w:tcW w:w="1260" w:type="dxa"/>
            <w:vAlign w:val="bottom"/>
            <w:tcBorders>
              <w:right w:val="single" w:sz="8" w:color="3C5896"/>
            </w:tcBorders>
            <w:gridSpan w:val="4"/>
            <w:shd w:val="clear" w:color="auto" w:fill="3C5896"/>
          </w:tcPr>
          <w:p>
            <w:pPr>
              <w:jc w:val="center"/>
              <w:ind w:right="12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1300" w:type="dxa"/>
            <w:vAlign w:val="bottom"/>
            <w:tcBorders>
              <w:right w:val="single" w:sz="8" w:color="3C5896"/>
            </w:tcBorders>
            <w:gridSpan w:val="4"/>
            <w:shd w:val="clear" w:color="auto" w:fill="3C5896"/>
          </w:tcPr>
          <w:p>
            <w:pPr>
              <w:jc w:val="center"/>
              <w:ind w:right="4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6540" w:type="dxa"/>
            <w:vAlign w:val="bottom"/>
            <w:tcBorders>
              <w:right w:val="single" w:sz="8" w:color="3C5896"/>
            </w:tcBorders>
            <w:vMerge w:val="continue"/>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260" w:type="dxa"/>
            <w:vAlign w:val="bottom"/>
            <w:tcBorders>
              <w:right w:val="single" w:sz="8" w:color="3C5896"/>
            </w:tcBorders>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560" w:type="dxa"/>
            <w:vAlign w:val="bottom"/>
            <w:tcBorders>
              <w:right w:val="single" w:sz="8" w:color="3C5896"/>
            </w:tcBorders>
            <w:shd w:val="clear" w:color="auto" w:fill="3C5896"/>
          </w:tcPr>
          <w:p>
            <w:pPr>
              <w:jc w:val="center"/>
              <w:ind w:right="70"/>
              <w:spacing w:after="0"/>
              <w:rPr>
                <w:sz w:val="20"/>
                <w:szCs w:val="20"/>
                <w:color w:val="auto"/>
              </w:rPr>
            </w:pPr>
            <w:r>
              <w:rPr>
                <w:rFonts w:ascii="Arial" w:cs="Arial" w:eastAsia="Arial" w:hAnsi="Arial"/>
                <w:sz w:val="18"/>
                <w:szCs w:val="18"/>
                <w:b w:val="1"/>
                <w:bCs w:val="1"/>
                <w:color w:val="FFFFFF"/>
                <w:w w:val="99"/>
              </w:rPr>
              <w:t>2019</w:t>
            </w:r>
          </w:p>
        </w:tc>
        <w:tc>
          <w:tcPr>
            <w:tcW w:w="320" w:type="dxa"/>
            <w:vAlign w:val="bottom"/>
            <w:tcBorders>
              <w:right w:val="single" w:sz="8" w:color="3C5896"/>
            </w:tcBorders>
            <w:shd w:val="clear" w:color="auto" w:fill="3C5896"/>
          </w:tcPr>
          <w:p>
            <w:pPr>
              <w:spacing w:after="0"/>
              <w:rPr>
                <w:sz w:val="21"/>
                <w:szCs w:val="21"/>
                <w:color w:val="auto"/>
              </w:rPr>
            </w:pPr>
          </w:p>
        </w:tc>
        <w:tc>
          <w:tcPr>
            <w:tcW w:w="300" w:type="dxa"/>
            <w:vAlign w:val="bottom"/>
            <w:tcBorders>
              <w:right w:val="single" w:sz="8" w:color="3C5896"/>
            </w:tcBorders>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580" w:type="dxa"/>
            <w:vAlign w:val="bottom"/>
            <w:tcBorders>
              <w:right w:val="single" w:sz="8" w:color="3C5896"/>
            </w:tcBorders>
            <w:shd w:val="clear" w:color="auto" w:fill="3C5896"/>
          </w:tcPr>
          <w:p>
            <w:pPr>
              <w:jc w:val="center"/>
              <w:ind w:right="50"/>
              <w:spacing w:after="0"/>
              <w:rPr>
                <w:sz w:val="20"/>
                <w:szCs w:val="20"/>
                <w:color w:val="auto"/>
              </w:rPr>
            </w:pPr>
            <w:r>
              <w:rPr>
                <w:rFonts w:ascii="Arial" w:cs="Arial" w:eastAsia="Arial" w:hAnsi="Arial"/>
                <w:sz w:val="18"/>
                <w:szCs w:val="18"/>
                <w:b w:val="1"/>
                <w:bCs w:val="1"/>
                <w:color w:val="FFFFFF"/>
                <w:w w:val="99"/>
              </w:rPr>
              <w:t>2018</w:t>
            </w:r>
          </w:p>
        </w:tc>
        <w:tc>
          <w:tcPr>
            <w:tcW w:w="32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65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Net income (loss)</w:t>
            </w:r>
          </w:p>
        </w:tc>
        <w:tc>
          <w:tcPr>
            <w:tcW w:w="1300" w:type="dxa"/>
            <w:vAlign w:val="bottom"/>
            <w:tcBorders>
              <w:right w:val="single" w:sz="8" w:color="9EACCA"/>
            </w:tcBorders>
            <w:gridSpan w:val="5"/>
          </w:tcPr>
          <w:p>
            <w:pPr>
              <w:jc w:val="right"/>
              <w:ind w:right="320"/>
              <w:spacing w:after="0"/>
              <w:rPr>
                <w:sz w:val="20"/>
                <w:szCs w:val="20"/>
                <w:color w:val="auto"/>
              </w:rPr>
            </w:pPr>
            <w:r>
              <w:rPr>
                <w:rFonts w:ascii="Arial" w:cs="Arial" w:eastAsia="Arial" w:hAnsi="Arial"/>
                <w:sz w:val="18"/>
                <w:szCs w:val="18"/>
                <w:color w:val="auto"/>
              </w:rPr>
              <w:t>$ 32,798</w:t>
            </w:r>
          </w:p>
        </w:tc>
        <w:tc>
          <w:tcPr>
            <w:tcW w:w="1300" w:type="dxa"/>
            <w:vAlign w:val="bottom"/>
            <w:tcBorders>
              <w:right w:val="single" w:sz="8" w:color="3C5896"/>
            </w:tcBorders>
            <w:gridSpan w:val="4"/>
          </w:tcPr>
          <w:p>
            <w:pPr>
              <w:jc w:val="right"/>
              <w:ind w:right="320"/>
              <w:spacing w:after="0"/>
              <w:rPr>
                <w:sz w:val="20"/>
                <w:szCs w:val="20"/>
                <w:color w:val="auto"/>
              </w:rPr>
            </w:pPr>
            <w:r>
              <w:rPr>
                <w:rFonts w:ascii="Arial" w:cs="Arial" w:eastAsia="Arial" w:hAnsi="Arial"/>
                <w:sz w:val="18"/>
                <w:szCs w:val="18"/>
                <w:color w:val="auto"/>
              </w:rPr>
              <w:t>$ 23,653</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654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40" w:type="dxa"/>
            <w:vAlign w:val="bottom"/>
            <w:shd w:val="clear" w:color="auto" w:fill="CCCCCC"/>
          </w:tcPr>
          <w:p>
            <w:pPr>
              <w:spacing w:after="0"/>
              <w:rPr>
                <w:sz w:val="24"/>
                <w:szCs w:val="24"/>
                <w:color w:val="auto"/>
              </w:rPr>
            </w:pPr>
          </w:p>
        </w:tc>
        <w:tc>
          <w:tcPr>
            <w:tcW w:w="260" w:type="dxa"/>
            <w:vAlign w:val="bottom"/>
            <w:tcBorders>
              <w:right w:val="single" w:sz="8" w:color="CCCCCC"/>
            </w:tcBorders>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w w:val="98"/>
              </w:rPr>
              <w:t>12,670</w:t>
            </w:r>
          </w:p>
        </w:tc>
        <w:tc>
          <w:tcPr>
            <w:tcW w:w="300" w:type="dxa"/>
            <w:vAlign w:val="bottom"/>
            <w:tcBorders>
              <w:right w:val="single" w:sz="8" w:color="CCCCCC"/>
            </w:tcBorders>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900" w:type="dxa"/>
            <w:vAlign w:val="bottom"/>
            <w:tcBorders>
              <w:right w:val="single" w:sz="8" w:color="3C5896"/>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20,939</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Debt issuance costs</w:t>
            </w:r>
            <w:r>
              <w:rPr>
                <w:rFonts w:ascii="Arial" w:cs="Arial" w:eastAsia="Arial" w:hAnsi="Arial"/>
                <w:sz w:val="26"/>
                <w:szCs w:val="26"/>
                <w:color w:val="auto"/>
                <w:vertAlign w:val="superscript"/>
              </w:rPr>
              <w:t>(b)</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(c)</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9,786</w:t>
            </w: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(d)</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20"/>
              <w:spacing w:after="0"/>
              <w:rPr>
                <w:sz w:val="20"/>
                <w:szCs w:val="20"/>
                <w:color w:val="auto"/>
              </w:rPr>
            </w:pPr>
            <w:r>
              <w:rPr>
                <w:rFonts w:ascii="Arial" w:cs="Arial" w:eastAsia="Arial" w:hAnsi="Arial"/>
                <w:sz w:val="18"/>
                <w:szCs w:val="18"/>
                <w:color w:val="auto"/>
              </w:rPr>
              <w:t>8,894</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20"/>
              <w:spacing w:after="0"/>
              <w:rPr>
                <w:sz w:val="20"/>
                <w:szCs w:val="20"/>
                <w:color w:val="auto"/>
              </w:rPr>
            </w:pPr>
            <w:r>
              <w:rPr>
                <w:rFonts w:ascii="Arial" w:cs="Arial" w:eastAsia="Arial" w:hAnsi="Arial"/>
                <w:sz w:val="18"/>
                <w:szCs w:val="18"/>
                <w:color w:val="auto"/>
              </w:rPr>
              <w:t>17,630</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New store pre-opening expenses</w:t>
            </w:r>
            <w:r>
              <w:rPr>
                <w:rFonts w:ascii="Arial" w:cs="Arial" w:eastAsia="Arial" w:hAnsi="Arial"/>
                <w:sz w:val="26"/>
                <w:szCs w:val="26"/>
                <w:color w:val="auto"/>
                <w:vertAlign w:val="superscript"/>
              </w:rPr>
              <w:t>(e)</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3,334</w:t>
            </w: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Non-cash rent</w:t>
            </w:r>
            <w:r>
              <w:rPr>
                <w:rFonts w:ascii="Arial" w:cs="Arial" w:eastAsia="Arial" w:hAnsi="Arial"/>
                <w:sz w:val="26"/>
                <w:szCs w:val="26"/>
                <w:color w:val="auto"/>
                <w:vertAlign w:val="superscript"/>
              </w:rPr>
              <w:t>(f)</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20"/>
              <w:spacing w:after="0"/>
              <w:rPr>
                <w:sz w:val="20"/>
                <w:szCs w:val="20"/>
                <w:color w:val="auto"/>
              </w:rPr>
            </w:pPr>
            <w:r>
              <w:rPr>
                <w:rFonts w:ascii="Arial" w:cs="Arial" w:eastAsia="Arial" w:hAnsi="Arial"/>
                <w:sz w:val="18"/>
                <w:szCs w:val="18"/>
                <w:color w:val="auto"/>
              </w:rPr>
              <w:t>3,208</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2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(g)</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401</w:t>
            </w: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(h)</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20"/>
              <w:spacing w:after="0"/>
              <w:rPr>
                <w:sz w:val="20"/>
                <w:szCs w:val="20"/>
                <w:color w:val="auto"/>
              </w:rPr>
            </w:pPr>
            <w:r>
              <w:rPr>
                <w:rFonts w:ascii="Arial" w:cs="Arial" w:eastAsia="Arial" w:hAnsi="Arial"/>
                <w:sz w:val="18"/>
                <w:szCs w:val="18"/>
                <w:color w:val="auto"/>
              </w:rPr>
              <w:t>2,155</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(i)</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2,830</w:t>
            </w: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(j)</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20"/>
              <w:spacing w:after="0"/>
              <w:rPr>
                <w:sz w:val="20"/>
                <w:szCs w:val="20"/>
                <w:color w:val="auto"/>
              </w:rPr>
            </w:pPr>
            <w:r>
              <w:rPr>
                <w:rFonts w:ascii="Arial" w:cs="Arial" w:eastAsia="Arial" w:hAnsi="Arial"/>
                <w:sz w:val="18"/>
                <w:szCs w:val="18"/>
                <w:color w:val="auto"/>
              </w:rPr>
              <w:t>6,370</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2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Amortization of acquisition intangibles and deferred financing costs</w:t>
            </w:r>
            <w:r>
              <w:rPr>
                <w:rFonts w:ascii="Arial" w:cs="Arial" w:eastAsia="Arial" w:hAnsi="Arial"/>
                <w:sz w:val="26"/>
                <w:szCs w:val="26"/>
                <w:color w:val="auto"/>
                <w:vertAlign w:val="superscript"/>
              </w:rPr>
              <w:t>(k)</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8,694</w:t>
            </w: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20"/>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6"/>
                <w:szCs w:val="26"/>
                <w:color w:val="auto"/>
                <w:vertAlign w:val="superscript"/>
              </w:rPr>
              <w:t>(l)</w:t>
            </w:r>
          </w:p>
        </w:tc>
        <w:tc>
          <w:tcPr>
            <w:tcW w:w="1300" w:type="dxa"/>
            <w:vAlign w:val="bottom"/>
            <w:tcBorders>
              <w:right w:val="single" w:sz="8" w:color="9EACCA"/>
            </w:tcBorders>
            <w:gridSpan w:val="5"/>
          </w:tcPr>
          <w:p>
            <w:pPr>
              <w:jc w:val="right"/>
              <w:ind w:right="260"/>
              <w:spacing w:after="0"/>
              <w:rPr>
                <w:sz w:val="20"/>
                <w:szCs w:val="20"/>
                <w:color w:val="auto"/>
              </w:rPr>
            </w:pPr>
            <w:r>
              <w:rPr>
                <w:rFonts w:ascii="Arial" w:cs="Arial" w:eastAsia="Arial" w:hAnsi="Arial"/>
                <w:sz w:val="18"/>
                <w:szCs w:val="18"/>
                <w:color w:val="auto"/>
              </w:rPr>
              <w:t>(10,089)</w:t>
            </w:r>
          </w:p>
        </w:tc>
        <w:tc>
          <w:tcPr>
            <w:tcW w:w="1300" w:type="dxa"/>
            <w:vAlign w:val="bottom"/>
            <w:tcBorders>
              <w:right w:val="single" w:sz="8" w:color="3C5896"/>
            </w:tcBorders>
            <w:gridSpan w:val="4"/>
          </w:tcPr>
          <w:p>
            <w:pPr>
              <w:jc w:val="right"/>
              <w:ind w:right="260"/>
              <w:spacing w:after="0"/>
              <w:rPr>
                <w:sz w:val="20"/>
                <w:szCs w:val="20"/>
                <w:color w:val="auto"/>
              </w:rPr>
            </w:pPr>
            <w:r>
              <w:rPr>
                <w:rFonts w:ascii="Arial" w:cs="Arial" w:eastAsia="Arial" w:hAnsi="Arial"/>
                <w:sz w:val="18"/>
                <w:szCs w:val="18"/>
                <w:color w:val="auto"/>
              </w:rPr>
              <w:t>(25,544)</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Tax effect of total adjustments</w:t>
            </w:r>
            <w:r>
              <w:rPr>
                <w:rFonts w:ascii="Arial" w:cs="Arial" w:eastAsia="Arial" w:hAnsi="Arial"/>
                <w:sz w:val="26"/>
                <w:szCs w:val="26"/>
                <w:color w:val="auto"/>
                <w:vertAlign w:val="superscript"/>
              </w:rPr>
              <w:t>(m)</w:t>
            </w:r>
          </w:p>
        </w:tc>
        <w:tc>
          <w:tcPr>
            <w:tcW w:w="300" w:type="dxa"/>
            <w:vAlign w:val="bottom"/>
            <w:tcBorders>
              <w:right w:val="single" w:sz="8" w:color="CCCCCC"/>
            </w:tcBorders>
            <w:gridSpan w:val="2"/>
            <w:shd w:val="clear" w:color="auto" w:fill="CCCCCC"/>
          </w:tcPr>
          <w:p>
            <w:pPr>
              <w:spacing w:after="0"/>
              <w:rPr>
                <w:sz w:val="23"/>
                <w:szCs w:val="23"/>
                <w:color w:val="auto"/>
              </w:rPr>
            </w:pPr>
          </w:p>
        </w:tc>
        <w:tc>
          <w:tcPr>
            <w:tcW w:w="1000" w:type="dxa"/>
            <w:vAlign w:val="bottom"/>
            <w:tcBorders>
              <w:right w:val="single" w:sz="8" w:color="9EACCA"/>
            </w:tcBorders>
            <w:gridSpan w:val="3"/>
            <w:shd w:val="clear" w:color="auto" w:fill="CCCCCC"/>
          </w:tcPr>
          <w:p>
            <w:pPr>
              <w:jc w:val="right"/>
              <w:ind w:right="260"/>
              <w:spacing w:after="0"/>
              <w:rPr>
                <w:sz w:val="20"/>
                <w:szCs w:val="20"/>
                <w:color w:val="auto"/>
              </w:rPr>
            </w:pPr>
            <w:r>
              <w:rPr>
                <w:rFonts w:ascii="Arial" w:cs="Arial" w:eastAsia="Arial" w:hAnsi="Arial"/>
                <w:sz w:val="18"/>
                <w:szCs w:val="18"/>
                <w:color w:val="auto"/>
              </w:rPr>
              <w:t>(14,933)</w:t>
            </w:r>
          </w:p>
        </w:tc>
        <w:tc>
          <w:tcPr>
            <w:tcW w:w="1300" w:type="dxa"/>
            <w:vAlign w:val="bottom"/>
            <w:tcBorders>
              <w:right w:val="single" w:sz="8" w:color="3C5896"/>
            </w:tcBorders>
            <w:gridSpan w:val="4"/>
            <w:shd w:val="clear" w:color="auto" w:fill="CCCCCC"/>
          </w:tcPr>
          <w:p>
            <w:pPr>
              <w:jc w:val="right"/>
              <w:ind w:right="260"/>
              <w:spacing w:after="0"/>
              <w:rPr>
                <w:sz w:val="20"/>
                <w:szCs w:val="20"/>
                <w:color w:val="auto"/>
              </w:rPr>
            </w:pPr>
            <w:r>
              <w:rPr>
                <w:rFonts w:ascii="Arial" w:cs="Arial" w:eastAsia="Arial" w:hAnsi="Arial"/>
                <w:sz w:val="18"/>
                <w:szCs w:val="18"/>
                <w:color w:val="auto"/>
              </w:rPr>
              <w:t>(13,309)</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6540" w:type="dxa"/>
            <w:vAlign w:val="bottom"/>
            <w:tcBorders>
              <w:right w:val="single" w:sz="8" w:color="9EACCA"/>
            </w:tcBorders>
            <w:shd w:val="clear" w:color="auto" w:fill="CCCCCC"/>
          </w:tcPr>
          <w:p>
            <w:pPr>
              <w:spacing w:after="0" w:line="20" w:lineRule="exact"/>
              <w:rPr>
                <w:sz w:val="1"/>
                <w:szCs w:val="1"/>
                <w:color w:val="auto"/>
              </w:rPr>
            </w:pPr>
          </w:p>
        </w:tc>
        <w:tc>
          <w:tcPr>
            <w:tcW w:w="40" w:type="dxa"/>
            <w:vAlign w:val="bottom"/>
            <w:shd w:val="clear" w:color="auto" w:fill="CCCCCC"/>
          </w:tcPr>
          <w:p>
            <w:pPr>
              <w:spacing w:after="0" w:line="20" w:lineRule="exact"/>
              <w:rPr>
                <w:sz w:val="1"/>
                <w:szCs w:val="1"/>
                <w:color w:val="auto"/>
              </w:rPr>
            </w:pPr>
          </w:p>
        </w:tc>
        <w:tc>
          <w:tcPr>
            <w:tcW w:w="260" w:type="dxa"/>
            <w:vAlign w:val="bottom"/>
            <w:tcBorders>
              <w:right w:val="single" w:sz="8" w:color="auto"/>
            </w:tcBorders>
            <w:shd w:val="clear" w:color="auto" w:fill="CCCCCC"/>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9EACCA"/>
            </w:tcBorders>
            <w:shd w:val="clear" w:color="auto" w:fill="CCCCCC"/>
          </w:tcPr>
          <w:p>
            <w:pPr>
              <w:spacing w:after="0" w:line="20" w:lineRule="exact"/>
              <w:rPr>
                <w:sz w:val="1"/>
                <w:szCs w:val="1"/>
                <w:color w:val="auto"/>
              </w:rPr>
            </w:pPr>
          </w:p>
        </w:tc>
        <w:tc>
          <w:tcPr>
            <w:tcW w:w="300" w:type="dxa"/>
            <w:vAlign w:val="bottom"/>
            <w:tcBorders>
              <w:right w:val="single" w:sz="8" w:color="auto"/>
            </w:tcBorders>
            <w:shd w:val="clear" w:color="auto" w:fill="CCCCCC"/>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left w:val="single" w:sz="8" w:color="3C5896"/>
              <w:bottom w:val="single" w:sz="8" w:color="3C5896"/>
            </w:tcBorders>
          </w:tcPr>
          <w:p>
            <w:pPr>
              <w:spacing w:after="0"/>
              <w:rPr>
                <w:sz w:val="20"/>
                <w:szCs w:val="20"/>
                <w:color w:val="auto"/>
              </w:rPr>
            </w:pPr>
          </w:p>
        </w:tc>
        <w:tc>
          <w:tcPr>
            <w:tcW w:w="6540" w:type="dxa"/>
            <w:vAlign w:val="bottom"/>
            <w:tcBorders>
              <w:bottom w:val="single" w:sz="8" w:color="3C5896"/>
              <w:right w:val="single" w:sz="8" w:color="9EACCA"/>
            </w:tcBorders>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300" w:type="dxa"/>
            <w:vAlign w:val="bottom"/>
            <w:tcBorders>
              <w:bottom w:val="single" w:sz="8" w:color="3C5896"/>
            </w:tcBorders>
            <w:gridSpan w:val="2"/>
          </w:tcPr>
          <w:p>
            <w:pPr>
              <w:spacing w:after="0"/>
              <w:rPr>
                <w:sz w:val="20"/>
                <w:szCs w:val="20"/>
                <w:color w:val="auto"/>
              </w:rPr>
            </w:pPr>
          </w:p>
        </w:tc>
        <w:tc>
          <w:tcPr>
            <w:tcW w:w="680" w:type="dxa"/>
            <w:vAlign w:val="bottom"/>
            <w:tcBorders>
              <w:bottom w:val="single" w:sz="8" w:color="3C5896"/>
            </w:tcBorders>
            <w:gridSpan w:val="2"/>
          </w:tcPr>
          <w:p>
            <w:pPr>
              <w:jc w:val="right"/>
              <w:spacing w:after="0"/>
              <w:rPr>
                <w:sz w:val="20"/>
                <w:szCs w:val="20"/>
                <w:color w:val="auto"/>
              </w:rPr>
            </w:pPr>
            <w:r>
              <w:rPr>
                <w:rFonts w:ascii="Arial" w:cs="Arial" w:eastAsia="Arial" w:hAnsi="Arial"/>
                <w:sz w:val="18"/>
                <w:szCs w:val="18"/>
                <w:color w:val="auto"/>
                <w:w w:val="94"/>
              </w:rPr>
              <w:t>$ 66,118</w:t>
            </w:r>
          </w:p>
        </w:tc>
        <w:tc>
          <w:tcPr>
            <w:tcW w:w="320" w:type="dxa"/>
            <w:vAlign w:val="bottom"/>
            <w:tcBorders>
              <w:bottom w:val="single" w:sz="8" w:color="3C5896"/>
              <w:right w:val="single" w:sz="8" w:color="9EACCA"/>
            </w:tcBorders>
          </w:tcPr>
          <w:p>
            <w:pPr>
              <w:spacing w:after="0"/>
              <w:rPr>
                <w:sz w:val="20"/>
                <w:szCs w:val="20"/>
                <w:color w:val="auto"/>
              </w:rPr>
            </w:pPr>
          </w:p>
        </w:tc>
        <w:tc>
          <w:tcPr>
            <w:tcW w:w="300" w:type="dxa"/>
            <w:vAlign w:val="bottom"/>
            <w:tcBorders>
              <w:bottom w:val="single" w:sz="8" w:color="3C5896"/>
            </w:tcBorders>
          </w:tcPr>
          <w:p>
            <w:pPr>
              <w:spacing w:after="0"/>
              <w:rPr>
                <w:sz w:val="20"/>
                <w:szCs w:val="20"/>
                <w:color w:val="auto"/>
              </w:rPr>
            </w:pPr>
          </w:p>
        </w:tc>
        <w:tc>
          <w:tcPr>
            <w:tcW w:w="1000" w:type="dxa"/>
            <w:vAlign w:val="bottom"/>
            <w:tcBorders>
              <w:bottom w:val="single" w:sz="8" w:color="3C5896"/>
              <w:right w:val="single" w:sz="8" w:color="3C5896"/>
            </w:tcBorders>
            <w:gridSpan w:val="3"/>
          </w:tcPr>
          <w:p>
            <w:pPr>
              <w:jc w:val="right"/>
              <w:ind w:right="320"/>
              <w:spacing w:after="0"/>
              <w:rPr>
                <w:sz w:val="20"/>
                <w:szCs w:val="20"/>
                <w:color w:val="auto"/>
              </w:rPr>
            </w:pPr>
            <w:r>
              <w:rPr>
                <w:rFonts w:ascii="Arial" w:cs="Arial" w:eastAsia="Arial" w:hAnsi="Arial"/>
                <w:sz w:val="18"/>
                <w:szCs w:val="18"/>
                <w:color w:val="auto"/>
                <w:w w:val="94"/>
              </w:rPr>
              <w:t>$ 51,928</w:t>
            </w:r>
          </w:p>
        </w:tc>
        <w:tc>
          <w:tcPr>
            <w:tcW w:w="0" w:type="dxa"/>
            <w:vAlign w:val="bottom"/>
          </w:tcPr>
          <w:p>
            <w:pPr>
              <w:spacing w:after="0"/>
              <w:rPr>
                <w:sz w:val="1"/>
                <w:szCs w:val="1"/>
                <w:color w:val="auto"/>
              </w:rPr>
            </w:pPr>
          </w:p>
        </w:tc>
      </w:tr>
      <w:tr>
        <w:trPr>
          <w:trHeight w:val="37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3C5896"/>
            </w:tcBorders>
          </w:tcPr>
          <w:p>
            <w:pPr>
              <w:spacing w:after="0"/>
              <w:rPr>
                <w:sz w:val="18"/>
                <w:szCs w:val="18"/>
                <w:color w:val="auto"/>
              </w:rPr>
            </w:pPr>
          </w:p>
        </w:tc>
        <w:tc>
          <w:tcPr>
            <w:tcW w:w="6540" w:type="dxa"/>
            <w:vAlign w:val="bottom"/>
            <w:tcBorders>
              <w:bottom w:val="single" w:sz="8" w:color="3C5896"/>
            </w:tcBorders>
          </w:tcPr>
          <w:p>
            <w:pPr>
              <w:spacing w:after="0"/>
              <w:rPr>
                <w:sz w:val="18"/>
                <w:szCs w:val="18"/>
                <w:color w:val="auto"/>
              </w:rPr>
            </w:pPr>
          </w:p>
        </w:tc>
        <w:tc>
          <w:tcPr>
            <w:tcW w:w="40" w:type="dxa"/>
            <w:vAlign w:val="bottom"/>
            <w:tcBorders>
              <w:bottom w:val="single" w:sz="8" w:color="3C5896"/>
            </w:tcBorders>
          </w:tcPr>
          <w:p>
            <w:pPr>
              <w:spacing w:after="0"/>
              <w:rPr>
                <w:sz w:val="18"/>
                <w:szCs w:val="18"/>
                <w:color w:val="auto"/>
              </w:rPr>
            </w:pPr>
          </w:p>
        </w:tc>
        <w:tc>
          <w:tcPr>
            <w:tcW w:w="260" w:type="dxa"/>
            <w:vAlign w:val="bottom"/>
            <w:tcBorders>
              <w:bottom w:val="single" w:sz="8" w:color="3C5896"/>
            </w:tcBorders>
          </w:tcPr>
          <w:p>
            <w:pPr>
              <w:spacing w:after="0"/>
              <w:rPr>
                <w:sz w:val="18"/>
                <w:szCs w:val="18"/>
                <w:color w:val="auto"/>
              </w:rPr>
            </w:pPr>
          </w:p>
        </w:tc>
        <w:tc>
          <w:tcPr>
            <w:tcW w:w="680" w:type="dxa"/>
            <w:vAlign w:val="bottom"/>
            <w:tcBorders>
              <w:bottom w:val="single" w:sz="8" w:color="3C5896"/>
            </w:tcBorders>
            <w:gridSpan w:val="2"/>
          </w:tcPr>
          <w:p>
            <w:pPr>
              <w:spacing w:after="0"/>
              <w:rPr>
                <w:sz w:val="18"/>
                <w:szCs w:val="18"/>
                <w:color w:val="auto"/>
              </w:rPr>
            </w:pPr>
          </w:p>
        </w:tc>
        <w:tc>
          <w:tcPr>
            <w:tcW w:w="320" w:type="dxa"/>
            <w:vAlign w:val="bottom"/>
            <w:tcBorders>
              <w:bottom w:val="single" w:sz="8" w:color="3C5896"/>
            </w:tcBorders>
          </w:tcPr>
          <w:p>
            <w:pPr>
              <w:spacing w:after="0"/>
              <w:rPr>
                <w:sz w:val="18"/>
                <w:szCs w:val="18"/>
                <w:color w:val="auto"/>
              </w:rPr>
            </w:pPr>
          </w:p>
        </w:tc>
        <w:tc>
          <w:tcPr>
            <w:tcW w:w="300" w:type="dxa"/>
            <w:vAlign w:val="bottom"/>
            <w:tcBorders>
              <w:bottom w:val="single" w:sz="8" w:color="3C5896"/>
            </w:tcBorders>
          </w:tcPr>
          <w:p>
            <w:pPr>
              <w:spacing w:after="0"/>
              <w:rPr>
                <w:sz w:val="18"/>
                <w:szCs w:val="18"/>
                <w:color w:val="auto"/>
              </w:rPr>
            </w:pPr>
          </w:p>
        </w:tc>
        <w:tc>
          <w:tcPr>
            <w:tcW w:w="680" w:type="dxa"/>
            <w:vAlign w:val="bottom"/>
            <w:tcBorders>
              <w:bottom w:val="single" w:sz="8" w:color="3C5896"/>
            </w:tcBorders>
            <w:gridSpan w:val="2"/>
          </w:tcPr>
          <w:p>
            <w:pPr>
              <w:spacing w:after="0"/>
              <w:rPr>
                <w:sz w:val="18"/>
                <w:szCs w:val="18"/>
                <w:color w:val="auto"/>
              </w:rPr>
            </w:pPr>
          </w:p>
        </w:tc>
        <w:tc>
          <w:tcPr>
            <w:tcW w:w="320" w:type="dxa"/>
            <w:vAlign w:val="bottom"/>
            <w:tcBorders>
              <w:bottom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3C5896"/>
            </w:tcBorders>
            <w:shd w:val="clear" w:color="auto" w:fill="3C5896"/>
          </w:tcPr>
          <w:p>
            <w:pPr>
              <w:spacing w:after="0"/>
              <w:rPr>
                <w:sz w:val="16"/>
                <w:szCs w:val="16"/>
                <w:color w:val="auto"/>
              </w:rPr>
            </w:pPr>
          </w:p>
        </w:tc>
        <w:tc>
          <w:tcPr>
            <w:tcW w:w="6540" w:type="dxa"/>
            <w:vAlign w:val="bottom"/>
            <w:tcBorders>
              <w:right w:val="single" w:sz="8" w:color="3C5896"/>
            </w:tcBorders>
            <w:vMerge w:val="restart"/>
            <w:shd w:val="clear" w:color="auto" w:fill="3C5896"/>
          </w:tcPr>
          <w:p>
            <w:pPr>
              <w:ind w:left="2680"/>
              <w:spacing w:after="0"/>
              <w:rPr>
                <w:sz w:val="20"/>
                <w:szCs w:val="20"/>
                <w:color w:val="auto"/>
              </w:rPr>
            </w:pPr>
            <w:r>
              <w:rPr>
                <w:rFonts w:ascii="Arial" w:cs="Arial" w:eastAsia="Arial" w:hAnsi="Arial"/>
                <w:sz w:val="18"/>
                <w:szCs w:val="18"/>
                <w:b w:val="1"/>
                <w:bCs w:val="1"/>
                <w:color w:val="FFFFFF"/>
              </w:rPr>
              <w:t>In thousands</w:t>
            </w:r>
          </w:p>
        </w:tc>
        <w:tc>
          <w:tcPr>
            <w:tcW w:w="40" w:type="dxa"/>
            <w:vAlign w:val="bottom"/>
            <w:shd w:val="clear" w:color="auto" w:fill="3C5896"/>
          </w:tcPr>
          <w:p>
            <w:pPr>
              <w:spacing w:after="0"/>
              <w:rPr>
                <w:sz w:val="16"/>
                <w:szCs w:val="16"/>
                <w:color w:val="auto"/>
              </w:rPr>
            </w:pPr>
          </w:p>
        </w:tc>
        <w:tc>
          <w:tcPr>
            <w:tcW w:w="1260" w:type="dxa"/>
            <w:vAlign w:val="bottom"/>
            <w:tcBorders>
              <w:right w:val="single" w:sz="8" w:color="3C5896"/>
            </w:tcBorders>
            <w:gridSpan w:val="4"/>
            <w:shd w:val="clear" w:color="auto" w:fill="3C5896"/>
          </w:tcPr>
          <w:p>
            <w:pPr>
              <w:jc w:val="center"/>
              <w:ind w:right="8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1300" w:type="dxa"/>
            <w:vAlign w:val="bottom"/>
            <w:tcBorders>
              <w:right w:val="single" w:sz="8" w:color="3C5896"/>
            </w:tcBorders>
            <w:gridSpan w:val="4"/>
            <w:shd w:val="clear" w:color="auto" w:fill="3C5896"/>
          </w:tcPr>
          <w:p>
            <w:pPr>
              <w:jc w:val="center"/>
              <w:ind w:right="4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6540" w:type="dxa"/>
            <w:vAlign w:val="bottom"/>
            <w:tcBorders>
              <w:right w:val="single" w:sz="8" w:color="3C5896"/>
            </w:tcBorders>
            <w:vMerge w:val="continue"/>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260" w:type="dxa"/>
            <w:vAlign w:val="bottom"/>
            <w:tcBorders>
              <w:right w:val="single" w:sz="8" w:color="3C5896"/>
            </w:tcBorders>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560" w:type="dxa"/>
            <w:vAlign w:val="bottom"/>
            <w:tcBorders>
              <w:right w:val="single" w:sz="8" w:color="3C5896"/>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9"/>
              </w:rPr>
              <w:t>2019</w:t>
            </w:r>
          </w:p>
        </w:tc>
        <w:tc>
          <w:tcPr>
            <w:tcW w:w="320" w:type="dxa"/>
            <w:vAlign w:val="bottom"/>
            <w:tcBorders>
              <w:right w:val="single" w:sz="8" w:color="3C5896"/>
            </w:tcBorders>
            <w:shd w:val="clear" w:color="auto" w:fill="3C5896"/>
          </w:tcPr>
          <w:p>
            <w:pPr>
              <w:spacing w:after="0"/>
              <w:rPr>
                <w:sz w:val="21"/>
                <w:szCs w:val="21"/>
                <w:color w:val="auto"/>
              </w:rPr>
            </w:pPr>
          </w:p>
        </w:tc>
        <w:tc>
          <w:tcPr>
            <w:tcW w:w="300" w:type="dxa"/>
            <w:vAlign w:val="bottom"/>
            <w:tcBorders>
              <w:right w:val="single" w:sz="8" w:color="3C5896"/>
            </w:tcBorders>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580" w:type="dxa"/>
            <w:vAlign w:val="bottom"/>
            <w:tcBorders>
              <w:right w:val="single" w:sz="8" w:color="3C5896"/>
            </w:tcBorders>
            <w:shd w:val="clear" w:color="auto" w:fill="3C5896"/>
          </w:tcPr>
          <w:p>
            <w:pPr>
              <w:jc w:val="center"/>
              <w:ind w:right="50"/>
              <w:spacing w:after="0"/>
              <w:rPr>
                <w:sz w:val="20"/>
                <w:szCs w:val="20"/>
                <w:color w:val="auto"/>
              </w:rPr>
            </w:pPr>
            <w:r>
              <w:rPr>
                <w:rFonts w:ascii="Arial" w:cs="Arial" w:eastAsia="Arial" w:hAnsi="Arial"/>
                <w:sz w:val="18"/>
                <w:szCs w:val="18"/>
                <w:b w:val="1"/>
                <w:bCs w:val="1"/>
                <w:color w:val="FFFFFF"/>
                <w:w w:val="99"/>
              </w:rPr>
              <w:t>2018</w:t>
            </w:r>
          </w:p>
        </w:tc>
        <w:tc>
          <w:tcPr>
            <w:tcW w:w="32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65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Diluted EPS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0.40</w:t>
            </w:r>
          </w:p>
        </w:tc>
        <w:tc>
          <w:tcPr>
            <w:tcW w:w="320" w:type="dxa"/>
            <w:vAlign w:val="bottom"/>
            <w:tcBorders>
              <w:right w:val="single" w:sz="8" w:color="9EACCA"/>
            </w:tcBorders>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654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40" w:type="dxa"/>
            <w:vAlign w:val="bottom"/>
            <w:shd w:val="clear" w:color="auto" w:fill="CCCCCC"/>
          </w:tcPr>
          <w:p>
            <w:pPr>
              <w:spacing w:after="0"/>
              <w:rPr>
                <w:sz w:val="24"/>
                <w:szCs w:val="24"/>
                <w:color w:val="auto"/>
              </w:rPr>
            </w:pPr>
          </w:p>
        </w:tc>
        <w:tc>
          <w:tcPr>
            <w:tcW w:w="260" w:type="dxa"/>
            <w:vAlign w:val="bottom"/>
            <w:tcBorders>
              <w:right w:val="single" w:sz="8" w:color="CCCCCC"/>
            </w:tcBorders>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56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0.16</w:t>
            </w:r>
          </w:p>
        </w:tc>
        <w:tc>
          <w:tcPr>
            <w:tcW w:w="320" w:type="dxa"/>
            <w:vAlign w:val="bottom"/>
            <w:tcBorders>
              <w:right w:val="single" w:sz="8" w:color="9EACCA"/>
            </w:tcBorders>
            <w:shd w:val="clear" w:color="auto" w:fill="CCCCCC"/>
          </w:tcPr>
          <w:p>
            <w:pPr>
              <w:spacing w:after="0"/>
              <w:rPr>
                <w:sz w:val="24"/>
                <w:szCs w:val="24"/>
                <w:color w:val="auto"/>
              </w:rPr>
            </w:pPr>
          </w:p>
        </w:tc>
        <w:tc>
          <w:tcPr>
            <w:tcW w:w="300" w:type="dxa"/>
            <w:vAlign w:val="bottom"/>
            <w:tcBorders>
              <w:right w:val="single" w:sz="8" w:color="CCCCCC"/>
            </w:tcBorders>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8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0.26</w:t>
            </w:r>
          </w:p>
        </w:tc>
        <w:tc>
          <w:tcPr>
            <w:tcW w:w="320" w:type="dxa"/>
            <w:vAlign w:val="bottom"/>
            <w:tcBorders>
              <w:right w:val="single" w:sz="8" w:color="3C5896"/>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Debt issuance costs</w:t>
            </w:r>
            <w:r>
              <w:rPr>
                <w:rFonts w:ascii="Arial" w:cs="Arial" w:eastAsia="Arial" w:hAnsi="Arial"/>
                <w:sz w:val="26"/>
                <w:szCs w:val="26"/>
                <w:color w:val="auto"/>
                <w:vertAlign w:val="superscript"/>
              </w:rPr>
              <w:t>(b)</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Borders>
              <w:right w:val="single" w:sz="8" w:color="9EACCA"/>
            </w:tcBorders>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(c)</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56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0.12</w:t>
            </w:r>
          </w:p>
        </w:tc>
        <w:tc>
          <w:tcPr>
            <w:tcW w:w="320" w:type="dxa"/>
            <w:vAlign w:val="bottom"/>
            <w:tcBorders>
              <w:right w:val="single" w:sz="8" w:color="9EACCA"/>
            </w:tcBorders>
            <w:shd w:val="clear" w:color="auto" w:fill="CCCCCC"/>
          </w:tcPr>
          <w:p>
            <w:pPr>
              <w:spacing w:after="0"/>
              <w:rPr>
                <w:sz w:val="23"/>
                <w:szCs w:val="23"/>
                <w:color w:val="auto"/>
              </w:rPr>
            </w:pP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58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Borders>
              <w:right w:val="single" w:sz="8" w:color="3C5896"/>
            </w:tcBorders>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(d)</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Borders>
              <w:right w:val="single" w:sz="8" w:color="9EACCA"/>
            </w:tcBorders>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320" w:type="dxa"/>
            <w:vAlign w:val="bottom"/>
            <w:tcBorders>
              <w:right w:val="single" w:sz="8" w:color="3C5896"/>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New store pre-opening expenses</w:t>
            </w:r>
            <w:r>
              <w:rPr>
                <w:rFonts w:ascii="Arial" w:cs="Arial" w:eastAsia="Arial" w:hAnsi="Arial"/>
                <w:sz w:val="26"/>
                <w:szCs w:val="26"/>
                <w:color w:val="auto"/>
                <w:vertAlign w:val="superscript"/>
              </w:rPr>
              <w:t>(e)</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56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Borders>
              <w:right w:val="single" w:sz="8" w:color="9EACCA"/>
            </w:tcBorders>
            <w:shd w:val="clear" w:color="auto" w:fill="CCCCCC"/>
          </w:tcPr>
          <w:p>
            <w:pPr>
              <w:spacing w:after="0"/>
              <w:rPr>
                <w:sz w:val="23"/>
                <w:szCs w:val="23"/>
                <w:color w:val="auto"/>
              </w:rPr>
            </w:pP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58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Borders>
              <w:right w:val="single" w:sz="8" w:color="3C5896"/>
            </w:tcBorders>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Non-cash rent</w:t>
            </w:r>
            <w:r>
              <w:rPr>
                <w:rFonts w:ascii="Arial" w:cs="Arial" w:eastAsia="Arial" w:hAnsi="Arial"/>
                <w:sz w:val="26"/>
                <w:szCs w:val="26"/>
                <w:color w:val="auto"/>
                <w:vertAlign w:val="superscript"/>
              </w:rPr>
              <w:t>(f)</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Borders>
              <w:right w:val="single" w:sz="8" w:color="9EACCA"/>
            </w:tcBorders>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Borders>
              <w:right w:val="single" w:sz="8" w:color="3C5896"/>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(g)</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58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Borders>
              <w:right w:val="single" w:sz="8" w:color="3C5896"/>
            </w:tcBorders>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(h)</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Borders>
              <w:right w:val="single" w:sz="8" w:color="9EACCA"/>
            </w:tcBorders>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(i)</w:t>
            </w:r>
          </w:p>
        </w:tc>
        <w:tc>
          <w:tcPr>
            <w:tcW w:w="40" w:type="dxa"/>
            <w:vAlign w:val="bottom"/>
            <w:shd w:val="clear" w:color="auto" w:fill="CCCCCC"/>
          </w:tcPr>
          <w:p>
            <w:pPr>
              <w:spacing w:after="0"/>
              <w:rPr>
                <w:sz w:val="23"/>
                <w:szCs w:val="23"/>
                <w:color w:val="auto"/>
              </w:rPr>
            </w:pPr>
          </w:p>
        </w:tc>
        <w:tc>
          <w:tcPr>
            <w:tcW w:w="260" w:type="dxa"/>
            <w:vAlign w:val="bottom"/>
            <w:tcBorders>
              <w:right w:val="single" w:sz="8" w:color="CCCCCC"/>
            </w:tcBorders>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56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Borders>
              <w:right w:val="single" w:sz="8" w:color="9EACCA"/>
            </w:tcBorders>
            <w:shd w:val="clear" w:color="auto" w:fill="CCCCCC"/>
          </w:tcPr>
          <w:p>
            <w:pPr>
              <w:spacing w:after="0"/>
              <w:rPr>
                <w:sz w:val="23"/>
                <w:szCs w:val="23"/>
                <w:color w:val="auto"/>
              </w:rPr>
            </w:pPr>
          </w:p>
        </w:tc>
        <w:tc>
          <w:tcPr>
            <w:tcW w:w="300" w:type="dxa"/>
            <w:vAlign w:val="bottom"/>
            <w:tcBorders>
              <w:right w:val="single" w:sz="8" w:color="CCCCCC"/>
            </w:tcBorders>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58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Borders>
              <w:right w:val="single" w:sz="8" w:color="3C5896"/>
            </w:tcBorders>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654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(j)</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0.08</w:t>
            </w:r>
          </w:p>
        </w:tc>
        <w:tc>
          <w:tcPr>
            <w:tcW w:w="320" w:type="dxa"/>
            <w:vAlign w:val="bottom"/>
            <w:tcBorders>
              <w:right w:val="single" w:sz="8" w:color="9EACCA"/>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Borders>
              <w:right w:val="single" w:sz="8" w:color="3C5896"/>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654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Amortization of acquisition intangibles and deferred financing costs</w:t>
            </w:r>
            <w:r>
              <w:rPr>
                <w:rFonts w:ascii="Arial" w:cs="Arial" w:eastAsia="Arial" w:hAnsi="Arial"/>
                <w:sz w:val="26"/>
                <w:szCs w:val="26"/>
                <w:color w:val="auto"/>
                <w:vertAlign w:val="superscript"/>
              </w:rPr>
              <w:t>(k)</w:t>
            </w:r>
          </w:p>
        </w:tc>
        <w:tc>
          <w:tcPr>
            <w:tcW w:w="40" w:type="dxa"/>
            <w:vAlign w:val="bottom"/>
            <w:shd w:val="clear" w:color="auto" w:fill="CCCCCC"/>
          </w:tcPr>
          <w:p>
            <w:pPr>
              <w:spacing w:after="0"/>
              <w:rPr>
                <w:sz w:val="24"/>
                <w:szCs w:val="24"/>
                <w:color w:val="auto"/>
              </w:rPr>
            </w:pPr>
          </w:p>
        </w:tc>
        <w:tc>
          <w:tcPr>
            <w:tcW w:w="260" w:type="dxa"/>
            <w:vAlign w:val="bottom"/>
            <w:tcBorders>
              <w:right w:val="single" w:sz="8" w:color="CCCCCC"/>
            </w:tcBorders>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56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Borders>
              <w:right w:val="single" w:sz="8" w:color="9EACCA"/>
            </w:tcBorders>
            <w:shd w:val="clear" w:color="auto" w:fill="CCCCCC"/>
          </w:tcPr>
          <w:p>
            <w:pPr>
              <w:spacing w:after="0"/>
              <w:rPr>
                <w:sz w:val="24"/>
                <w:szCs w:val="24"/>
                <w:color w:val="auto"/>
              </w:rPr>
            </w:pPr>
          </w:p>
        </w:tc>
        <w:tc>
          <w:tcPr>
            <w:tcW w:w="300" w:type="dxa"/>
            <w:vAlign w:val="bottom"/>
            <w:tcBorders>
              <w:right w:val="single" w:sz="8" w:color="CCCCCC"/>
            </w:tcBorders>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8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0.12</w:t>
            </w:r>
          </w:p>
        </w:tc>
        <w:tc>
          <w:tcPr>
            <w:tcW w:w="320" w:type="dxa"/>
            <w:vAlign w:val="bottom"/>
            <w:tcBorders>
              <w:right w:val="single" w:sz="8" w:color="3C5896"/>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654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6"/>
                <w:szCs w:val="26"/>
                <w:color w:val="auto"/>
                <w:vertAlign w:val="superscript"/>
              </w:rPr>
              <w:t>(l)</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shd w:val="clear" w:color="auto" w:fill="CCCCCC"/>
          </w:tcPr>
          <w:p>
            <w:pPr>
              <w:spacing w:after="0"/>
              <w:rPr>
                <w:sz w:val="24"/>
                <w:szCs w:val="24"/>
                <w:color w:val="auto"/>
              </w:rPr>
            </w:pPr>
          </w:p>
        </w:tc>
        <w:tc>
          <w:tcPr>
            <w:tcW w:w="654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Tax effect of total adjustments</w:t>
            </w:r>
            <w:r>
              <w:rPr>
                <w:rFonts w:ascii="Arial" w:cs="Arial" w:eastAsia="Arial" w:hAnsi="Arial"/>
                <w:sz w:val="26"/>
                <w:szCs w:val="26"/>
                <w:color w:val="auto"/>
                <w:vertAlign w:val="superscript"/>
              </w:rPr>
              <w:t>(m)</w:t>
            </w:r>
          </w:p>
        </w:tc>
        <w:tc>
          <w:tcPr>
            <w:tcW w:w="40" w:type="dxa"/>
            <w:vAlign w:val="bottom"/>
            <w:shd w:val="clear" w:color="auto" w:fill="CCCCCC"/>
          </w:tcPr>
          <w:p>
            <w:pPr>
              <w:spacing w:after="0"/>
              <w:rPr>
                <w:sz w:val="24"/>
                <w:szCs w:val="24"/>
                <w:color w:val="auto"/>
              </w:rPr>
            </w:pPr>
          </w:p>
        </w:tc>
        <w:tc>
          <w:tcPr>
            <w:tcW w:w="260" w:type="dxa"/>
            <w:vAlign w:val="bottom"/>
            <w:tcBorders>
              <w:right w:val="single" w:sz="8" w:color="CCCCCC"/>
            </w:tcBorders>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(0.18)</w:t>
            </w:r>
          </w:p>
        </w:tc>
        <w:tc>
          <w:tcPr>
            <w:tcW w:w="300" w:type="dxa"/>
            <w:vAlign w:val="bottom"/>
            <w:tcBorders>
              <w:right w:val="single" w:sz="8" w:color="CCCCCC"/>
            </w:tcBorders>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9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6540" w:type="dxa"/>
            <w:vAlign w:val="bottom"/>
            <w:tcBorders>
              <w:right w:val="single" w:sz="8" w:color="9EACCA"/>
            </w:tcBorders>
            <w:shd w:val="clear" w:color="auto" w:fill="CCCCCC"/>
          </w:tcPr>
          <w:p>
            <w:pPr>
              <w:spacing w:after="0" w:line="20" w:lineRule="exact"/>
              <w:rPr>
                <w:sz w:val="1"/>
                <w:szCs w:val="1"/>
                <w:color w:val="auto"/>
              </w:rPr>
            </w:pPr>
          </w:p>
        </w:tc>
        <w:tc>
          <w:tcPr>
            <w:tcW w:w="40" w:type="dxa"/>
            <w:vAlign w:val="bottom"/>
            <w:shd w:val="clear" w:color="auto" w:fill="CCCCCC"/>
          </w:tcPr>
          <w:p>
            <w:pPr>
              <w:spacing w:after="0" w:line="20" w:lineRule="exact"/>
              <w:rPr>
                <w:sz w:val="1"/>
                <w:szCs w:val="1"/>
                <w:color w:val="auto"/>
              </w:rPr>
            </w:pPr>
          </w:p>
        </w:tc>
        <w:tc>
          <w:tcPr>
            <w:tcW w:w="260" w:type="dxa"/>
            <w:vAlign w:val="bottom"/>
            <w:tcBorders>
              <w:right w:val="single" w:sz="8" w:color="CCCCCC"/>
            </w:tcBorders>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CCCC"/>
            </w:tcBorders>
            <w:shd w:val="clear" w:color="auto" w:fill="000000"/>
          </w:tcPr>
          <w:p>
            <w:pPr>
              <w:spacing w:after="0" w:line="20" w:lineRule="exact"/>
              <w:rPr>
                <w:sz w:val="1"/>
                <w:szCs w:val="1"/>
                <w:color w:val="auto"/>
              </w:rPr>
            </w:pPr>
          </w:p>
        </w:tc>
        <w:tc>
          <w:tcPr>
            <w:tcW w:w="320" w:type="dxa"/>
            <w:vAlign w:val="bottom"/>
            <w:tcBorders>
              <w:right w:val="single" w:sz="8" w:color="9EACCA"/>
            </w:tcBorders>
            <w:shd w:val="clear" w:color="auto" w:fill="CCCCCC"/>
          </w:tcPr>
          <w:p>
            <w:pPr>
              <w:spacing w:after="0" w:line="20" w:lineRule="exact"/>
              <w:rPr>
                <w:sz w:val="1"/>
                <w:szCs w:val="1"/>
                <w:color w:val="auto"/>
              </w:rPr>
            </w:pPr>
          </w:p>
        </w:tc>
        <w:tc>
          <w:tcPr>
            <w:tcW w:w="300" w:type="dxa"/>
            <w:vAlign w:val="bottom"/>
            <w:tcBorders>
              <w:right w:val="single" w:sz="8" w:color="CCCCCC"/>
            </w:tcBorders>
            <w:shd w:val="clear" w:color="auto" w:fill="CCCC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CCCC"/>
            </w:tcBorders>
            <w:shd w:val="clear" w:color="auto" w:fill="000000"/>
          </w:tcPr>
          <w:p>
            <w:pPr>
              <w:spacing w:after="0" w:line="20" w:lineRule="exact"/>
              <w:rPr>
                <w:sz w:val="1"/>
                <w:szCs w:val="1"/>
                <w:color w:val="auto"/>
              </w:rPr>
            </w:pPr>
          </w:p>
        </w:tc>
        <w:tc>
          <w:tcPr>
            <w:tcW w:w="32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Borders>
              <w:left w:val="single" w:sz="8" w:color="3C5896"/>
            </w:tcBorders>
          </w:tcPr>
          <w:p>
            <w:pPr>
              <w:spacing w:after="0"/>
              <w:rPr>
                <w:sz w:val="22"/>
                <w:szCs w:val="22"/>
                <w:color w:val="auto"/>
              </w:rPr>
            </w:pPr>
          </w:p>
        </w:tc>
        <w:tc>
          <w:tcPr>
            <w:tcW w:w="6540" w:type="dxa"/>
            <w:vAlign w:val="bottom"/>
            <w:tcBorders>
              <w:right w:val="single" w:sz="8" w:color="9EACCA"/>
            </w:tcBorders>
          </w:tcPr>
          <w:p>
            <w:pPr>
              <w:ind w:left="180"/>
              <w:spacing w:after="0"/>
              <w:rPr>
                <w:sz w:val="20"/>
                <w:szCs w:val="20"/>
                <w:color w:val="auto"/>
              </w:rPr>
            </w:pPr>
            <w:r>
              <w:rPr>
                <w:rFonts w:ascii="Arial" w:cs="Arial" w:eastAsia="Arial" w:hAnsi="Arial"/>
                <w:sz w:val="18"/>
                <w:szCs w:val="18"/>
                <w:b w:val="1"/>
                <w:bCs w:val="1"/>
                <w:color w:val="auto"/>
              </w:rPr>
              <w:t>Adjusted Diluted EPS</w:t>
            </w:r>
          </w:p>
        </w:tc>
        <w:tc>
          <w:tcPr>
            <w:tcW w:w="300" w:type="dxa"/>
            <w:vAlign w:val="bottom"/>
            <w:gridSpan w:val="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0.81</w:t>
            </w:r>
          </w:p>
        </w:tc>
        <w:tc>
          <w:tcPr>
            <w:tcW w:w="320" w:type="dxa"/>
            <w:vAlign w:val="bottom"/>
            <w:tcBorders>
              <w:right w:val="single" w:sz="8" w:color="9EACCA"/>
            </w:tcBorders>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0.66</w:t>
            </w:r>
          </w:p>
        </w:tc>
        <w:tc>
          <w:tcPr>
            <w:tcW w:w="320" w:type="dxa"/>
            <w:vAlign w:val="bottom"/>
            <w:tcBorders>
              <w:right w:val="single" w:sz="8" w:color="3C5896"/>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bottom w:val="single" w:sz="8" w:color="3C5896"/>
            </w:tcBorders>
            <w:shd w:val="clear" w:color="auto" w:fill="CCCCCC"/>
          </w:tcPr>
          <w:p>
            <w:pPr>
              <w:spacing w:after="0"/>
              <w:rPr>
                <w:sz w:val="22"/>
                <w:szCs w:val="22"/>
                <w:color w:val="auto"/>
              </w:rPr>
            </w:pPr>
          </w:p>
        </w:tc>
        <w:tc>
          <w:tcPr>
            <w:tcW w:w="6540" w:type="dxa"/>
            <w:vAlign w:val="bottom"/>
            <w:tcBorders>
              <w:bottom w:val="single" w:sz="8" w:color="3C5896"/>
              <w:right w:val="single" w:sz="8" w:color="9EACCA"/>
            </w:tcBorders>
            <w:shd w:val="clear" w:color="auto" w:fill="CCCCCC"/>
          </w:tcPr>
          <w:p>
            <w:pPr>
              <w:spacing w:after="0"/>
              <w:rPr>
                <w:sz w:val="20"/>
                <w:szCs w:val="20"/>
                <w:color w:val="auto"/>
              </w:rPr>
            </w:pPr>
            <w:r>
              <w:rPr>
                <w:rFonts w:ascii="Arial" w:cs="Arial" w:eastAsia="Arial" w:hAnsi="Arial"/>
                <w:sz w:val="18"/>
                <w:szCs w:val="18"/>
                <w:b w:val="1"/>
                <w:bCs w:val="1"/>
                <w:color w:val="auto"/>
              </w:rPr>
              <w:t>Weighted average diluted shares outstanding</w:t>
            </w:r>
          </w:p>
        </w:tc>
        <w:tc>
          <w:tcPr>
            <w:tcW w:w="40" w:type="dxa"/>
            <w:vAlign w:val="bottom"/>
            <w:tcBorders>
              <w:bottom w:val="single" w:sz="8" w:color="3C5896"/>
            </w:tcBorders>
            <w:shd w:val="clear" w:color="auto" w:fill="CCCCCC"/>
          </w:tcPr>
          <w:p>
            <w:pPr>
              <w:spacing w:after="0"/>
              <w:rPr>
                <w:sz w:val="22"/>
                <w:szCs w:val="22"/>
                <w:color w:val="auto"/>
              </w:rPr>
            </w:pPr>
          </w:p>
        </w:tc>
        <w:tc>
          <w:tcPr>
            <w:tcW w:w="260" w:type="dxa"/>
            <w:vAlign w:val="bottom"/>
            <w:tcBorders>
              <w:bottom w:val="single" w:sz="8" w:color="3C5896"/>
              <w:right w:val="single" w:sz="8" w:color="CCCCCC"/>
            </w:tcBorders>
            <w:shd w:val="clear" w:color="auto" w:fill="CCCCCC"/>
          </w:tcPr>
          <w:p>
            <w:pPr>
              <w:spacing w:after="0"/>
              <w:rPr>
                <w:sz w:val="22"/>
                <w:szCs w:val="22"/>
                <w:color w:val="auto"/>
              </w:rPr>
            </w:pPr>
          </w:p>
        </w:tc>
        <w:tc>
          <w:tcPr>
            <w:tcW w:w="120" w:type="dxa"/>
            <w:vAlign w:val="bottom"/>
            <w:tcBorders>
              <w:bottom w:val="single" w:sz="8" w:color="3C5896"/>
            </w:tcBorders>
            <w:shd w:val="clear" w:color="auto" w:fill="CCCCCC"/>
          </w:tcPr>
          <w:p>
            <w:pPr>
              <w:spacing w:after="0"/>
              <w:rPr>
                <w:sz w:val="22"/>
                <w:szCs w:val="22"/>
                <w:color w:val="auto"/>
              </w:rPr>
            </w:pPr>
          </w:p>
        </w:tc>
        <w:tc>
          <w:tcPr>
            <w:tcW w:w="560" w:type="dxa"/>
            <w:vAlign w:val="bottom"/>
            <w:tcBorders>
              <w:bottom w:val="single" w:sz="8" w:color="3C5896"/>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w w:val="94"/>
              </w:rPr>
              <w:t>81,683</w:t>
            </w:r>
          </w:p>
        </w:tc>
        <w:tc>
          <w:tcPr>
            <w:tcW w:w="320" w:type="dxa"/>
            <w:vAlign w:val="bottom"/>
            <w:tcBorders>
              <w:bottom w:val="single" w:sz="8" w:color="3C5896"/>
              <w:right w:val="single" w:sz="8" w:color="9EACCA"/>
            </w:tcBorders>
            <w:shd w:val="clear" w:color="auto" w:fill="CCCCCC"/>
          </w:tcPr>
          <w:p>
            <w:pPr>
              <w:spacing w:after="0"/>
              <w:rPr>
                <w:sz w:val="22"/>
                <w:szCs w:val="22"/>
                <w:color w:val="auto"/>
              </w:rPr>
            </w:pPr>
          </w:p>
        </w:tc>
        <w:tc>
          <w:tcPr>
            <w:tcW w:w="300" w:type="dxa"/>
            <w:vAlign w:val="bottom"/>
            <w:tcBorders>
              <w:bottom w:val="single" w:sz="8" w:color="3C5896"/>
              <w:right w:val="single" w:sz="8" w:color="CCCCCC"/>
            </w:tcBorders>
            <w:shd w:val="clear" w:color="auto" w:fill="CCCCCC"/>
          </w:tcPr>
          <w:p>
            <w:pPr>
              <w:spacing w:after="0"/>
              <w:rPr>
                <w:sz w:val="22"/>
                <w:szCs w:val="22"/>
                <w:color w:val="auto"/>
              </w:rPr>
            </w:pPr>
          </w:p>
        </w:tc>
        <w:tc>
          <w:tcPr>
            <w:tcW w:w="100" w:type="dxa"/>
            <w:vAlign w:val="bottom"/>
            <w:tcBorders>
              <w:bottom w:val="single" w:sz="8" w:color="3C5896"/>
            </w:tcBorders>
            <w:shd w:val="clear" w:color="auto" w:fill="CCCCCC"/>
          </w:tcPr>
          <w:p>
            <w:pPr>
              <w:spacing w:after="0"/>
              <w:rPr>
                <w:sz w:val="22"/>
                <w:szCs w:val="22"/>
                <w:color w:val="auto"/>
              </w:rPr>
            </w:pPr>
          </w:p>
        </w:tc>
        <w:tc>
          <w:tcPr>
            <w:tcW w:w="580" w:type="dxa"/>
            <w:vAlign w:val="bottom"/>
            <w:tcBorders>
              <w:bottom w:val="single" w:sz="8" w:color="3C5896"/>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w w:val="98"/>
              </w:rPr>
              <w:t>79,041</w:t>
            </w:r>
          </w:p>
        </w:tc>
        <w:tc>
          <w:tcPr>
            <w:tcW w:w="320" w:type="dxa"/>
            <w:vAlign w:val="bottom"/>
            <w:tcBorders>
              <w:bottom w:val="single" w:sz="8" w:color="3C5896"/>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-6008370</wp:posOffset>
            </wp:positionV>
            <wp:extent cx="58204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-2776855</wp:posOffset>
            </wp:positionV>
            <wp:extent cx="58204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Some of the totals in the table above do not foot due to rounding differences</w:t>
      </w:r>
    </w:p>
    <w:p>
      <w:pPr>
        <w:spacing w:after="0" w:line="111" w:lineRule="exact"/>
        <w:rPr>
          <w:sz w:val="20"/>
          <w:szCs w:val="20"/>
          <w:color w:val="auto"/>
        </w:rPr>
      </w:pPr>
    </w:p>
    <w:p>
      <w:pPr>
        <w:ind w:left="1120" w:right="439" w:hanging="356"/>
        <w:spacing w:after="0" w:line="260" w:lineRule="auto"/>
        <w:tabs>
          <w:tab w:leader="none" w:pos="11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Non-cash charges related to stock-based compensation programs, which vary from period to period depending on the timing of awards and performance vesting conditions.</w:t>
      </w:r>
    </w:p>
    <w:p>
      <w:pPr>
        <w:spacing w:after="0" w:line="85" w:lineRule="exact"/>
        <w:rPr>
          <w:rFonts w:ascii="Arial" w:cs="Arial" w:eastAsia="Arial" w:hAnsi="Arial"/>
          <w:sz w:val="15"/>
          <w:szCs w:val="15"/>
          <w:color w:val="auto"/>
        </w:rPr>
      </w:pPr>
    </w:p>
    <w:p>
      <w:pPr>
        <w:ind w:left="1120" w:hanging="356"/>
        <w:spacing w:after="0"/>
        <w:tabs>
          <w:tab w:leader="none" w:pos="11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For fiscal year 2018, fees associated with the issuance of new term loans.</w:t>
      </w:r>
    </w:p>
    <w:p>
      <w:pPr>
        <w:spacing w:after="0" w:line="111" w:lineRule="exact"/>
        <w:rPr>
          <w:rFonts w:ascii="Arial" w:cs="Arial" w:eastAsia="Arial" w:hAnsi="Arial"/>
          <w:sz w:val="15"/>
          <w:szCs w:val="15"/>
          <w:color w:val="auto"/>
        </w:rPr>
      </w:pPr>
    </w:p>
    <w:p>
      <w:pPr>
        <w:ind w:left="1120" w:hanging="356"/>
        <w:spacing w:after="0"/>
        <w:tabs>
          <w:tab w:leader="none" w:pos="11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For fiscal year 2019, reflects write-off of deferred financing fees related to the extinguishment of debt.</w:t>
      </w:r>
    </w:p>
    <w:p>
      <w:pPr>
        <w:spacing w:after="0" w:line="111" w:lineRule="exact"/>
        <w:rPr>
          <w:rFonts w:ascii="Arial" w:cs="Arial" w:eastAsia="Arial" w:hAnsi="Arial"/>
          <w:sz w:val="15"/>
          <w:szCs w:val="15"/>
          <w:color w:val="auto"/>
        </w:rPr>
      </w:pPr>
    </w:p>
    <w:p>
      <w:pPr>
        <w:ind w:left="1120" w:hanging="356"/>
        <w:spacing w:after="0"/>
        <w:tabs>
          <w:tab w:leader="none" w:pos="11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Reflects write-off of property and equipment and lease-related assets on closed or underperforming stores for fiscal year 2019;</w:t>
      </w:r>
    </w:p>
    <w:p>
      <w:pPr>
        <w:spacing w:after="0" w:line="351" w:lineRule="exact"/>
        <w:rPr>
          <w:sz w:val="20"/>
          <w:szCs w:val="20"/>
          <w:color w:val="auto"/>
        </w:rPr>
      </w:pPr>
    </w:p>
    <w:p>
      <w:pPr>
        <w:jc w:val="right"/>
        <w:ind w:right="179"/>
        <w:spacing w:after="0"/>
        <w:rPr>
          <w:sz w:val="20"/>
          <w:szCs w:val="20"/>
          <w:color w:val="auto"/>
        </w:rPr>
      </w:pPr>
      <w:r>
        <w:rPr>
          <w:rFonts w:ascii="Arial" w:cs="Arial" w:eastAsia="Arial" w:hAnsi="Arial"/>
          <w:sz w:val="16"/>
          <w:szCs w:val="16"/>
          <w:color w:val="auto"/>
        </w:rPr>
        <w:t xml:space="preserve">2020 Proxy Statement  </w:t>
      </w:r>
      <w:r>
        <w:rPr>
          <w:sz w:val="1"/>
          <w:szCs w:val="1"/>
          <w:color w:val="auto"/>
        </w:rPr>
        <w:drawing>
          <wp:inline distT="0" distB="0" distL="0" distR="0">
            <wp:extent cx="300355" cy="24003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37555"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44" w:lineRule="exact"/>
        <w:rPr>
          <w:sz w:val="20"/>
          <w:szCs w:val="20"/>
          <w:color w:val="auto"/>
        </w:rPr>
      </w:pPr>
    </w:p>
    <w:p>
      <w:pPr>
        <w:ind w:left="1120" w:right="299"/>
        <w:spacing w:after="0" w:line="260" w:lineRule="auto"/>
        <w:rPr>
          <w:sz w:val="20"/>
          <w:szCs w:val="20"/>
          <w:color w:val="auto"/>
        </w:rPr>
      </w:pPr>
      <w:r>
        <w:rPr>
          <w:rFonts w:ascii="Arial" w:cs="Arial" w:eastAsia="Arial" w:hAnsi="Arial"/>
          <w:sz w:val="15"/>
          <w:szCs w:val="15"/>
          <w:color w:val="auto"/>
        </w:rPr>
        <w:t>additionally reflects non-cash charges related to impairment of long-lived assets, primarily goodwill in our Military and Fred Meyer brands for fiscal year 2018.</w:t>
      </w:r>
    </w:p>
    <w:p>
      <w:pPr>
        <w:spacing w:after="0" w:line="45" w:lineRule="exact"/>
        <w:rPr>
          <w:sz w:val="20"/>
          <w:szCs w:val="20"/>
          <w:color w:val="auto"/>
        </w:rPr>
      </w:pPr>
    </w:p>
    <w:p>
      <w:pPr>
        <w:jc w:val="both"/>
        <w:ind w:left="1120" w:right="319" w:hanging="356"/>
        <w:spacing w:after="0" w:line="249" w:lineRule="auto"/>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are not indicative of ongoing core operating performance. We adjust for these costs to facilitate comparisons of store operating performance from period to period.</w:t>
      </w:r>
    </w:p>
    <w:p>
      <w:pPr>
        <w:spacing w:after="0" w:line="67" w:lineRule="exact"/>
        <w:rPr>
          <w:rFonts w:ascii="Arial" w:cs="Arial" w:eastAsia="Arial" w:hAnsi="Arial"/>
          <w:sz w:val="15"/>
          <w:szCs w:val="15"/>
          <w:color w:val="auto"/>
        </w:rPr>
      </w:pPr>
    </w:p>
    <w:p>
      <w:pPr>
        <w:ind w:left="1120" w:right="579" w:hanging="356"/>
        <w:spacing w:after="0" w:line="260" w:lineRule="auto"/>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Consists of the non-cash portion of rent expense, which reflects the extent to which our straight-line rent expense recognized under GAAP exceeds or is less than our cash rent payments.</w:t>
      </w:r>
    </w:p>
    <w:p>
      <w:pPr>
        <w:spacing w:after="0" w:line="44" w:lineRule="exact"/>
        <w:rPr>
          <w:rFonts w:ascii="Arial" w:cs="Arial" w:eastAsia="Arial" w:hAnsi="Arial"/>
          <w:sz w:val="15"/>
          <w:szCs w:val="15"/>
          <w:color w:val="auto"/>
        </w:rPr>
      </w:pPr>
    </w:p>
    <w:p>
      <w:pPr>
        <w:ind w:left="1120" w:hanging="356"/>
        <w:spacing w:after="0"/>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Expenses related to our secondary public offerings during fiscal years 2018 and 2019.</w:t>
      </w:r>
    </w:p>
    <w:p>
      <w:pPr>
        <w:spacing w:after="0" w:line="70" w:lineRule="exact"/>
        <w:rPr>
          <w:rFonts w:ascii="Arial" w:cs="Arial" w:eastAsia="Arial" w:hAnsi="Arial"/>
          <w:sz w:val="15"/>
          <w:szCs w:val="15"/>
          <w:color w:val="auto"/>
        </w:rPr>
      </w:pPr>
    </w:p>
    <w:p>
      <w:pPr>
        <w:ind w:left="1120" w:right="279" w:hanging="356"/>
        <w:spacing w:after="0" w:line="260" w:lineRule="auto"/>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Expenses related to a non-recurring management realignment described in the Current Report on Form 8-K filed with the SEC on January 10, 2019.</w:t>
      </w:r>
    </w:p>
    <w:p>
      <w:pPr>
        <w:spacing w:after="0" w:line="58" w:lineRule="exact"/>
        <w:rPr>
          <w:rFonts w:ascii="Arial" w:cs="Arial" w:eastAsia="Arial" w:hAnsi="Arial"/>
          <w:sz w:val="15"/>
          <w:szCs w:val="15"/>
          <w:color w:val="auto"/>
        </w:rPr>
      </w:pPr>
    </w:p>
    <w:p>
      <w:pPr>
        <w:ind w:left="1120" w:right="219" w:hanging="356"/>
        <w:spacing w:after="0" w:line="248" w:lineRule="auto"/>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 During the third quarter of fiscal year 2018, $4.6 million cash payout was triggered as a result of the second secondary offering of common stock by KKR Sponsor and other selling shareholders. The remaining $2.4 million relates to the third secondary offering and is accrued but not paid as of fiscal year end 2018.</w:t>
      </w:r>
    </w:p>
    <w:p>
      <w:pPr>
        <w:spacing w:after="0" w:line="53" w:lineRule="exact"/>
        <w:rPr>
          <w:rFonts w:ascii="Arial" w:cs="Arial" w:eastAsia="Arial" w:hAnsi="Arial"/>
          <w:sz w:val="15"/>
          <w:szCs w:val="15"/>
          <w:color w:val="auto"/>
        </w:rPr>
      </w:pPr>
    </w:p>
    <w:p>
      <w:pPr>
        <w:ind w:left="1120" w:right="199" w:hanging="356"/>
        <w:spacing w:after="0" w:line="246" w:lineRule="auto"/>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Other adjustments include the following amounts that management believes are not representative of our operating performance (amounts in brackets represent reductions in Adjusted EBITDA and Adjusted Net Income) including our share of losses on equity method investments of $1.8 million and $1.3 million for fiscal years 2019 and 2018, respectively; differences between the timing of expense versus cash payments related to contributions to charitable organizations of $(1.0) million for the fiscal year 2018; costs of severance and relocation of $2.3 million and $1.0 million for the fiscal years 2019 and 2018, respectively; excess payroll taxes related to stock option exercises of $0.8 million and $1.8 million for fiscal year 2019 and 2018, respectively; and other expenses and adjustments totaling $1.0 million and $1.1 million for fiscal years 2019 and 2018, respectively.</w:t>
      </w:r>
    </w:p>
    <w:p>
      <w:pPr>
        <w:spacing w:after="0" w:line="58" w:lineRule="exact"/>
        <w:rPr>
          <w:rFonts w:ascii="Arial" w:cs="Arial" w:eastAsia="Arial" w:hAnsi="Arial"/>
          <w:sz w:val="15"/>
          <w:szCs w:val="15"/>
          <w:color w:val="auto"/>
        </w:rPr>
      </w:pPr>
    </w:p>
    <w:p>
      <w:pPr>
        <w:ind w:left="1120" w:right="259" w:hanging="356"/>
        <w:spacing w:after="0" w:line="247" w:lineRule="auto"/>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Amortization of the increase in carrying values of definite-lived intangible assets resulting from the application of purchase accounting to the KKR Acquisition of $7.4 million for each of the fiscal years 2019 and 2018; and Amortization of debt discounts associated with the March 2014 term loan borrowings in connection with the KKR Acquisition and, to a lesser extent, amortization of debt discounts associated with the May 2015 and February 2017 incremental First Lien—Term Loan B and the November 2017 First Lien—Term Loan B refinancing, aggregating to $1.3 million and $1.9 million of additional expense for fiscal years 2019 and 2018, respectively.</w:t>
      </w:r>
    </w:p>
    <w:p>
      <w:pPr>
        <w:spacing w:after="0" w:line="68" w:lineRule="exact"/>
        <w:rPr>
          <w:rFonts w:ascii="Arial" w:cs="Arial" w:eastAsia="Arial" w:hAnsi="Arial"/>
          <w:sz w:val="15"/>
          <w:szCs w:val="15"/>
          <w:color w:val="auto"/>
        </w:rPr>
      </w:pPr>
    </w:p>
    <w:p>
      <w:pPr>
        <w:ind w:left="1120" w:right="319" w:hanging="356"/>
        <w:spacing w:after="0" w:line="252" w:lineRule="auto"/>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Tax benefit associated with accounting guidance adopted at the beginning of fiscal year 2017 (Accounting Standards Update 2016-09, Compensation—Stock Compensation), requiring excess tax benefits related to stock option exercises to be recorded in earnings as discrete items in the reporting period in which they occur.</w:t>
      </w:r>
    </w:p>
    <w:p>
      <w:pPr>
        <w:spacing w:after="0" w:line="50" w:lineRule="exact"/>
        <w:rPr>
          <w:rFonts w:ascii="Arial" w:cs="Arial" w:eastAsia="Arial" w:hAnsi="Arial"/>
          <w:sz w:val="15"/>
          <w:szCs w:val="15"/>
          <w:color w:val="auto"/>
        </w:rPr>
      </w:pPr>
    </w:p>
    <w:p>
      <w:pPr>
        <w:ind w:left="1120" w:hanging="356"/>
        <w:spacing w:after="0"/>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Represents the income tax effect of the total adjustments, at our combined statutory federal and state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56  </w:t>
      </w:r>
      <w:r>
        <w:rPr>
          <w:sz w:val="1"/>
          <w:szCs w:val="1"/>
          <w:color w:val="auto"/>
        </w:rPr>
        <w:drawing>
          <wp:inline distT="0" distB="0" distL="0" distR="0">
            <wp:extent cx="299720" cy="24003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54"/>
          <w:szCs w:val="54"/>
          <w:b w:val="1"/>
          <w:bCs w:val="1"/>
          <w:color w:val="3C5896"/>
        </w:rPr>
        <w:t>Thank You</w:t>
      </w:r>
    </w:p>
    <w:p>
      <w:pPr>
        <w:spacing w:after="0" w:line="98" w:lineRule="exact"/>
        <w:rPr>
          <w:sz w:val="20"/>
          <w:szCs w:val="20"/>
          <w:color w:val="auto"/>
        </w:rPr>
      </w:pPr>
    </w:p>
    <w:p>
      <w:pPr>
        <w:jc w:val="right"/>
        <w:ind w:right="2579"/>
        <w:spacing w:after="0"/>
        <w:rPr>
          <w:sz w:val="20"/>
          <w:szCs w:val="20"/>
          <w:color w:val="auto"/>
        </w:rPr>
      </w:pPr>
      <w:r>
        <w:rPr>
          <w:rFonts w:ascii="Arial" w:cs="Arial" w:eastAsia="Arial" w:hAnsi="Arial"/>
          <w:sz w:val="40"/>
          <w:szCs w:val="40"/>
          <w:b w:val="1"/>
          <w:bCs w:val="1"/>
          <w:color w:val="3C5896"/>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1019810</wp:posOffset>
            </wp:positionV>
            <wp:extent cx="2863215" cy="2194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63215" cy="219456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3917315</wp:posOffset>
            </wp:positionV>
            <wp:extent cx="5580380" cy="16198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8038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xml:space="preserve">Learn more at </w:t>
      </w:r>
      <w:r>
        <w:rPr>
          <w:rFonts w:ascii="Arial" w:cs="Arial" w:eastAsia="Arial" w:hAnsi="Arial"/>
          <w:sz w:val="18"/>
          <w:szCs w:val="18"/>
          <w:u w:val="single" w:color="auto"/>
          <w:color w:val="3C5896"/>
        </w:rPr>
        <w:t>www.nationalvision.com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1660525</wp:posOffset>
            </wp:positionV>
            <wp:extent cx="68065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3585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6565" cy="835850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6806565" cy="8401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06565" cy="8401050"/>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lvl w:ilvl="1">
      <w:lvlJc w:val="left"/>
      <w:lvlText w:val="(%2)"/>
      <w:numFmt w:val="decimal"/>
      <w:start w:val="1"/>
    </w:lvl>
  </w:abstractNum>
  <w:abstractNum w:abstractNumId="3">
    <w:nsid w:val="6CEAF087"/>
    <w:multiLevelType w:val="hybridMultilevel"/>
    <w:lvl w:ilvl="0">
      <w:lvlJc w:val="left"/>
      <w:lvlText w:val="%1."/>
      <w:numFmt w:val="decimal"/>
      <w:start w:val="19"/>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lvl>
    <w:lvl w:ilvl="1">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lowerRoman"/>
      <w:start w:val="3"/>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7"/>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5"/>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2"/>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lowerRoman"/>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5"/>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2020-04-24T09:03:33Z</dcterms:created>
  <dcterms:modified xsi:type="dcterms:W3CDTF">2020-04-24T09:03:33Z</dcterms:modified>
</cp:coreProperties>
</file>