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December 7, 2017</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7, 2017, National Vision Holdings, Inc. (the “National Vision”) issued a press release announcing financial results for the quarter ended September 30, 2017. A copy of the release is furnished herewith as Exhibit 99.1 and incorporated by reference 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4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50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89"/>
              </w:rPr>
              <w:t>National Vision Holdings, Inc. Press Release dated December 7, 2017.</w:t>
            </w:r>
          </w:p>
        </w:tc>
      </w:tr>
    </w:tbl>
    <w:p>
      <w:pPr>
        <w:sectPr>
          <w:pgSz w:w="11900" w:h="16838" w:orient="portrait"/>
          <w:cols w:equalWidth="0" w:num="1">
            <w:col w:w="10159"/>
          </w:cols>
          <w:pgMar w:left="300" w:top="580" w:right="1440"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3120" w:type="dxa"/>
            <w:vAlign w:val="bottom"/>
          </w:tcPr>
          <w:p>
            <w:pPr>
              <w:spacing w:after="0"/>
              <w:rPr>
                <w:sz w:val="20"/>
                <w:szCs w:val="20"/>
                <w:color w:val="auto"/>
              </w:rPr>
            </w:pPr>
            <w:r>
              <w:rPr>
                <w:rFonts w:ascii="Arial" w:cs="Arial" w:eastAsia="Arial" w:hAnsi="Arial"/>
                <w:sz w:val="18"/>
                <w:szCs w:val="18"/>
                <w:color w:val="auto"/>
              </w:rPr>
              <w:t>Date: December 7, 2017</w:t>
            </w:r>
          </w:p>
        </w:tc>
        <w:tc>
          <w:tcPr>
            <w:tcW w:w="2720" w:type="dxa"/>
            <w:vAlign w:val="bottom"/>
          </w:tcPr>
          <w:p>
            <w:pPr>
              <w:ind w:left="138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Mitchell Goodman</w:t>
            </w:r>
          </w:p>
        </w:tc>
      </w:tr>
      <w:tr>
        <w:trPr>
          <w:trHeight w:val="27"/>
        </w:trPr>
        <w:tc>
          <w:tcPr>
            <w:tcW w:w="3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120" w:type="dxa"/>
            <w:vAlign w:val="bottom"/>
          </w:tcPr>
          <w:p>
            <w:pPr>
              <w:spacing w:after="0"/>
              <w:rPr>
                <w:sz w:val="20"/>
                <w:szCs w:val="20"/>
                <w:color w:val="auto"/>
              </w:rPr>
            </w:pPr>
          </w:p>
        </w:tc>
        <w:tc>
          <w:tcPr>
            <w:tcW w:w="2720" w:type="dxa"/>
            <w:vAlign w:val="bottom"/>
          </w:tcPr>
          <w:p>
            <w:pPr>
              <w:ind w:left="138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Mitchell Goodman</w:t>
            </w:r>
          </w:p>
        </w:tc>
      </w:tr>
      <w:tr>
        <w:trPr>
          <w:trHeight w:val="270"/>
        </w:trPr>
        <w:tc>
          <w:tcPr>
            <w:tcW w:w="3120" w:type="dxa"/>
            <w:vAlign w:val="bottom"/>
          </w:tcPr>
          <w:p>
            <w:pPr>
              <w:spacing w:after="0"/>
              <w:rPr>
                <w:sz w:val="23"/>
                <w:szCs w:val="23"/>
                <w:color w:val="auto"/>
              </w:rPr>
            </w:pPr>
          </w:p>
        </w:tc>
        <w:tc>
          <w:tcPr>
            <w:tcW w:w="2720" w:type="dxa"/>
            <w:vAlign w:val="bottom"/>
          </w:tcPr>
          <w:p>
            <w:pPr>
              <w:ind w:left="138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320"/>
          </w:cols>
          <w:pgMar w:left="240" w:top="58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National Vision Holdings, Inc. Reports Third Quarter 2017 Financial Results</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14.9% to $346.1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was 8.3%; Adjusted comparable store sales growth was 7.0%</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63rd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$1.5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17.6% to $36.2 million</w:t>
      </w:r>
    </w:p>
    <w:p>
      <w:pPr>
        <w:spacing w:after="0" w:line="200" w:lineRule="exact"/>
        <w:rPr>
          <w:sz w:val="20"/>
          <w:szCs w:val="20"/>
          <w:color w:val="auto"/>
        </w:rPr>
      </w:pPr>
    </w:p>
    <w:p>
      <w:pPr>
        <w:spacing w:after="0" w:line="3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Dec. 7, 2017 </w:t>
      </w:r>
      <w:r>
        <w:rPr>
          <w:rFonts w:ascii="Arial" w:cs="Arial" w:eastAsia="Arial" w:hAnsi="Arial"/>
          <w:sz w:val="18"/>
          <w:szCs w:val="18"/>
          <w:color w:val="auto"/>
        </w:rPr>
        <w:t>-- National Vision Holdings, Inc. (NASDAQ: EYE) (“National Vision” or the “Company”) today reported its financial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ended September 30, 2017.</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Reade Fahs, chief executive officer, stated, “The third quarter was another strong period for us. Despite hurricanes in both Texas and Florida, the team managed to deliver its 63rd consecutive quarter of positive comparable store sales growth, once again driven by increases in customer transactions. We were especially proud of the way our 10,000 associates rallied to support the many optometrists, fellow associates, and customers whose lives were devastated by the storms.”</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Fahs continued, “We successfully opened 19 stores this quarter and continue to see a long runway for store growth. Since quarter end, we are proud to have celebrated two milestones -- the opening of our 1,000th store and the successful completion of our IPO. We also enhanced our partnership with the Boys and Girls Club of America to help young people most in need have access to eye care and eyewear. All in all it was another healthy quarter -- emblematic of the health and consistent progress we have had over the past several years.”</w:t>
      </w:r>
    </w:p>
    <w:p>
      <w:pPr>
        <w:spacing w:after="0" w:line="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Unless indicated otherwise, the information in this release has been adjusted to give effect to a 1.96627-for-one reverse stock split of the Company’s common stock effected on October 24, 2017.</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Adjusted comparable store sales growth, adjusted EBITDA, adjusted EBITDA margin, adjusted net income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Highlights</w:t>
      </w:r>
    </w:p>
    <w:p>
      <w:pPr>
        <w:spacing w:after="0" w:line="2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14.9% to $346.1 million from $301.2 million for the third quarter of 2016.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Comparable store sales growth of 8.3% and adjusted comparable store sales growth of 7.0% were driven by increases in customer transactions.</w:t>
      </w:r>
    </w:p>
    <w:p>
      <w:pPr>
        <w:spacing w:after="0" w:line="20" w:lineRule="exact"/>
        <w:rPr>
          <w:rFonts w:ascii="Arial" w:cs="Arial" w:eastAsia="Arial" w:hAnsi="Arial"/>
          <w:sz w:val="17"/>
          <w:szCs w:val="17"/>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Within the owned &amp; host segment, America’s Best comparable store sales growth was 10.2% and Eyeglass World comparable store sales growth was 2.4%. Legacy segment comparable store sales growth was 1.3%. Incremental eye exam revenue as a result of changes to the Company’s FirstSight operations required by changes in applicable California law resulted in a favorable impact of approximately 270 basis points on comparable store sales in the Legacy segment.</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19 new stores, closed three stores and ended the quarter with 996 stores. Overall, store count grew 6.9% from October 1, 2016 to September 30, 2017.</w:t>
      </w:r>
    </w:p>
    <w:p>
      <w:pPr>
        <w:ind w:left="340" w:right="20" w:hanging="332"/>
        <w:spacing w:after="0" w:line="265"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August and September, the Company temporarily closed stores due to Hurricanes Harvey and Irma. The Company estimates that these storms affected 203 stores and had an adverse impact of between 1.5% and 1.7% on each of its comparable store sales growth and adjusted comparable store sales growth, respectively. In addition, the Company estimates that these storms had an adverse impact of between $3.5 million and $4.1 million on its consolidated net revenue. One store in the Houston market remains closed due to hurricane-related damage.</w:t>
      </w:r>
    </w:p>
    <w:p>
      <w:pPr>
        <w:ind w:left="340" w:right="8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applicable to revenues increased 17.1% to $162.4 million from $138.7 million for the third quarter of 2016. As a percentage of net revenues, costs applicable to revenues increased 90 basis points to 46.9% from 46.0% for the third quarter of 2016. This increase, as a percentage of net revenues, was primarily driven by higher optometrist costs and higher wholesale fulfillment mix.</w:t>
      </w:r>
    </w:p>
    <w:p>
      <w:pPr>
        <w:sectPr>
          <w:pgSz w:w="11900" w:h="16838" w:orient="portrait"/>
          <w:cols w:equalWidth="0" w:num="1">
            <w:col w:w="11380"/>
          </w:cols>
          <w:pgMar w:left="240" w:top="1440" w:right="279" w:bottom="1440" w:gutter="0" w:footer="0" w:header="0"/>
        </w:sectPr>
      </w:pPr>
    </w:p>
    <w:bookmarkStart w:id="5" w:name="page6"/>
    <w:bookmarkEnd w:id="5"/>
    <w:p>
      <w:pPr>
        <w:jc w:val="both"/>
        <w:ind w:left="340" w:right="56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12.5% to $151.3 million from $134.5 million for the third quarter of 2016. As a percentage of net revenues, SG&amp;A declined 90 basis points to 43.7% from 44.6% for the third quarter of 2016. This decline as a percentage of net revenues was primarily driven by the timing of advertising.</w:t>
      </w: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expense increased $5.1 million compared to the third quarter of 2016. Interest expense increased $1.9 million as a result of the $175 million of incremental term loans under the first lien credit agreement used to fund a recapitalization dividend declared on February 2, 2017 and $2.6 million related to interest payments due to counterparties associated with its derivative cash flow hedges.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was $1.5 million, or $0.03 per diluted share, compared to $3.0 million, or $0.05 per diluted share, for the third quarter of 2016. This decline in net income was due primarily to the increase in interest expense in the third quarter of 2017.</w:t>
      </w:r>
    </w:p>
    <w:p>
      <w:pPr>
        <w:ind w:left="340" w:right="26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was $5.8 million compared to $6.6 million for the third quarter of 2016. This decline in adjusted net income was due primarily to the decline in net income.</w:t>
      </w:r>
    </w:p>
    <w:p>
      <w:pPr>
        <w:ind w:left="340" w:righ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17.6% to $36.2 million compared to $30.7 million for the third quarter of 2016. Adjusted EBITDA margin increased 20 basis points to 10.4% from 10.2% for the third quarter of 2016.</w:t>
      </w:r>
    </w:p>
    <w:p>
      <w:pPr>
        <w:ind w:left="340" w:hanging="332"/>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revenue and adjusted EBITDA results above do not include the $1.7 million net increase in deferred revenue in the third quarter of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Highlights</w:t>
      </w:r>
    </w:p>
    <w:p>
      <w:pPr>
        <w:spacing w:after="0" w:line="27" w:lineRule="exact"/>
        <w:rPr>
          <w:sz w:val="20"/>
          <w:szCs w:val="20"/>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14.6% to $1.1 billion from $919.1 million for the same period of 2016. The Company believes that its first quarter of 2017 was negatively impacted by the Earned Income Tax Credit processing rules implemented by the federal government in 2017 which caused a two- to three-week delay in many federal tax refunds in the first quarter. This delay caused store transactions, and ultimately net revenue, to fall short of planned levels in the first quarter. A weaker than expected first quarter was partially offset by strong performance in comparable store sales growth and overall customer transactions in the second quarter of 2017.</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Comparable store sales growth of 7.4% and adjusted comparable store sales growth of 6.7% were driven by an increase in customer transactions.</w:t>
      </w:r>
    </w:p>
    <w:p>
      <w:pPr>
        <w:spacing w:after="0" w:line="20" w:lineRule="exact"/>
        <w:rPr>
          <w:rFonts w:ascii="Arial" w:cs="Arial" w:eastAsia="Arial" w:hAnsi="Arial"/>
          <w:sz w:val="17"/>
          <w:szCs w:val="17"/>
          <w:color w:val="auto"/>
        </w:rPr>
      </w:pPr>
    </w:p>
    <w:p>
      <w:pPr>
        <w:ind w:left="340" w:right="2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Within the owned &amp; host segment, America’s Best comparable store sales growth was 9.6% and Eyeglass World comparable store sales growth was 5.0%. Legacy segment comparable store sales growth decreased (0.3%). Incremental eye exam revenue as a result of changes to the Company’s FirstSight operations required by changes in applicable California law resulted in a favorable impact of approximately 110 basis points on comparable store sales growth in the Legacy segment.</w:t>
      </w:r>
    </w:p>
    <w:p>
      <w:pPr>
        <w:spacing w:after="0" w:line="1" w:lineRule="exact"/>
        <w:rPr>
          <w:rFonts w:ascii="Arial" w:cs="Arial" w:eastAsia="Arial" w:hAnsi="Arial"/>
          <w:sz w:val="18"/>
          <w:szCs w:val="18"/>
          <w:color w:val="auto"/>
        </w:rPr>
      </w:pPr>
    </w:p>
    <w:p>
      <w:pPr>
        <w:ind w:left="340" w:right="6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59 stores, closed six stores, and ended the period with 996 stores. Overall, store count grew 6.9% from October 1, 2016 to September 30, 2017.</w:t>
      </w:r>
    </w:p>
    <w:p>
      <w:pPr>
        <w:ind w:left="340" w:right="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and September, the Company temporarily closed stores due to Hurricanes Harvey and Irma, respectively. The Company estimates that these storms affected 203 stores and had an adverse impact of between 0.4% and 0.5% on each of its comparable store sales growth and adjusted comparable store sales growth, respectively. In addition, the Company estimates that these storms had an adverse impact of between $3.5 million and $4.1 million on its consolidated net revenue.</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revenues increased 16.9% to $484.6 million from $414.5 million for the same period of 2016. As a percentage of net revenues, costs applicable to revenues increased 90 basis points to 46.0% from 45.1% for the same period of 2016. This increase, as a percentage of net revenues, was driven by higher wholesale fulfillment mix and higher optometrist costs, as well as a $2.3 million write-off of inventory related to slow-moving contact lens product which had expired or would expire prior to possible sale.</w:t>
      </w:r>
    </w:p>
    <w:p>
      <w:pPr>
        <w:spacing w:after="0" w:line="1"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increased 12.7% to $445.7 million from $395.4 million for the same period of 2016. As a percentage of net revenues, SG&amp;A declined 70 basis points to 42.3% from 43.0% for the same period of 2016. This decline, as a percentage of net revenues, was primarily driven by certain ecommerce partner fees, occupancy costs, performance based incentive compensation and corporate payroll.</w:t>
      </w:r>
    </w:p>
    <w:p>
      <w:pPr>
        <w:spacing w:after="0" w:line="1"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increased $11.6 million compared to the same period of 2016. Interest expense increased $4.8 million as a result of the $175 million of incremental term loans under the first lien credit agreement to fund the February 2, 2017 recapitalization dividend and $6.1 million related to interest payments due to counterparties associated with its derivative cash flow hedges.</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was $17.1 million, or $0.29 per diluted share, compared to $24.5 million, or $0.43 per diluted share for the same period of 2016. The decline in net income was due primarily to the increase in interest expense, as well as a litigation settlement, debt issuance costs, and non-cash inventory write-offs.</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income was $36.1 million compared to $34.9 million for the same period of 2016. Adjusted net income for the 2017 period excluded the litigation settlement, debt issuance costs and non-cash inventory write-offs.</w:t>
      </w:r>
    </w:p>
    <w:p>
      <w:pPr>
        <w:ind w:left="340" w:right="1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increased 15.3% to $134.7 million compared to $116.8 million for the same period of 2016. Adjusted EBITDA margin increased 10 basis points to 12.8% from 12.7% for the same period of 2016.</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and adjusted EBITDA results above do not include the $9.2 million net increase in deferred revenue year-to-date.</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 Highlights as of September 30, 2017</w:t>
      </w:r>
    </w:p>
    <w:p>
      <w:pPr>
        <w:spacing w:after="0" w:line="27" w:lineRule="exact"/>
        <w:rPr>
          <w:sz w:val="20"/>
          <w:szCs w:val="20"/>
          <w:color w:val="auto"/>
        </w:rPr>
      </w:pPr>
    </w:p>
    <w:p>
      <w:pPr>
        <w:ind w:left="340" w:right="30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cash balance was $27.6 million as of September 30, 2017. The Company had no borrowings under its $75 million first lien revolving credit facility, exclusive of letters of credit of $5.5 million.</w:t>
      </w:r>
    </w:p>
    <w:p>
      <w:pPr>
        <w:ind w:left="340" w:right="6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debt was $922.4 million as of September 30, 2017, consisting of outstanding current and long-term portions of the Company’s first lien and second lien term loans and revolving credit facilities.</w:t>
      </w:r>
    </w:p>
    <w:p>
      <w:pPr>
        <w:ind w:left="340" w:hanging="332"/>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Cash flows from operating activities for the first nine months of 2017 were $96.3 million compared to $91.1 million for the same period of 2016.</w:t>
      </w:r>
    </w:p>
    <w:p>
      <w:pPr>
        <w:spacing w:after="0" w:line="20" w:lineRule="exact"/>
        <w:rPr>
          <w:rFonts w:ascii="Arial" w:cs="Arial" w:eastAsia="Arial" w:hAnsi="Arial"/>
          <w:sz w:val="17"/>
          <w:szCs w:val="17"/>
          <w:color w:val="auto"/>
        </w:rPr>
      </w:pPr>
    </w:p>
    <w:p>
      <w:pPr>
        <w:ind w:left="340" w:right="12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for the first nine months of 2017 totaled $67.1 million compared to $66.8 million for the same period of 2016. The Company plans to spend approximately $92.9 million on capital expenditures during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7" w:lineRule="exact"/>
        <w:rPr>
          <w:sz w:val="20"/>
          <w:szCs w:val="20"/>
          <w:color w:val="auto"/>
        </w:rPr>
      </w:pPr>
    </w:p>
    <w:p>
      <w:pPr>
        <w:ind w:left="340" w:right="28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30, 2017, the Company completed its initial public offering of common stock (“IPO”) in which it issued and sold 18,170,000 shares of common stock (including 2,370,000 shares pursuant to the underwriters’ option to purchase additional shares). The shares of the Company’s common stock were sold at an initial public offering price of $22.00 per share, which generated net proceeds of approximately $371.8 million after deducting underwriting discounts and commissions and other offering expenses.</w:t>
      </w:r>
    </w:p>
    <w:p>
      <w:pPr>
        <w:spacing w:after="0" w:line="1" w:lineRule="exact"/>
        <w:rPr>
          <w:rFonts w:ascii="Arial" w:cs="Arial" w:eastAsia="Arial" w:hAnsi="Arial"/>
          <w:sz w:val="18"/>
          <w:szCs w:val="18"/>
          <w:color w:val="auto"/>
        </w:rPr>
      </w:pPr>
    </w:p>
    <w:p>
      <w:pPr>
        <w:ind w:left="340" w:right="240" w:hanging="332"/>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October 31, 2017, using proceeds from the IPO, the Company repaid all $125 million outstanding aggregate amount of the Company’s second lien term loans and approximately $235 million of the outstanding amount of the first lien term loan and accrued and unpaid interest thereon.</w:t>
      </w:r>
    </w:p>
    <w:p>
      <w:pPr>
        <w:spacing w:after="0" w:line="1" w:lineRule="exact"/>
        <w:rPr>
          <w:rFonts w:ascii="Arial" w:cs="Arial" w:eastAsia="Arial" w:hAnsi="Arial"/>
          <w:sz w:val="16"/>
          <w:szCs w:val="16"/>
          <w:color w:val="auto"/>
        </w:rPr>
      </w:pPr>
    </w:p>
    <w:p>
      <w:pPr>
        <w:ind w:left="340" w:right="1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October 31, 2017, the Company amended its first lien credit agreement to increase the size of the first lien revolving credit facility from $75 million to $100 million and extend the maturity to October 15, 2022.</w:t>
      </w:r>
    </w:p>
    <w:p>
      <w:pPr>
        <w:ind w:left="340" w:hanging="332"/>
        <w:spacing w:after="0" w:line="277"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November 20, 2017, the Company amended its first lien credit agreement to refinance all of the $570 million outstanding first lien term loans with new first lien term loans, extend the maturity of such term loans to November 20, 2024, lower the applicable interest rate margins on the term loans by 25 basis points, and provide for an additional 25 basis points interest rate margin reduction with a credit rating upgrade from Moody’s.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A conference call to discuss the third quarter 2017 financial results is scheduled for today, December 7, 2017, at 11:00 a.m. Eastern Time. The U.S. toll free dial-in for the conference call is 866-754-6931 and the international dial-in is 636-812-6625. The conference passcode is 6189987. A live audio webcast of the conference call will be available on the “Investor” section of the Company’s website </w:t>
      </w:r>
      <w:r>
        <w:rPr>
          <w:rFonts w:ascii="Arial" w:cs="Arial" w:eastAsia="Arial" w:hAnsi="Arial"/>
          <w:sz w:val="18"/>
          <w:szCs w:val="18"/>
          <w:u w:val="single" w:color="auto"/>
          <w:color w:val="0000EE"/>
        </w:rPr>
        <w:t>www.nationalvision.com/investors</w:t>
      </w:r>
      <w:r>
        <w:rPr>
          <w:rFonts w:ascii="Arial" w:cs="Arial" w:eastAsia="Arial" w:hAnsi="Arial"/>
          <w:sz w:val="18"/>
          <w:szCs w:val="18"/>
          <w:color w:val="auto"/>
        </w:rPr>
        <w:t>, where presentation materials will be posted prior to the conference call.</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Thursday, December 14, 2017, by dialing 855-859-2056 from the U.S. or 404-537-3406 from international locations, and entering conference passcode 6189987. A replay of the audio webcast will also be archived on the “Investors” section of the Company’s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National Vision Holdings, Inc. is one of the largest optical retail companies in the United States with over 1,000 retail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Fred Meyer stores and on select military bases, offering a variety of products and services for customers’ eye care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maintain sufficient levels of cash flow from our operations to grow; our ability to recruit and retain vision care professionals for our stores; state, local and federal vision care and healthcare laws and regulations; our relationships with managed vision care companies, vision insurance providers and other third-party payors; our operating relationships with our host and legacy partners; the risk of loss or disruption in our distribution centers and optical laboratories; risks associated with vendors and suppliers from whom our products are sourced; competition in the optical retail industry; risks associated with information technology systems and the</w:t>
      </w:r>
    </w:p>
    <w:p>
      <w:pPr>
        <w:sectPr>
          <w:pgSz w:w="11900" w:h="16838" w:orient="portrait"/>
          <w:cols w:equalWidth="0" w:num="1">
            <w:col w:w="11400"/>
          </w:cols>
          <w:pgMar w:left="240" w:top="580" w:right="259" w:bottom="1440" w:gutter="0" w:footer="0" w:header="0"/>
        </w:sectPr>
      </w:pPr>
    </w:p>
    <w:bookmarkStart w:id="7" w:name="page8"/>
    <w:bookmarkEnd w:id="7"/>
    <w:p>
      <w:pPr>
        <w:ind w:right="80"/>
        <w:spacing w:after="0" w:line="285" w:lineRule="auto"/>
        <w:rPr>
          <w:sz w:val="20"/>
          <w:szCs w:val="20"/>
          <w:color w:val="auto"/>
        </w:rPr>
      </w:pPr>
      <w:r>
        <w:rPr>
          <w:rFonts w:ascii="Arial" w:cs="Arial" w:eastAsia="Arial" w:hAnsi="Arial"/>
          <w:sz w:val="16"/>
          <w:szCs w:val="16"/>
          <w:color w:val="auto"/>
        </w:rPr>
        <w:t xml:space="preserve">security of personal information and payment card data collected by us and our vendors; macroeconomic factors and other factors impacting consumer spending beyond the Company’s control;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product liability, product recall or personal injury issues; the impact our leverage has on our ability to raise additional capital to fund our operations; risks associated with managed vision care laws and regulations; our increasing reliance on third-party coverage and reimbursement; issues regarding inventory management; risks related to our e-commerce business; seasonal fluctuations in our business; technological advances that may reduce demand for our products; risks related to our debt agreements; legal regulatory risks, including adverse judgments or settlements from legal proceedings; our ability to protect our intellectual property; our ability to comply with requirements to design and implement and maintain effective internal controls; and risks related to being a controlled company. Additional factors that could cause National Vision’s results to differ materially from those described in the forward-looking statements can be found under the heading entitled “Risk Factors” in our prospectus dated October 25, 2017, filed with the Securities and Exchange Commission (“SEC”) pursuant to Rule 424(b) of the Securities Act on October 27, 2017, as such factors may be updated from time to time in our periodic filings with the SEC, including our quarterly report on Form 10-Q for the quarterly period ended September 30, 2017, which are accessible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To supplement the Company’s financial information presented in accordance with GAAP and aid understanding of the Company’s business performance, the Company uses certain non-GAAP financial measures, namely “EBITDA,” “Adjusted EBITDA,” “Adjusted EBITDA Margin” and “Adjusted Net Income.” We believe EBITDA, Adjusted EBITDA, Adjusted EBITDA Margin and Adjusted Net Income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and depreciation and amortization.</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EBITDA, further adjusted to exclude stock compensation expense, costs associated with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asset impairment, non-cash inventory write-offs, management fees, new store pre-opening expenses, non-cash rent, litigation settlement and other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divided by net revenue.</w:t>
      </w:r>
    </w:p>
    <w:p>
      <w:pPr>
        <w:spacing w:after="0" w:line="225"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b w:val="1"/>
          <w:bCs w:val="1"/>
          <w:i w:val="1"/>
          <w:iCs w:val="1"/>
          <w:color w:val="auto"/>
        </w:rPr>
        <w:t xml:space="preserve">Adjusted Net Income: </w:t>
      </w:r>
      <w:r>
        <w:rPr>
          <w:rFonts w:ascii="Arial" w:cs="Arial" w:eastAsia="Arial" w:hAnsi="Arial"/>
          <w:sz w:val="17"/>
          <w:szCs w:val="17"/>
          <w:color w:val="auto"/>
        </w:rPr>
        <w:t>We define Adjusted Net Income as net income, plus stock compensation expense, costs associated with debt refinancing, asset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non-cash inventory write-offs, management fees, new store pre-opening expenses, non-cash rent, litigation settlement, amortization of acquisition intangibles and deferred financing costs and other expenses, less the tax effect of these adjustments.</w:t>
      </w:r>
    </w:p>
    <w:p>
      <w:pPr>
        <w:sectPr>
          <w:pgSz w:w="11900" w:h="16838" w:orient="portrait"/>
          <w:cols w:equalWidth="0" w:num="1">
            <w:col w:w="11420"/>
          </w:cols>
          <w:pgMar w:left="240" w:top="584" w:right="239" w:bottom="1440" w:gutter="0" w:footer="0" w:header="0"/>
        </w:sectPr>
      </w:pPr>
    </w:p>
    <w:bookmarkStart w:id="8" w:name="page9"/>
    <w:bookmarkEnd w:id="8"/>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EBITDA, Adjusted EBITDA, Adjusted EBITDA Margin, Adjusted Net Income and Adjusted Comparable Store Sales Growth are not recognized terms under GAAP and should not be considered as an alternative to net income (loss) or the ratio of net income (loss)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00"/>
          </w:cols>
          <w:pgMar w:left="240" w:top="584"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color w:val="auto"/>
              </w:rPr>
              <w:t>As of September 30,</w:t>
            </w:r>
          </w:p>
        </w:tc>
        <w:tc>
          <w:tcPr>
            <w:tcW w:w="220" w:type="dxa"/>
            <w:vAlign w:val="bottom"/>
          </w:tcPr>
          <w:p>
            <w:pPr>
              <w:spacing w:after="0"/>
              <w:rPr>
                <w:sz w:val="17"/>
                <w:szCs w:val="17"/>
                <w:color w:val="auto"/>
              </w:rPr>
            </w:pPr>
          </w:p>
        </w:tc>
        <w:tc>
          <w:tcPr>
            <w:tcW w:w="1820" w:type="dxa"/>
            <w:vAlign w:val="bottom"/>
          </w:tcPr>
          <w:p>
            <w:pPr>
              <w:jc w:val="right"/>
              <w:ind w:right="299"/>
              <w:spacing w:after="0"/>
              <w:rPr>
                <w:sz w:val="20"/>
                <w:szCs w:val="20"/>
                <w:color w:val="auto"/>
              </w:rPr>
            </w:pPr>
            <w:r>
              <w:rPr>
                <w:rFonts w:ascii="Arial" w:cs="Arial" w:eastAsia="Arial" w:hAnsi="Arial"/>
                <w:sz w:val="16"/>
                <w:szCs w:val="16"/>
                <w:color w:val="auto"/>
              </w:rPr>
              <w:t>As of December 31,</w:t>
            </w:r>
          </w:p>
        </w:tc>
        <w:tc>
          <w:tcPr>
            <w:tcW w:w="0" w:type="dxa"/>
            <w:vAlign w:val="bottom"/>
          </w:tcPr>
          <w:p>
            <w:pPr>
              <w:spacing w:after="0"/>
              <w:rPr>
                <w:sz w:val="1"/>
                <w:szCs w:val="1"/>
                <w:color w:val="auto"/>
              </w:rPr>
            </w:pPr>
          </w:p>
        </w:tc>
      </w:tr>
      <w:tr>
        <w:trPr>
          <w:trHeight w:val="98"/>
        </w:trPr>
        <w:tc>
          <w:tcPr>
            <w:tcW w:w="72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vMerge w:val="restart"/>
          </w:tcPr>
          <w:p>
            <w:pPr>
              <w:jc w:val="right"/>
              <w:ind w:right="79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vMerge w:val="restart"/>
          </w:tcPr>
          <w:p>
            <w:pPr>
              <w:jc w:val="right"/>
              <w:ind w:right="77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27,621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34,370</w:t>
            </w: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89,370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87,064</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20,880</w:t>
            </w:r>
          </w:p>
        </w:tc>
        <w:tc>
          <w:tcPr>
            <w:tcW w:w="0" w:type="dxa"/>
            <w:vAlign w:val="bottom"/>
          </w:tcPr>
          <w:p>
            <w:pPr>
              <w:spacing w:after="0"/>
              <w:rPr>
                <w:sz w:val="1"/>
                <w:szCs w:val="1"/>
                <w:color w:val="auto"/>
              </w:rPr>
            </w:pPr>
          </w:p>
        </w:tc>
      </w:tr>
      <w:tr>
        <w:trPr>
          <w:trHeight w:val="217"/>
        </w:trPr>
        <w:tc>
          <w:tcPr>
            <w:tcW w:w="720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178,790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147,259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Property and equipment, net</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290,656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256,414</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 and deferred costs: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792,744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793,229</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Trademarks and 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240,547</w:t>
            </w: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Other intangible assets, net</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75,011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81,338</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12,330</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Total non-current assets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1,410,072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1,383,858</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1,531,117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7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33,562</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39,400</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payables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69,402</w:t>
            </w: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Unearned revenue</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20,867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25,600</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57,996</w:t>
            </w: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Current maturities of long-term debt</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9,645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7,285</w:t>
            </w:r>
          </w:p>
        </w:tc>
        <w:tc>
          <w:tcPr>
            <w:tcW w:w="0" w:type="dxa"/>
            <w:vAlign w:val="bottom"/>
          </w:tcPr>
          <w:p>
            <w:pPr>
              <w:spacing w:after="0"/>
              <w:rPr>
                <w:sz w:val="1"/>
                <w:szCs w:val="1"/>
                <w:color w:val="auto"/>
              </w:rPr>
            </w:pPr>
          </w:p>
        </w:tc>
      </w:tr>
      <w:tr>
        <w:trPr>
          <w:trHeight w:val="47"/>
        </w:trPr>
        <w:tc>
          <w:tcPr>
            <w:tcW w:w="7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219,176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199,683</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Long-term debt, less current portion and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912,734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738,340</w:t>
            </w: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Other non-current liabilities:</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29,432</w:t>
            </w: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49,714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50,497</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120,556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111,278</w:t>
            </w:r>
          </w:p>
        </w:tc>
        <w:tc>
          <w:tcPr>
            <w:tcW w:w="0" w:type="dxa"/>
            <w:vAlign w:val="bottom"/>
          </w:tcPr>
          <w:p>
            <w:pPr>
              <w:spacing w:after="0"/>
              <w:rPr>
                <w:sz w:val="1"/>
                <w:szCs w:val="1"/>
                <w:color w:val="auto"/>
              </w:rPr>
            </w:pPr>
          </w:p>
        </w:tc>
      </w:tr>
      <w:tr>
        <w:trPr>
          <w:trHeight w:val="217"/>
        </w:trPr>
        <w:tc>
          <w:tcPr>
            <w:tcW w:w="7200" w:type="dxa"/>
            <w:vAlign w:val="bottom"/>
          </w:tcPr>
          <w:p>
            <w:pPr>
              <w:ind w:left="500"/>
              <w:spacing w:after="0"/>
              <w:rPr>
                <w:sz w:val="20"/>
                <w:szCs w:val="20"/>
                <w:color w:val="auto"/>
              </w:rPr>
            </w:pPr>
            <w:r>
              <w:rPr>
                <w:rFonts w:ascii="Arial" w:cs="Arial" w:eastAsia="Arial" w:hAnsi="Arial"/>
                <w:sz w:val="16"/>
                <w:szCs w:val="16"/>
                <w:color w:val="auto"/>
              </w:rPr>
              <w:t>Total other non-current liabilities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202,364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191,207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72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Common stock, $0.01 par value; 200,000 shares authorized; 56,477 and 56,202 shares issued and</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outstanding as of September 30, 2017 and December 31, 2016,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259,034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424,789</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(14,556)</w:t>
            </w:r>
          </w:p>
        </w:tc>
        <w:tc>
          <w:tcPr>
            <w:tcW w:w="0" w:type="dxa"/>
            <w:vAlign w:val="bottom"/>
          </w:tcPr>
          <w:p>
            <w:pPr>
              <w:spacing w:after="0"/>
              <w:rPr>
                <w:sz w:val="1"/>
                <w:szCs w:val="1"/>
                <w:color w:val="auto"/>
              </w:rPr>
            </w:pPr>
          </w:p>
        </w:tc>
      </w:tr>
      <w:tr>
        <w:trPr>
          <w:trHeight w:val="224"/>
        </w:trPr>
        <w:tc>
          <w:tcPr>
            <w:tcW w:w="7200" w:type="dxa"/>
            <w:vAlign w:val="bottom"/>
          </w:tcPr>
          <w:p>
            <w:pPr>
              <w:ind w:left="280"/>
              <w:spacing w:after="0"/>
              <w:rPr>
                <w:sz w:val="20"/>
                <w:szCs w:val="20"/>
                <w:color w:val="auto"/>
              </w:rPr>
            </w:pPr>
            <w:r>
              <w:rPr>
                <w:rFonts w:ascii="Arial" w:cs="Arial" w:eastAsia="Arial" w:hAnsi="Arial"/>
                <w:sz w:val="16"/>
                <w:szCs w:val="16"/>
                <w:color w:val="auto"/>
              </w:rPr>
              <w:t>Retained earnings (deficit)</w:t>
            </w:r>
          </w:p>
        </w:tc>
        <w:tc>
          <w:tcPr>
            <w:tcW w:w="24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8,445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at cost; 28 shares as of September 30, 2017 and December 31, 2016</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7"/>
        </w:trPr>
        <w:tc>
          <w:tcPr>
            <w:tcW w:w="7200" w:type="dxa"/>
            <w:vAlign w:val="bottom"/>
          </w:tcPr>
          <w:p>
            <w:pPr>
              <w:ind w:left="5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254,588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401,887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1,588,862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1,531,117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left="260" w:right="2640"/>
        <w:spacing w:after="0" w:line="265" w:lineRule="auto"/>
        <w:rPr>
          <w:sz w:val="20"/>
          <w:szCs w:val="20"/>
          <w:color w:val="auto"/>
        </w:rPr>
      </w:pPr>
      <w:r>
        <w:rPr>
          <w:rFonts w:ascii="Arial" w:cs="Arial" w:eastAsia="Arial" w:hAnsi="Arial"/>
          <w:sz w:val="17"/>
          <w:szCs w:val="17"/>
          <w:b w:val="1"/>
          <w:bCs w:val="1"/>
          <w:color w:val="auto"/>
        </w:rPr>
        <w:t xml:space="preserve">Condensed Consolidated Statements of Operations and Comprehensive Income For the Three and Nine Months Ended September 30, 2017 and October 1, 2016 </w:t>
      </w:r>
      <w:r>
        <w:rPr>
          <w:rFonts w:ascii="Arial" w:cs="Arial" w:eastAsia="Arial" w:hAnsi="Arial"/>
          <w:sz w:val="17"/>
          <w:szCs w:val="17"/>
          <w:b w:val="1"/>
          <w:bCs w:val="1"/>
          <w:i w:val="1"/>
          <w:iCs w:val="1"/>
          <w:color w:val="auto"/>
        </w:rPr>
        <w:t>In Thousands, Except Per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Nine Months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Three Months</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4"/>
              </w:rPr>
              <w:t>Nine Months</w:t>
            </w:r>
          </w:p>
        </w:tc>
      </w:t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30,</w:t>
            </w:r>
          </w:p>
        </w:tc>
        <w:tc>
          <w:tcPr>
            <w:tcW w:w="16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r>
      <w:tr>
        <w:trPr>
          <w:trHeight w:val="230"/>
        </w:trPr>
        <w:tc>
          <w:tcPr>
            <w:tcW w:w="538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5"/>
              </w:rPr>
              <w:t>September 30, 2017</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October 1, 2016</w:t>
            </w:r>
          </w:p>
        </w:tc>
        <w:tc>
          <w:tcPr>
            <w:tcW w:w="16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October 1, 2016</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283,648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246,638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867,192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756,787</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162,294</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346,089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301,216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1,053,489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919,081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5"/>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115,752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99,096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349,099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299,420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115,033</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162,358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138,664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484,573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414,453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151,251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445,714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395,385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38,237</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1,217</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167,171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498,862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434,891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14,315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70,054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69,737</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29,377</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15,893</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0.44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56,176</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56,814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Change in fair value of hedge instruments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(13,245)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Tax (provision) benefit of change in fair value of hedge instruments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5,219</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18,453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16,441</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 and October 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7"/>
                <w:szCs w:val="17"/>
                <w:color w:val="auto"/>
              </w:rPr>
              <w:t>Nine Months Ended</w:t>
            </w:r>
          </w:p>
        </w:tc>
        <w:tc>
          <w:tcPr>
            <w:tcW w:w="240" w:type="dxa"/>
            <w:vAlign w:val="bottom"/>
          </w:tcPr>
          <w:p>
            <w:pPr>
              <w:spacing w:after="0"/>
              <w:rPr>
                <w:sz w:val="17"/>
                <w:szCs w:val="17"/>
                <w:color w:val="auto"/>
              </w:rPr>
            </w:pPr>
          </w:p>
        </w:tc>
        <w:tc>
          <w:tcPr>
            <w:tcW w:w="1820" w:type="dxa"/>
            <w:vAlign w:val="bottom"/>
          </w:tcPr>
          <w:p>
            <w:pPr>
              <w:jc w:val="right"/>
              <w:ind w:right="255"/>
              <w:spacing w:after="0"/>
              <w:rPr>
                <w:sz w:val="20"/>
                <w:szCs w:val="20"/>
                <w:color w:val="auto"/>
              </w:rPr>
            </w:pPr>
            <w:r>
              <w:rPr>
                <w:rFonts w:ascii="Arial" w:cs="Arial" w:eastAsia="Arial" w:hAnsi="Arial"/>
                <w:sz w:val="17"/>
                <w:szCs w:val="17"/>
                <w:color w:val="auto"/>
                <w:w w:val="97"/>
              </w:rPr>
              <w:t>Nine Months Ended</w:t>
            </w: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Arial" w:cs="Arial" w:eastAsia="Arial" w:hAnsi="Arial"/>
                <w:sz w:val="17"/>
                <w:szCs w:val="17"/>
                <w:color w:val="auto"/>
              </w:rPr>
              <w:t>September 30, 2017</w:t>
            </w:r>
          </w:p>
        </w:tc>
        <w:tc>
          <w:tcPr>
            <w:tcW w:w="240" w:type="dxa"/>
            <w:vAlign w:val="bottom"/>
          </w:tcPr>
          <w:p>
            <w:pPr>
              <w:spacing w:after="0"/>
              <w:rPr>
                <w:sz w:val="18"/>
                <w:szCs w:val="18"/>
                <w:color w:val="auto"/>
              </w:rPr>
            </w:pPr>
          </w:p>
        </w:tc>
        <w:tc>
          <w:tcPr>
            <w:tcW w:w="1820" w:type="dxa"/>
            <w:vAlign w:val="bottom"/>
          </w:tcPr>
          <w:p>
            <w:pPr>
              <w:jc w:val="right"/>
              <w:ind w:right="395"/>
              <w:spacing w:after="0"/>
              <w:rPr>
                <w:sz w:val="20"/>
                <w:szCs w:val="20"/>
                <w:color w:val="auto"/>
              </w:rPr>
            </w:pPr>
            <w:r>
              <w:rPr>
                <w:rFonts w:ascii="Arial" w:cs="Arial" w:eastAsia="Arial" w:hAnsi="Arial"/>
                <w:sz w:val="17"/>
                <w:szCs w:val="17"/>
                <w:color w:val="auto"/>
              </w:rPr>
              <w:t>October 1, 2016</w:t>
            </w:r>
          </w:p>
        </w:tc>
      </w:tr>
      <w:tr>
        <w:trPr>
          <w:trHeight w:val="31"/>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20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17,120</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24,467</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Depreciation of property and equipment</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38,077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31,345</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6,892</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Amortization of loan costs</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2,946</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Asset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8,922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15,901</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Non-cash stock option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3,308</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Non-cash inventory adjustments</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4,695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1,228</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529</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Accounts receivable, net</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(4,741)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569</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(8,007)</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2,487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(1,223)</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(8,738)</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Other liabilities</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25,898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21,807</w:t>
            </w:r>
          </w:p>
        </w:tc>
      </w:tr>
      <w:tr>
        <w:trPr>
          <w:trHeight w:val="31"/>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91,076</w:t>
            </w:r>
          </w:p>
        </w:tc>
      </w:tr>
      <w:tr>
        <w:trPr>
          <w:trHeight w:val="233"/>
        </w:trPr>
        <w:tc>
          <w:tcPr>
            <w:tcW w:w="720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(66,771)</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Purchase of investments</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(1,000)</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(734)</w:t>
            </w:r>
          </w:p>
        </w:tc>
      </w:tr>
      <w:tr>
        <w:trPr>
          <w:trHeight w:val="219"/>
        </w:trPr>
        <w:tc>
          <w:tcPr>
            <w:tcW w:w="7200" w:type="dxa"/>
            <w:vAlign w:val="bottom"/>
          </w:tcPr>
          <w:p>
            <w:pPr>
              <w:ind w:left="40"/>
              <w:spacing w:after="0"/>
              <w:rPr>
                <w:sz w:val="20"/>
                <w:szCs w:val="20"/>
                <w:color w:val="auto"/>
              </w:rPr>
            </w:pPr>
            <w:r>
              <w:rPr>
                <w:rFonts w:ascii="Arial" w:cs="Arial" w:eastAsia="Arial" w:hAnsi="Arial"/>
                <w:sz w:val="17"/>
                <w:szCs w:val="17"/>
                <w:color w:val="auto"/>
              </w:rPr>
              <w:t>Net cash used for investing activities</w:t>
            </w: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(68,748)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(68,505)</w:t>
            </w:r>
          </w:p>
        </w:tc>
      </w:tr>
      <w:tr>
        <w:trPr>
          <w:trHeight w:val="31"/>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173,712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Principal payments on long-term debt</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(6,236)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(4,886)</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884</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Payments on capital lease obligations</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(426)</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Dividend to stockholders</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(170,983)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for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(4,428)</w:t>
            </w:r>
          </w:p>
        </w:tc>
      </w:tr>
      <w:tr>
        <w:trPr>
          <w:trHeight w:val="219"/>
        </w:trPr>
        <w:tc>
          <w:tcPr>
            <w:tcW w:w="7200" w:type="dxa"/>
            <w:vAlign w:val="bottom"/>
          </w:tcPr>
          <w:p>
            <w:pPr>
              <w:ind w:left="40"/>
              <w:spacing w:after="0"/>
              <w:rPr>
                <w:sz w:val="20"/>
                <w:szCs w:val="20"/>
                <w:color w:val="auto"/>
              </w:rPr>
            </w:pPr>
            <w:r>
              <w:rPr>
                <w:rFonts w:ascii="Arial" w:cs="Arial" w:eastAsia="Arial" w:hAnsi="Arial"/>
                <w:sz w:val="17"/>
                <w:szCs w:val="17"/>
                <w:color w:val="auto"/>
              </w:rPr>
              <w:t>Net change in cash and cash equivalents</w:t>
            </w: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22,676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18,143</w:t>
            </w: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5,595</w:t>
            </w:r>
          </w:p>
        </w:tc>
      </w:tr>
      <w:tr>
        <w:trPr>
          <w:trHeight w:val="28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27,621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23,738</w:t>
            </w:r>
          </w:p>
        </w:tc>
      </w:tr>
      <w:tr>
        <w:trPr>
          <w:trHeight w:val="257"/>
        </w:trPr>
        <w:tc>
          <w:tcPr>
            <w:tcW w:w="7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9"/>
        </w:trPr>
        <w:tc>
          <w:tcPr>
            <w:tcW w:w="7200" w:type="dxa"/>
            <w:vAlign w:val="bottom"/>
          </w:tcPr>
          <w:p>
            <w:pPr>
              <w:ind w:left="40"/>
              <w:spacing w:after="0"/>
              <w:rPr>
                <w:sz w:val="20"/>
                <w:szCs w:val="20"/>
                <w:color w:val="auto"/>
              </w:rPr>
            </w:pPr>
            <w:r>
              <w:rPr>
                <w:rFonts w:ascii="Arial" w:cs="Arial" w:eastAsia="Arial" w:hAnsi="Arial"/>
                <w:sz w:val="17"/>
                <w:szCs w:val="17"/>
                <w:b w:val="1"/>
                <w:bCs w:val="1"/>
                <w:color w:val="auto"/>
              </w:rPr>
              <w:t>Supplemental cash flow disclosure information:</w:t>
            </w: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Non-cash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200" w:type="dxa"/>
            <w:vAlign w:val="bottom"/>
          </w:tcPr>
          <w:p>
            <w:pPr>
              <w:ind w:left="280"/>
              <w:spacing w:after="0"/>
              <w:rPr>
                <w:sz w:val="20"/>
                <w:szCs w:val="20"/>
                <w:color w:val="auto"/>
              </w:rPr>
            </w:pPr>
            <w:r>
              <w:rPr>
                <w:rFonts w:ascii="Arial" w:cs="Arial" w:eastAsia="Arial" w:hAnsi="Arial"/>
                <w:sz w:val="17"/>
                <w:szCs w:val="17"/>
                <w:color w:val="auto"/>
              </w:rPr>
              <w:t>Deferred offering costs accrued at the end of period</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2,694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ectPr>
          <w:pgSz w:w="11900" w:h="16838" w:orient="portrait"/>
          <w:cols w:equalWidth="0" w:num="1">
            <w:col w:w="11420"/>
          </w:cols>
          <w:pgMar w:left="240" w:top="5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Adjusted EBITDA, and Adjusted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2017 and October 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Three Months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Nine Months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Three Months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w w:val="92"/>
              </w:rPr>
              <w:t>Nine Months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Ended</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Ended</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gridSpan w:val="6"/>
          </w:tcPr>
          <w:p>
            <w:pPr>
              <w:ind w:left="60"/>
              <w:spacing w:after="0"/>
              <w:rPr>
                <w:sz w:val="20"/>
                <w:szCs w:val="20"/>
                <w:color w:val="auto"/>
              </w:rPr>
            </w:pPr>
            <w:r>
              <w:rPr>
                <w:rFonts w:ascii="Arial" w:cs="Arial" w:eastAsia="Arial" w:hAnsi="Arial"/>
                <w:sz w:val="18"/>
                <w:szCs w:val="18"/>
                <w:color w:val="auto"/>
              </w:rPr>
              <w:t>October 1, 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w w:val="91"/>
              </w:rPr>
              <w:t>October 1, 2016</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700" w:type="dxa"/>
            <w:vAlign w:val="bottom"/>
            <w:tcBorders>
              <w:bottom w:val="single" w:sz="8" w:color="CCEEFF"/>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2"/>
              </w:rPr>
              <w:t>0.4%</w:t>
            </w: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640" w:type="dxa"/>
            <w:vAlign w:val="bottom"/>
            <w:tcBorders>
              <w:bottom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7"/>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66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14,851</w:t>
            </w:r>
          </w:p>
        </w:tc>
        <w:tc>
          <w:tcPr>
            <w:tcW w:w="700" w:type="dxa"/>
            <w:vAlign w:val="bottom"/>
            <w:gridSpan w:val="4"/>
          </w:tcPr>
          <w:p>
            <w:pPr>
              <w:jc w:val="center"/>
              <w:ind w:left="30"/>
              <w:spacing w:after="0"/>
              <w:rPr>
                <w:sz w:val="20"/>
                <w:szCs w:val="20"/>
                <w:color w:val="auto"/>
              </w:rPr>
            </w:pPr>
            <w:r>
              <w:rPr>
                <w:rFonts w:ascii="Arial" w:cs="Arial" w:eastAsia="Arial" w:hAnsi="Arial"/>
                <w:sz w:val="18"/>
                <w:szCs w:val="18"/>
                <w:color w:val="auto"/>
                <w:w w:val="92"/>
              </w:rPr>
              <w:t>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9,728</w:t>
            </w:r>
          </w:p>
        </w:tc>
        <w:tc>
          <w:tcPr>
            <w:tcW w:w="640" w:type="dxa"/>
            <w:vAlign w:val="bottom"/>
            <w:gridSpan w:val="3"/>
          </w:tcPr>
          <w:p>
            <w:pPr>
              <w:jc w:val="center"/>
              <w:ind w:left="110"/>
              <w:spacing w:after="0"/>
              <w:rPr>
                <w:sz w:val="20"/>
                <w:szCs w:val="20"/>
                <w:color w:val="auto"/>
              </w:rPr>
            </w:pPr>
            <w:r>
              <w:rPr>
                <w:rFonts w:ascii="Arial" w:cs="Arial" w:eastAsia="Arial" w:hAnsi="Arial"/>
                <w:sz w:val="18"/>
                <w:szCs w:val="18"/>
                <w:color w:val="auto"/>
                <w:w w:val="87"/>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40,965</w:t>
            </w:r>
          </w:p>
        </w:tc>
        <w:tc>
          <w:tcPr>
            <w:tcW w:w="6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29,377</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640" w:type="dxa"/>
            <w:vAlign w:val="bottom"/>
            <w:tcBorders>
              <w:bottom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7"/>
              </w:rPr>
              <w:t>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66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15,893</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15,352</w:t>
            </w:r>
          </w:p>
        </w:tc>
        <w:tc>
          <w:tcPr>
            <w:tcW w:w="700" w:type="dxa"/>
            <w:vAlign w:val="bottom"/>
            <w:gridSpan w:val="4"/>
          </w:tcPr>
          <w:p>
            <w:pPr>
              <w:jc w:val="center"/>
              <w:ind w:left="30"/>
              <w:spacing w:after="0"/>
              <w:rPr>
                <w:sz w:val="20"/>
                <w:szCs w:val="20"/>
                <w:color w:val="auto"/>
              </w:rPr>
            </w:pPr>
            <w:r>
              <w:rPr>
                <w:rFonts w:ascii="Arial" w:cs="Arial" w:eastAsia="Arial" w:hAnsi="Arial"/>
                <w:sz w:val="18"/>
                <w:szCs w:val="18"/>
                <w:color w:val="auto"/>
                <w:w w:val="92"/>
              </w:rPr>
              <w:t>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13,217</w:t>
            </w:r>
          </w:p>
        </w:tc>
        <w:tc>
          <w:tcPr>
            <w:tcW w:w="640" w:type="dxa"/>
            <w:vAlign w:val="bottom"/>
            <w:gridSpan w:val="3"/>
          </w:tcPr>
          <w:p>
            <w:pPr>
              <w:jc w:val="center"/>
              <w:ind w:left="110"/>
              <w:spacing w:after="0"/>
              <w:rPr>
                <w:sz w:val="20"/>
                <w:szCs w:val="20"/>
                <w:color w:val="auto"/>
              </w:rPr>
            </w:pPr>
            <w:r>
              <w:rPr>
                <w:rFonts w:ascii="Arial" w:cs="Arial" w:eastAsia="Arial" w:hAnsi="Arial"/>
                <w:sz w:val="18"/>
                <w:szCs w:val="18"/>
                <w:color w:val="auto"/>
                <w:w w:val="87"/>
              </w:rPr>
              <w:t>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44,404</w:t>
            </w:r>
          </w:p>
        </w:tc>
        <w:tc>
          <w:tcPr>
            <w:tcW w:w="6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38,237</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4.2%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31,912</w:t>
            </w:r>
          </w:p>
        </w:tc>
        <w:tc>
          <w:tcPr>
            <w:tcW w:w="700" w:type="dxa"/>
            <w:vAlign w:val="bottom"/>
            <w:tcBorders>
              <w:bottom w:val="single" w:sz="8" w:color="CCEEFF"/>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2"/>
              </w:rPr>
              <w:t>9.2%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27,532</w:t>
            </w:r>
          </w:p>
        </w:tc>
        <w:tc>
          <w:tcPr>
            <w:tcW w:w="640" w:type="dxa"/>
            <w:vAlign w:val="bottom"/>
            <w:tcBorders>
              <w:bottom w:val="single" w:sz="8" w:color="CCEEFF"/>
            </w:tcBorders>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7"/>
              </w:rPr>
              <w:t>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111,756</w:t>
            </w:r>
          </w:p>
        </w:tc>
        <w:tc>
          <w:tcPr>
            <w:tcW w:w="76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0"/>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107,974</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700" w:type="dxa"/>
            <w:vAlign w:val="bottom"/>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2"/>
              </w:rPr>
              <w:t>0.3%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64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7"/>
              </w:rPr>
              <w:t>0.3%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6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8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2,702</w:t>
            </w:r>
          </w:p>
        </w:tc>
        <w:tc>
          <w:tcPr>
            <w:tcW w:w="6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8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2,271</w:t>
            </w:r>
          </w:p>
        </w:tc>
        <w:tc>
          <w:tcPr>
            <w:tcW w:w="6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700" w:type="dxa"/>
            <w:vAlign w:val="bottom"/>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2"/>
              </w:rPr>
              <w:t>0.1%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4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7"/>
              </w:rPr>
              <w:t>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6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w:t>
            </w:r>
          </w:p>
        </w:tc>
        <w:tc>
          <w:tcPr>
            <w:tcW w:w="700" w:type="dxa"/>
            <w:vAlign w:val="bottom"/>
            <w:gridSpan w:val="4"/>
          </w:tcPr>
          <w:p>
            <w:pPr>
              <w:jc w:val="center"/>
              <w:ind w:left="30"/>
              <w:spacing w:after="0"/>
              <w:rPr>
                <w:sz w:val="20"/>
                <w:szCs w:val="20"/>
                <w:color w:val="auto"/>
              </w:rPr>
            </w:pPr>
            <w:r>
              <w:rPr>
                <w:rFonts w:ascii="Arial" w:cs="Arial" w:eastAsia="Arial" w:hAnsi="Arial"/>
                <w:sz w:val="18"/>
                <w:szCs w:val="18"/>
                <w:color w:val="auto"/>
                <w:w w:val="92"/>
              </w:rPr>
              <w:t>0.2%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c>
          <w:tcPr>
            <w:tcW w:w="640" w:type="dxa"/>
            <w:vAlign w:val="bottom"/>
            <w:gridSpan w:val="3"/>
          </w:tcPr>
          <w:p>
            <w:pPr>
              <w:jc w:val="center"/>
              <w:ind w:left="110"/>
              <w:spacing w:after="0"/>
              <w:rPr>
                <w:sz w:val="20"/>
                <w:szCs w:val="20"/>
                <w:color w:val="auto"/>
              </w:rPr>
            </w:pPr>
            <w:r>
              <w:rPr>
                <w:rFonts w:ascii="Arial" w:cs="Arial" w:eastAsia="Arial" w:hAnsi="Arial"/>
                <w:sz w:val="18"/>
                <w:szCs w:val="18"/>
                <w:color w:val="auto"/>
                <w:w w:val="87"/>
              </w:rPr>
              <w:t>0.2%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1,896</w:t>
            </w:r>
          </w:p>
        </w:tc>
        <w:tc>
          <w:tcPr>
            <w:tcW w:w="6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1,672</w:t>
            </w: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700" w:type="dxa"/>
            <w:vAlign w:val="bottom"/>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2"/>
              </w:rPr>
              <w:t>0.1%</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4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87"/>
              </w:rPr>
              <w:t>0.1%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6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8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w:t>
            </w:r>
          </w:p>
        </w:tc>
        <w:tc>
          <w:tcPr>
            <w:tcW w:w="6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3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Borders>
              <w:bottom w:val="single" w:sz="8" w:color="auto"/>
            </w:tcBorders>
            <w:shd w:val="clear" w:color="auto" w:fill="CCEEFF"/>
          </w:tcPr>
          <w:p>
            <w:pPr>
              <w:spacing w:after="0"/>
              <w:rPr>
                <w:sz w:val="23"/>
                <w:szCs w:val="23"/>
                <w:color w:val="auto"/>
              </w:rPr>
            </w:pP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80" w:type="dxa"/>
            <w:vAlign w:val="bottom"/>
            <w:tcBorders>
              <w:bottom w:val="single" w:sz="8" w:color="auto"/>
            </w:tcBorders>
            <w:shd w:val="clear" w:color="auto" w:fill="CCEEFF"/>
          </w:tcPr>
          <w:p>
            <w:pPr>
              <w:spacing w:after="0"/>
              <w:rPr>
                <w:sz w:val="23"/>
                <w:szCs w:val="23"/>
                <w:color w:val="auto"/>
              </w:rPr>
            </w:pPr>
          </w:p>
        </w:tc>
        <w:tc>
          <w:tcPr>
            <w:tcW w:w="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0.4%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05"/>
        </w:trPr>
        <w:tc>
          <w:tcPr>
            <w:tcW w:w="334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Adjusted EBITDA/ Adjusted EBITDA</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36,161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gridSpan w:val="2"/>
            <w:vMerge w:val="restart"/>
          </w:tcPr>
          <w:p>
            <w:pPr>
              <w:ind w:left="80"/>
              <w:spacing w:after="0"/>
              <w:rPr>
                <w:sz w:val="20"/>
                <w:szCs w:val="20"/>
                <w:color w:val="auto"/>
              </w:rPr>
            </w:pPr>
            <w:r>
              <w:rPr>
                <w:rFonts w:ascii="Arial" w:cs="Arial" w:eastAsia="Arial" w:hAnsi="Arial"/>
                <w:sz w:val="15"/>
                <w:szCs w:val="15"/>
                <w:color w:val="auto"/>
                <w:w w:val="71"/>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30,738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134,686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116,803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Margin</w:t>
            </w:r>
          </w:p>
        </w:tc>
        <w:tc>
          <w:tcPr>
            <w:tcW w:w="44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700" w:type="dxa"/>
            <w:vAlign w:val="bottom"/>
            <w:gridSpan w:val="4"/>
          </w:tcPr>
          <w:p>
            <w:pPr>
              <w:jc w:val="center"/>
              <w:ind w:left="30"/>
              <w:spacing w:after="0"/>
              <w:rPr>
                <w:sz w:val="20"/>
                <w:szCs w:val="20"/>
                <w:color w:val="auto"/>
              </w:rPr>
            </w:pPr>
            <w:r>
              <w:rPr>
                <w:rFonts w:ascii="Arial" w:cs="Arial" w:eastAsia="Arial" w:hAnsi="Arial"/>
                <w:sz w:val="18"/>
                <w:szCs w:val="18"/>
                <w:color w:val="auto"/>
                <w:w w:val="90"/>
              </w:rPr>
              <w:t>10.4%</w:t>
            </w:r>
          </w:p>
        </w:tc>
        <w:tc>
          <w:tcPr>
            <w:tcW w:w="16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660" w:type="dxa"/>
            <w:vAlign w:val="bottom"/>
            <w:gridSpan w:val="4"/>
          </w:tcPr>
          <w:p>
            <w:pPr>
              <w:jc w:val="center"/>
              <w:ind w:left="90"/>
              <w:spacing w:after="0"/>
              <w:rPr>
                <w:sz w:val="20"/>
                <w:szCs w:val="20"/>
                <w:color w:val="auto"/>
              </w:rPr>
            </w:pPr>
            <w:r>
              <w:rPr>
                <w:rFonts w:ascii="Arial" w:cs="Arial" w:eastAsia="Arial" w:hAnsi="Arial"/>
                <w:sz w:val="18"/>
                <w:szCs w:val="18"/>
                <w:color w:val="auto"/>
                <w:w w:val="93"/>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76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12.8%</w:t>
            </w: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4"/>
                <w:szCs w:val="14"/>
                <w:color w:val="auto"/>
                <w:w w:val="88"/>
              </w:rPr>
              <w:t>Note: Percentages reflect line item as a percentage of net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3340" w:type="dxa"/>
            <w:vAlign w:val="bottom"/>
          </w:tcPr>
          <w:p>
            <w:pPr>
              <w:spacing w:after="0"/>
              <w:rPr>
                <w:sz w:val="24"/>
                <w:szCs w:val="24"/>
                <w:color w:val="auto"/>
              </w:rPr>
            </w:pPr>
          </w:p>
        </w:tc>
        <w:tc>
          <w:tcPr>
            <w:tcW w:w="208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4"/>
                <w:szCs w:val="24"/>
                <w:color w:val="auto"/>
              </w:rPr>
            </w:pPr>
          </w:p>
        </w:tc>
        <w:tc>
          <w:tcPr>
            <w:tcW w:w="1880" w:type="dxa"/>
            <w:vAlign w:val="bottom"/>
            <w:gridSpan w:val="7"/>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4"/>
          </w:tcPr>
          <w:p>
            <w:pPr>
              <w:ind w:left="20"/>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24"/>
                <w:szCs w:val="24"/>
                <w:color w:val="auto"/>
              </w:rPr>
            </w:pPr>
          </w:p>
        </w:tc>
        <w:tc>
          <w:tcPr>
            <w:tcW w:w="1800" w:type="dxa"/>
            <w:vAlign w:val="bottom"/>
            <w:gridSpan w:val="2"/>
          </w:tcPr>
          <w:p>
            <w:pPr>
              <w:jc w:val="right"/>
              <w:ind w:right="150"/>
              <w:spacing w:after="0"/>
              <w:rPr>
                <w:sz w:val="20"/>
                <w:szCs w:val="20"/>
                <w:color w:val="auto"/>
              </w:rPr>
            </w:pPr>
            <w:r>
              <w:rPr>
                <w:rFonts w:ascii="Arial" w:cs="Arial" w:eastAsia="Arial" w:hAnsi="Arial"/>
                <w:sz w:val="18"/>
                <w:szCs w:val="18"/>
                <w:color w:val="auto"/>
                <w:w w:val="97"/>
              </w:rPr>
              <w:t>Nine Months Ended</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080" w:type="dxa"/>
            <w:vAlign w:val="bottom"/>
            <w:gridSpan w:val="6"/>
          </w:tcPr>
          <w:p>
            <w:pPr>
              <w:jc w:val="center"/>
              <w:ind w:right="120"/>
              <w:spacing w:after="0"/>
              <w:rPr>
                <w:sz w:val="20"/>
                <w:szCs w:val="20"/>
                <w:color w:val="auto"/>
              </w:rPr>
            </w:pPr>
            <w:r>
              <w:rPr>
                <w:rFonts w:ascii="Arial" w:cs="Arial" w:eastAsia="Arial" w:hAnsi="Arial"/>
                <w:sz w:val="18"/>
                <w:szCs w:val="18"/>
                <w:color w:val="auto"/>
                <w:w w:val="88"/>
              </w:rPr>
              <w:t>September 30, 2017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5"/>
          </w:tcPr>
          <w:p>
            <w:pPr>
              <w:jc w:val="center"/>
              <w:ind w:right="440"/>
              <w:spacing w:after="0"/>
              <w:rPr>
                <w:sz w:val="20"/>
                <w:szCs w:val="20"/>
                <w:color w:val="auto"/>
              </w:rPr>
            </w:pPr>
            <w:r>
              <w:rPr>
                <w:rFonts w:ascii="Arial" w:cs="Arial" w:eastAsia="Arial" w:hAnsi="Arial"/>
                <w:sz w:val="18"/>
                <w:szCs w:val="18"/>
                <w:color w:val="auto"/>
                <w:w w:val="89"/>
              </w:rPr>
              <w:t>October 1, 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4"/>
          </w:tcPr>
          <w:p>
            <w:pPr>
              <w:ind w:left="20"/>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20"/>
                <w:szCs w:val="20"/>
                <w:color w:val="auto"/>
              </w:rPr>
            </w:pPr>
          </w:p>
        </w:tc>
        <w:tc>
          <w:tcPr>
            <w:tcW w:w="1800" w:type="dxa"/>
            <w:vAlign w:val="bottom"/>
            <w:gridSpan w:val="2"/>
          </w:tcPr>
          <w:p>
            <w:pPr>
              <w:jc w:val="right"/>
              <w:ind w:right="290"/>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3,026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17,120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24,467</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271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618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381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(i)</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1,219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Amortization of acquisition intangibles and</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(j)</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2,814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8,628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(k)</w:t>
            </w: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(2,853)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(12,623)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5,826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6,639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36,055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34,865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3" w:name="page14"/>
    <w:bookmarkEnd w:id="13"/>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fiscal quarter of 2017.</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the complete write-off of a cost based investment.</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management fees paid to KKR and Berkshire in accordance with our monitoring agreement with them.</w:t>
      </w:r>
    </w:p>
    <w:p>
      <w:pPr>
        <w:spacing w:after="0" w:line="1" w:lineRule="exact"/>
        <w:rPr>
          <w:rFonts w:ascii="Arial" w:cs="Arial" w:eastAsia="Arial" w:hAnsi="Arial"/>
          <w:sz w:val="14"/>
          <w:szCs w:val="14"/>
          <w:color w:val="auto"/>
        </w:rPr>
      </w:pPr>
    </w:p>
    <w:p>
      <w:pPr>
        <w:jc w:val="both"/>
        <w:ind w:left="500" w:hanging="330"/>
        <w:spacing w:after="0" w:line="24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1" w:lineRule="exact"/>
        <w:rPr>
          <w:rFonts w:ascii="Arial" w:cs="Arial" w:eastAsia="Arial" w:hAnsi="Arial"/>
          <w:sz w:val="14"/>
          <w:szCs w:val="14"/>
          <w:color w:val="auto"/>
        </w:rPr>
      </w:pPr>
    </w:p>
    <w:p>
      <w:pPr>
        <w:jc w:val="both"/>
        <w:ind w:left="500" w:hanging="330"/>
        <w:spacing w:after="0" w:line="260" w:lineRule="auto"/>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ind w:left="500" w:hanging="330"/>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Amounts accrued related to settlement of litigation. See Note 8 - Commitments and Contingencies in our unaudited condensed consolidated financial statements for further details.</w:t>
      </w:r>
    </w:p>
    <w:p>
      <w:pPr>
        <w:spacing w:after="0" w:line="12" w:lineRule="exact"/>
        <w:rPr>
          <w:rFonts w:ascii="Arial" w:cs="Arial" w:eastAsia="Arial" w:hAnsi="Arial"/>
          <w:sz w:val="13"/>
          <w:szCs w:val="13"/>
          <w:color w:val="auto"/>
        </w:rPr>
      </w:pPr>
    </w:p>
    <w:p>
      <w:pPr>
        <w:jc w:val="both"/>
        <w:ind w:left="500" w:hanging="330"/>
        <w:spacing w:after="0" w:line="260" w:lineRule="auto"/>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including our share of losses on equity method investments of $0.4 million, $0.2 million, $0.7 million and $1.0 million for the three months ended September 30, 2017 and October 1, 2016 and nine months ended September 30, 2017 and October 1, 2016, respectively; the amortization impact of the KKR Acquisition-related adjustments (e.g., fair value of leasehold interests) of $(0.1) million, $(0.1) million, $(0.2) million and $(0.6) million for the three months ended September 30, 2017 and October 1, 2016 and nine months ended September 30, 2017 and October 1, 2016, respectively, related to prior acquisitions; expenses related to preparation for being an SEC registrant that were not directly attributable to the IPO and therefore not charged to equity of $0.6 million, $0.6 million, $1.8 million and $0.9 million for the three months ended September 30, 2017 and October 1, 2016 and nine months ended September 30, 2017 and October 1, 2016, respectively; differences between the timing of expense versus cash payments related to contributions to charitable organizations of $(0.3) million for three months ended September 30, 2017 and October 1, 2016, and $(0.8) million during nine months ended September 30, 2017 and October 1, 2016; costs of severance and relocation of $0.7 million, $0.4 million, $1.0 million, and $0.8 million for the three months ended September 30, 2017 and October 1, 2016 and nine months ended September 30, 2017 and October 1, 2016 respectively; and other expenses and adjustments totaling $0.4 million, $0.4 million, $0.5 million, and $0.6 million for the three months ended September 30, 2017 and October 1, 2016 and nine months ended September 30, 2017 and October 1, 2016, respectively.</w:t>
      </w:r>
    </w:p>
    <w:p>
      <w:pPr>
        <w:spacing w:after="0" w:line="1" w:lineRule="exact"/>
        <w:rPr>
          <w:rFonts w:ascii="Arial" w:cs="Arial" w:eastAsia="Arial" w:hAnsi="Arial"/>
          <w:sz w:val="13"/>
          <w:szCs w:val="13"/>
          <w:color w:val="auto"/>
        </w:rPr>
      </w:pPr>
    </w:p>
    <w:p>
      <w:pPr>
        <w:jc w:val="both"/>
        <w:ind w:left="500" w:hanging="330"/>
        <w:spacing w:after="0" w:line="24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additional expense incurred due to the increase in the carrying values of amortizing intangible assets as a result of the KKR Acquisition of $1.9 million for the three months ended September 30, 2017 and October 1, 2016 and $5.6 million for nine months ended September 30, 2017 and October 1, 2016.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of $1.0 million, $1.0 million, $3.1 million and $2.9 million for the three months ended September 30, 2017 and October 1, 2016 and nine months ended September 30, 2017 and October 1, 2016, respectively.</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effective tax rate.</w:t>
      </w:r>
    </w:p>
    <w:p>
      <w:pPr>
        <w:spacing w:after="0" w:line="31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 For the Three and Nine Months Ended September 30, 2017 and October 1, 2016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Nine Months Ended</w:t>
            </w:r>
          </w:p>
        </w:tc>
        <w:tc>
          <w:tcPr>
            <w:tcW w:w="1520" w:type="dxa"/>
            <w:vAlign w:val="bottom"/>
          </w:tcPr>
          <w:p>
            <w:pPr>
              <w:jc w:val="right"/>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30, 2017</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1, 2016</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September 30, 2017</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Comparable Store Sales Growth </w:t>
            </w:r>
            <w:r>
              <w:rPr>
                <w:rFonts w:ascii="Arial" w:cs="Arial" w:eastAsia="Arial" w:hAnsi="Arial"/>
                <w:sz w:val="21"/>
                <w:szCs w:val="21"/>
                <w:color w:val="auto"/>
                <w:vertAlign w:val="superscript"/>
              </w:rPr>
              <w:t>(a)</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4"/>
                <w:szCs w:val="2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4"/>
                <w:szCs w:val="2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1"/>
        </w:trPr>
        <w:tc>
          <w:tcPr>
            <w:tcW w:w="4960" w:type="dxa"/>
            <w:vAlign w:val="bottom"/>
            <w:tcBorders>
              <w:bottom w:val="single" w:sz="8" w:color="CCEEFF"/>
            </w:tcBorders>
            <w:shd w:val="clear" w:color="auto" w:fill="CCEEFF"/>
          </w:tcPr>
          <w:p>
            <w:pPr>
              <w:spacing w:after="0"/>
              <w:rPr>
                <w:sz w:val="5"/>
                <w:szCs w:val="5"/>
                <w:color w:val="auto"/>
              </w:rPr>
            </w:pPr>
          </w:p>
        </w:tc>
        <w:tc>
          <w:tcPr>
            <w:tcW w:w="15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5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5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5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960" w:type="dxa"/>
            <w:vAlign w:val="bottom"/>
          </w:tcPr>
          <w:p>
            <w:pPr>
              <w:ind w:left="40"/>
              <w:spacing w:after="0"/>
              <w:rPr>
                <w:sz w:val="20"/>
                <w:szCs w:val="20"/>
                <w:color w:val="auto"/>
              </w:rPr>
            </w:pPr>
            <w:r>
              <w:rPr>
                <w:rFonts w:ascii="Arial" w:cs="Arial" w:eastAsia="Arial" w:hAnsi="Arial"/>
                <w:sz w:val="16"/>
                <w:szCs w:val="16"/>
                <w:color w:val="auto"/>
              </w:rPr>
              <w:t>Adjusted Comparable Store Sales Growth</w:t>
            </w:r>
            <w:r>
              <w:rPr>
                <w:rFonts w:ascii="Arial" w:cs="Arial" w:eastAsia="Arial" w:hAnsi="Arial"/>
                <w:sz w:val="21"/>
                <w:szCs w:val="21"/>
                <w:color w:val="auto"/>
                <w:vertAlign w:val="superscript"/>
              </w:rPr>
              <w:t>(b)</w:t>
            </w: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both"/>
        <w:ind w:left="660" w:hanging="328"/>
        <w:spacing w:after="0" w:line="24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Total comparable store sales calculated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1" w:lineRule="exact"/>
        <w:rPr>
          <w:rFonts w:ascii="Arial" w:cs="Arial" w:eastAsia="Arial" w:hAnsi="Arial"/>
          <w:sz w:val="14"/>
          <w:szCs w:val="14"/>
          <w:color w:val="auto"/>
        </w:rPr>
      </w:pPr>
    </w:p>
    <w:p>
      <w:pPr>
        <w:jc w:val="both"/>
        <w:ind w:left="660" w:hanging="328"/>
        <w:spacing w:after="0" w:line="291" w:lineRule="auto"/>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decrease of 1.3% and1.0% from total comparable store sales growth based on consolidated net revenue for the three months ended September 30, 2017 and October 1, 2016, respectively, and a decrease of 0.5% and 0.5% from total comparable store sales growth based on consolidated net revenue for the nine months ended September 30, 2017 and October 1, 2016, respectively, and (ii) adjusted comparable store sales growth includes retail sales to the legacy partner’s customers (rather than the revenues recognized consistent with the management and services agreement), resulting in a decrease of 0.0% and 0.5% from total comparable store sales growth based on consolidated net revenue for the three months ended September 30, 2017 and October 1, 2016, respectively, and a decrease of 0.2% and 0.5% from total comparable store sales growth based on consolidated net revenue for the nine months ended September 30, 2017 and October 1, 2016, respectively.</w:t>
      </w:r>
    </w:p>
    <w:p>
      <w:pPr>
        <w:sectPr>
          <w:pgSz w:w="11900" w:h="16838" w:orient="portrait"/>
          <w:cols w:equalWidth="0" w:num="1">
            <w:col w:w="11420"/>
          </w:cols>
          <w:pgMar w:left="240" w:top="79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439" w:firstLine="8"/>
        <w:spacing w:after="0" w:line="323" w:lineRule="auto"/>
        <w:tabs>
          <w:tab w:leader="none" w:pos="4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Director of Communications</w:t>
      </w:r>
    </w:p>
    <w:p>
      <w:pPr>
        <w:spacing w:after="0" w:line="9" w:lineRule="exact"/>
        <w:rPr>
          <w:sz w:val="20"/>
          <w:szCs w:val="20"/>
          <w:color w:val="auto"/>
        </w:rPr>
      </w:pPr>
    </w:p>
    <w:p>
      <w:pPr>
        <w:ind w:right="7659"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448-2355 Kristina.gross@nationalvision.com</w:t>
      </w:r>
    </w:p>
    <w:sectPr>
      <w:pgSz w:w="11900" w:h="16838" w:orient="portrait"/>
      <w:cols w:equalWidth="0" w:num="1">
        <w:col w:w="10219"/>
      </w:cols>
      <w:pgMar w:left="2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470"/>
    </w:lvl>
  </w:abstractNum>
  <w:abstractNum w:abstractNumId="11">
    <w:nsid w:val="66EF438D"/>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2019-12-29T02:44:43Z</dcterms:created>
  <dcterms:modified xsi:type="dcterms:W3CDTF">2019-12-29T02:44:43Z</dcterms:modified>
</cp:coreProperties>
</file>