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GOODMAN MITCHELL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296 GRAYSON HIGHWAY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NATIONAL VISION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NVI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04/14/2004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Sr. VP &amp; General Counsel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LAWRENCEVILLE GA</w:t>
            </w:r>
          </w:p>
        </w:tc>
        <w:tc>
          <w:tcPr>
            <w:tcW w:w="1640" w:type="dxa"/>
            <w:vAlign w:val="bottom"/>
          </w:tcPr>
          <w:p>
            <w:pPr>
              <w:jc w:val="right"/>
              <w:ind w:right="6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30045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4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04/14/2004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86"/>
                <w:vertAlign w:val="subscript"/>
              </w:rPr>
              <w:t>19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15,017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Balance distribution of shares from disputed claims reserve created in Chapter 11 case of issuer.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Mitchell Goodman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04/15/2004</w:t>
            </w:r>
          </w:p>
        </w:tc>
      </w:tr>
      <w:tr>
        <w:trPr>
          <w:trHeight w:val="20"/>
        </w:trPr>
        <w:tc>
          <w:tcPr>
            <w:tcW w:w="1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1070" TargetMode="External"/><Relationship Id="rId13" Type="http://schemas.openxmlformats.org/officeDocument/2006/relationships/hyperlink" Target="http://www.sec.gov/cgi-bin/browse-edgar?action=getcompany&amp;CIK=00008682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2020-02-13T01:41:12Z</dcterms:created>
  <dcterms:modified xsi:type="dcterms:W3CDTF">2020-02-13T01:41:12Z</dcterms:modified>
</cp:coreProperties>
</file>