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b56847a3sctovtza.htm"/>
        <w:bookmarkStart w:id="1" w:name="ksb56847a3sctovtza"/>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SCHEDULE TO/A</w:t>
      </w:r>
      <w:r>
        <w:rPr>
          <w:rFonts w:ascii="Times New Roman;Times;serif" w:hAnsi="Times New Roman;Times;serif"/>
          <w:sz w:val="3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(Amendment No. 3)</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TENDER OFFER STATEMENT UNDER SECTION 14(D)(1) OF THE SECURITIES</w:t>
        <w:br/>
        <w:t>EXCHANGE ACT OF 1934</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NATIONAL VISION,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 Of Subject Company (Issuer))</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VISION HOLDING CORP.</w:t>
      </w:r>
      <w:r>
        <w:rPr>
          <w:rFonts w:ascii="Times New Roman;Times;serif" w:hAnsi="Times New Roman;Times;serif"/>
          <w:sz w:val="40"/>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VISION ACQUISITION CORP.</w:t>
      </w:r>
      <w:r>
        <w:rPr>
          <w:rFonts w:ascii="Times New Roman;Times;serif" w:hAnsi="Times New Roman;Times;serif"/>
          <w:sz w:val="40"/>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Berkshire Partners LLC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(Names of Filing Persons (Offerors))</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COMMON STOCK, PAR VALUE $0.01 PER SHARE</w:t>
      </w:r>
      <w:r>
        <w:rPr>
          <w:rFonts w:ascii="Times New Roman;Times;serif" w:hAnsi="Times New Roman;Times;serif"/>
          <w:sz w:val="17"/>
        </w:rPr>
        <w:br/>
        <w:t xml:space="preserve">(Title of Class of Securities)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63845P101</w:t>
      </w:r>
      <w:r>
        <w:rPr>
          <w:rFonts w:ascii="Times New Roman;Times;serif" w:hAnsi="Times New Roman;Times;serif"/>
          <w:sz w:val="17"/>
        </w:rPr>
        <w:br/>
        <w:t xml:space="preserve">(CUSIP Number of Class of Securities)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Vision Holding Corp.</w:t>
        <w:br/>
        <w:t>One Boston Place, Suite 3300</w:t>
        <w:br/>
        <w:t>Boston, MA 02108</w:t>
        <w:br/>
        <w:t>Telephone: (617) 227-0050</w:t>
      </w:r>
      <w:r>
        <w:rPr>
          <w:rFonts w:ascii="Times New Roman;Times;serif" w:hAnsi="Times New Roman;Times;serif"/>
          <w:sz w:val="17"/>
        </w:rPr>
        <w:br/>
        <w:t>(Name, Address and Telephone Number of Person Authorized to Receive Notices and</w:t>
        <w:br/>
        <w:t xml:space="preserve">Communications on Behalf of Filing Persons)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COPY TO:</w:t>
        <w:br/>
        <w:t>Steven M. Peck, Esq.</w:t>
        <w:br/>
        <w:t>Weil, Gotshal &amp; Manges LLP</w:t>
        <w:br/>
        <w:t>100 Federal Street</w:t>
        <w:br/>
        <w:t>Boston, Massachusetts 02110</w:t>
        <w:br/>
        <w:t>Telephone: (617) 772-8300</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CALCULATION OF FILING FEE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0"/>
        <w:gridCol w:w="4697"/>
        <w:gridCol w:w="101"/>
        <w:gridCol w:w="100"/>
        <w:gridCol w:w="5106"/>
        <w:gridCol w:w="101"/>
      </w:tblGrid>
      <w:tr>
        <w:trPr/>
        <w:tc>
          <w:tcPr>
            <w:tcW w:w="100" w:type="dxa"/>
            <w:tcBorders/>
            <w:shd w:fill="auto" w:val="clear"/>
            <w:vAlign w:val="bottom"/>
          </w:tcPr>
          <w:p>
            <w:pPr>
              <w:pStyle w:val="TableContents"/>
              <w:spacing w:before="0" w:after="283"/>
              <w:rPr/>
            </w:pPr>
            <w:r>
              <w:rPr/>
              <w:t> </w:t>
            </w:r>
          </w:p>
        </w:tc>
        <w:tc>
          <w:tcPr>
            <w:tcW w:w="469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510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10205" w:type="dxa"/>
            <w:gridSpan w:val="6"/>
            <w:tcBorders>
              <w:bottom w:val="single" w:sz="18" w:space="0" w:color="000000"/>
            </w:tcBorders>
            <w:shd w:fill="auto" w:val="clear"/>
            <w:tcMar>
              <w:bottom w:w="28" w:type="dxa"/>
            </w:tcMar>
            <w:vAlign w:val="bottom"/>
          </w:tcPr>
          <w:p>
            <w:pPr>
              <w:pStyle w:val="TableContents"/>
              <w:spacing w:before="0" w:after="283"/>
              <w:jc w:val="left"/>
              <w:rPr/>
            </w:pPr>
            <w:r>
              <w:rPr/>
              <w:t> </w:t>
            </w:r>
          </w:p>
        </w:tc>
      </w:tr>
      <w:tr>
        <w:trPr/>
        <w:tc>
          <w:tcPr>
            <w:tcW w:w="100" w:type="dxa"/>
            <w:tcBorders/>
            <w:shd w:fill="auto" w:val="clear"/>
            <w:vAlign w:val="bottom"/>
          </w:tcPr>
          <w:p>
            <w:pPr>
              <w:pStyle w:val="TableContents"/>
              <w:spacing w:before="0" w:after="283"/>
              <w:rPr/>
            </w:pPr>
            <w:r>
              <w:rPr/>
              <w:t> </w:t>
            </w:r>
          </w:p>
        </w:tc>
        <w:tc>
          <w:tcPr>
            <w:tcW w:w="4697" w:type="dxa"/>
            <w:tcBorders/>
            <w:shd w:fill="auto" w:val="clear"/>
            <w:vAlign w:val="bottom"/>
          </w:tcPr>
          <w:p>
            <w:pPr>
              <w:pStyle w:val="TableContents"/>
              <w:spacing w:before="0" w:after="283"/>
              <w:jc w:val="center"/>
              <w:rPr/>
            </w:pPr>
            <w:r>
              <w:rPr/>
              <w:t>Transaction Valuation*</w:t>
            </w:r>
          </w:p>
        </w:tc>
        <w:tc>
          <w:tcPr>
            <w:tcW w:w="101" w:type="dxa"/>
            <w:tcBorders>
              <w:right w:val="single" w:sz="12" w:space="0" w:color="000000"/>
            </w:tcBorders>
            <w:shd w:fill="auto" w:val="clear"/>
            <w:tcMar>
              <w:right w:w="28" w:type="dxa"/>
            </w:tcM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5106" w:type="dxa"/>
            <w:tcBorders/>
            <w:shd w:fill="auto" w:val="clear"/>
            <w:vAlign w:val="bottom"/>
          </w:tcPr>
          <w:p>
            <w:pPr>
              <w:pStyle w:val="TableContents"/>
              <w:spacing w:before="0" w:after="283"/>
              <w:jc w:val="center"/>
              <w:rPr/>
            </w:pPr>
            <w:r>
              <w:rPr/>
              <w:t>Amount Of Filing Fee**</w:t>
            </w:r>
          </w:p>
        </w:tc>
        <w:tc>
          <w:tcPr>
            <w:tcW w:w="101" w:type="dxa"/>
            <w:tcBorders/>
            <w:shd w:fill="auto" w:val="clear"/>
            <w:vAlign w:val="bottom"/>
          </w:tcPr>
          <w:p>
            <w:pPr>
              <w:pStyle w:val="TableContents"/>
              <w:spacing w:before="0" w:after="283"/>
              <w:rPr/>
            </w:pPr>
            <w:r>
              <w:rPr/>
              <w:t> </w:t>
            </w:r>
          </w:p>
        </w:tc>
      </w:tr>
      <w:tr>
        <w:trPr/>
        <w:tc>
          <w:tcPr>
            <w:tcW w:w="100" w:type="dxa"/>
            <w:tcBorders>
              <w:top w:val="single" w:sz="12" w:space="0" w:color="000000"/>
            </w:tcBorders>
            <w:shd w:fill="auto" w:val="clear"/>
            <w:tcMar>
              <w:top w:w="28" w:type="dxa"/>
            </w:tcMar>
            <w:vAlign w:val="bottom"/>
          </w:tcPr>
          <w:p>
            <w:pPr>
              <w:pStyle w:val="TableContents"/>
              <w:spacing w:before="0" w:after="283"/>
              <w:rPr/>
            </w:pPr>
            <w:r>
              <w:rPr/>
              <w:t> </w:t>
            </w:r>
          </w:p>
        </w:tc>
        <w:tc>
          <w:tcPr>
            <w:tcW w:w="4697" w:type="dxa"/>
            <w:tcBorders>
              <w:top w:val="single" w:sz="12" w:space="0" w:color="000000"/>
            </w:tcBorders>
            <w:shd w:fill="auto" w:val="clear"/>
            <w:tcMar>
              <w:top w:w="28" w:type="dxa"/>
            </w:tcMar>
            <w:vAlign w:val="bottom"/>
          </w:tcPr>
          <w:p>
            <w:pPr>
              <w:pStyle w:val="TableContents"/>
              <w:spacing w:before="0" w:after="0"/>
              <w:ind w:left="450" w:right="0" w:hanging="225"/>
              <w:jc w:val="center"/>
              <w:rPr/>
            </w:pPr>
            <w:r>
              <w:rPr/>
              <w:t>$43,625,193</w:t>
            </w:r>
          </w:p>
        </w:tc>
        <w:tc>
          <w:tcPr>
            <w:tcW w:w="101" w:type="dxa"/>
            <w:tcBorders>
              <w:top w:val="single" w:sz="12" w:space="0" w:color="000000"/>
              <w:right w:val="single" w:sz="12" w:space="0" w:color="000000"/>
            </w:tcBorders>
            <w:shd w:fill="auto" w:val="clear"/>
            <w:tcMar>
              <w:top w:w="28" w:type="dxa"/>
              <w:right w:w="28" w:type="dxa"/>
            </w:tcMar>
            <w:vAlign w:val="bottom"/>
          </w:tcPr>
          <w:p>
            <w:pPr>
              <w:pStyle w:val="TableContents"/>
              <w:spacing w:before="0" w:after="283"/>
              <w:rPr/>
            </w:pPr>
            <w:r>
              <w:rPr/>
              <w:t> </w:t>
            </w:r>
          </w:p>
        </w:tc>
        <w:tc>
          <w:tcPr>
            <w:tcW w:w="100" w:type="dxa"/>
            <w:tcBorders>
              <w:top w:val="single" w:sz="12" w:space="0" w:color="000000"/>
            </w:tcBorders>
            <w:shd w:fill="auto" w:val="clear"/>
            <w:tcMar>
              <w:top w:w="28" w:type="dxa"/>
            </w:tcMar>
            <w:vAlign w:val="bottom"/>
          </w:tcPr>
          <w:p>
            <w:pPr>
              <w:pStyle w:val="TableContents"/>
              <w:spacing w:before="0" w:after="283"/>
              <w:rPr/>
            </w:pPr>
            <w:r>
              <w:rPr/>
              <w:t> </w:t>
            </w:r>
          </w:p>
        </w:tc>
        <w:tc>
          <w:tcPr>
            <w:tcW w:w="5106" w:type="dxa"/>
            <w:tcBorders>
              <w:top w:val="single" w:sz="12" w:space="0" w:color="000000"/>
            </w:tcBorders>
            <w:shd w:fill="auto" w:val="clear"/>
            <w:tcMar>
              <w:top w:w="28" w:type="dxa"/>
            </w:tcMar>
          </w:tcPr>
          <w:p>
            <w:pPr>
              <w:pStyle w:val="TableContents"/>
              <w:spacing w:before="0" w:after="283"/>
              <w:jc w:val="center"/>
              <w:rPr/>
            </w:pPr>
            <w:r>
              <w:rPr/>
              <w:t>$ 5,134.69</w:t>
            </w:r>
          </w:p>
        </w:tc>
        <w:tc>
          <w:tcPr>
            <w:tcW w:w="101" w:type="dxa"/>
            <w:tcBorders>
              <w:top w:val="single" w:sz="12" w:space="0" w:color="000000"/>
            </w:tcBorders>
            <w:shd w:fill="auto" w:val="clear"/>
            <w:tcMar>
              <w:top w:w="28" w:type="dxa"/>
            </w:tcMar>
            <w:vAlign w:val="bottom"/>
          </w:tcPr>
          <w:p>
            <w:pPr>
              <w:pStyle w:val="TableContents"/>
              <w:spacing w:before="0" w:after="283"/>
              <w:rPr/>
            </w:pPr>
            <w:r>
              <w:rPr/>
              <w:t> </w:t>
            </w:r>
          </w:p>
        </w:tc>
      </w:tr>
      <w:tr>
        <w:trPr/>
        <w:tc>
          <w:tcPr>
            <w:tcW w:w="10205" w:type="dxa"/>
            <w:gridSpan w:val="6"/>
            <w:tcBorders>
              <w:top w:val="single" w:sz="18" w:space="0" w:color="000000"/>
            </w:tcBorders>
            <w:shd w:fill="auto" w:val="clear"/>
            <w:tcMar>
              <w:top w:w="28" w:type="dxa"/>
            </w:tcMar>
            <w:vAlign w:val="bottom"/>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6800"/>
        <w:gridCol w:w="2259"/>
        <w:gridCol w:w="1146"/>
      </w:tblGrid>
      <w:tr>
        <w:trPr/>
        <w:tc>
          <w:tcPr>
            <w:tcW w:w="6800"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6800" w:type="dxa"/>
            <w:tcBorders/>
            <w:shd w:fill="auto" w:val="clear"/>
          </w:tcPr>
          <w:p>
            <w:pPr>
              <w:pStyle w:val="TableContents"/>
              <w:spacing w:before="0" w:after="283"/>
              <w:jc w:val="left"/>
              <w:rPr/>
            </w:pPr>
            <w:r>
              <w:rPr/>
              <w:t>*</w:t>
            </w:r>
          </w:p>
        </w:tc>
        <w:tc>
          <w:tcPr>
            <w:tcW w:w="2259"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Estimated solely for purposes of calculating amount of filing fee in accordance with Rule 0-11(d) under the Securities Exchange Act of 1934, as amended (the Exchange Act). The calculation of the transaction valuation is based on 6,017,268 shares of common stock of National Vision, Inc. (NVI) at a purchase price of $7.25 per share (including shares of common stock issuable on the exercise of outstanding options).</w:t>
            </w:r>
          </w:p>
        </w:tc>
      </w:tr>
      <w:tr>
        <w:trPr/>
        <w:tc>
          <w:tcPr>
            <w:tcW w:w="6800" w:type="dxa"/>
            <w:tcBorders/>
            <w:shd w:fill="auto" w:val="clear"/>
            <w:vAlign w:val="center"/>
          </w:tcPr>
          <w:p>
            <w:pPr>
              <w:pStyle w:val="TableContents"/>
              <w:spacing w:before="0" w:after="283"/>
              <w:rPr/>
            </w:pPr>
            <w:r>
              <w:rPr/>
              <w:t> </w:t>
            </w:r>
          </w:p>
        </w:tc>
        <w:tc>
          <w:tcPr>
            <w:tcW w:w="3405" w:type="dxa"/>
            <w:gridSpan w:val="2"/>
            <w:tcBorders/>
            <w:shd w:fill="auto" w:val="clear"/>
          </w:tcPr>
          <w:p>
            <w:pPr>
              <w:pStyle w:val="TableContents"/>
              <w:spacing w:before="0" w:after="283"/>
              <w:rPr>
                <w:sz w:val="4"/>
                <w:szCs w:val="4"/>
              </w:rPr>
            </w:pPr>
            <w:r>
              <w:rPr>
                <w:sz w:val="4"/>
                <w:szCs w:val="4"/>
              </w:rPr>
            </w:r>
          </w:p>
        </w:tc>
      </w:tr>
      <w:tr>
        <w:trPr/>
        <w:tc>
          <w:tcPr>
            <w:tcW w:w="6800" w:type="dxa"/>
            <w:tcBorders/>
            <w:shd w:fill="auto" w:val="clear"/>
          </w:tcPr>
          <w:p>
            <w:pPr>
              <w:pStyle w:val="TableContents"/>
              <w:spacing w:before="0" w:after="283"/>
              <w:jc w:val="left"/>
              <w:rPr/>
            </w:pPr>
            <w:r>
              <w:rPr/>
              <w:t>**</w:t>
            </w:r>
          </w:p>
        </w:tc>
        <w:tc>
          <w:tcPr>
            <w:tcW w:w="2259" w:type="dxa"/>
            <w:tcBorders/>
            <w:shd w:fill="auto" w:val="clear"/>
          </w:tcPr>
          <w:p>
            <w:pPr>
              <w:pStyle w:val="TableContents"/>
              <w:spacing w:before="0" w:after="283"/>
              <w:rPr/>
            </w:pPr>
            <w:r>
              <w:rPr/>
              <w:t> </w:t>
            </w:r>
          </w:p>
        </w:tc>
        <w:tc>
          <w:tcPr>
            <w:tcW w:w="1146" w:type="dxa"/>
            <w:tcBorders/>
            <w:shd w:fill="auto" w:val="clear"/>
          </w:tcPr>
          <w:p>
            <w:pPr>
              <w:pStyle w:val="TableContents"/>
              <w:spacing w:before="0" w:after="283"/>
              <w:rPr/>
            </w:pPr>
            <w:r>
              <w:rPr/>
              <w:t>The amount of the filing fee, calculated in accordance with Rule 0-11(d) of the Exchange Act, equals one-fiftieth of one percent of the transaction valuation.</w:t>
            </w:r>
          </w:p>
        </w:tc>
      </w:tr>
    </w:tbl>
    <w:tbl>
      <w:tblPr>
        <w:tblW w:w="5000" w:type="pct"/>
        <w:jc w:val="left"/>
        <w:tblInd w:w="0" w:type="dxa"/>
        <w:tblCellMar>
          <w:top w:w="0" w:type="dxa"/>
          <w:left w:w="0" w:type="dxa"/>
          <w:bottom w:w="0" w:type="dxa"/>
          <w:right w:w="0" w:type="dxa"/>
        </w:tblCellMar>
      </w:tblPr>
      <w:tblGrid>
        <w:gridCol w:w="306"/>
        <w:gridCol w:w="102"/>
        <w:gridCol w:w="9797"/>
      </w:tblGrid>
      <w:tr>
        <w:trPr/>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283"/>
              <w:rPr/>
            </w:pPr>
            <w:r>
              <w:rPr/>
              <w:t>Check the box if any part of the fee is offset as provided by Rule 0-11(a)(2) and identify the filing with which the offsetting fee was previously paid. Identify the previous filing by registration statement number or the Form or Schedule and the date of its filing.</w:t>
            </w:r>
          </w:p>
        </w:tc>
      </w:tr>
    </w:tbl>
    <w:tbl>
      <w:tblPr>
        <w:tblW w:w="5000" w:type="pct"/>
        <w:jc w:val="center"/>
        <w:tblInd w:w="0" w:type="dxa"/>
        <w:tblCellMar>
          <w:top w:w="0" w:type="dxa"/>
          <w:left w:w="0" w:type="dxa"/>
          <w:bottom w:w="0" w:type="dxa"/>
          <w:right w:w="0" w:type="dxa"/>
        </w:tblCellMar>
      </w:tblPr>
      <w:tblGrid>
        <w:gridCol w:w="4900"/>
        <w:gridCol w:w="202"/>
        <w:gridCol w:w="5103"/>
      </w:tblGrid>
      <w:tr>
        <w:trPr/>
        <w:tc>
          <w:tcPr>
            <w:tcW w:w="490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103" w:type="dxa"/>
            <w:tcBorders/>
            <w:shd w:fill="auto" w:val="clear"/>
            <w:vAlign w:val="bottom"/>
          </w:tcPr>
          <w:p>
            <w:pPr>
              <w:pStyle w:val="TableContents"/>
              <w:spacing w:before="0" w:after="283"/>
              <w:rPr/>
            </w:pPr>
            <w:r>
              <w:rPr/>
              <w:t> </w:t>
            </w:r>
          </w:p>
        </w:tc>
      </w:tr>
      <w:tr>
        <w:trPr/>
        <w:tc>
          <w:tcPr>
            <w:tcW w:w="4900" w:type="dxa"/>
            <w:tcBorders/>
            <w:shd w:fill="auto" w:val="clear"/>
          </w:tcPr>
          <w:p>
            <w:pPr>
              <w:pStyle w:val="TableContents"/>
              <w:spacing w:before="0" w:after="0"/>
              <w:ind w:left="0" w:right="0" w:hanging="0"/>
              <w:rPr/>
            </w:pPr>
            <w:r>
              <w:rPr/>
              <w:t xml:space="preserve">Amount Previously Paid: $5,134.69 </w:t>
            </w:r>
          </w:p>
        </w:tc>
        <w:tc>
          <w:tcPr>
            <w:tcW w:w="202" w:type="dxa"/>
            <w:tcBorders/>
            <w:shd w:fill="auto" w:val="clear"/>
            <w:vAlign w:val="bottom"/>
          </w:tcPr>
          <w:p>
            <w:pPr>
              <w:pStyle w:val="TableContents"/>
              <w:spacing w:before="0" w:after="283"/>
              <w:rPr/>
            </w:pPr>
            <w:r>
              <w:rPr/>
              <w:t> </w:t>
            </w:r>
          </w:p>
        </w:tc>
        <w:tc>
          <w:tcPr>
            <w:tcW w:w="5103" w:type="dxa"/>
            <w:tcBorders/>
            <w:shd w:fill="auto" w:val="clear"/>
          </w:tcPr>
          <w:p>
            <w:pPr>
              <w:pStyle w:val="TableContents"/>
              <w:spacing w:before="0" w:after="283"/>
              <w:jc w:val="left"/>
              <w:rPr/>
            </w:pPr>
            <w:r>
              <w:rPr/>
              <w:t>Form or Registration No.: Schedule TO-T</w:t>
            </w:r>
          </w:p>
        </w:tc>
      </w:tr>
      <w:tr>
        <w:trPr/>
        <w:tc>
          <w:tcPr>
            <w:tcW w:w="4900" w:type="dxa"/>
            <w:tcBorders/>
            <w:shd w:fill="auto" w:val="clear"/>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283"/>
              <w:rPr/>
            </w:pPr>
            <w:r>
              <w:rPr/>
              <w:t> </w:t>
            </w:r>
          </w:p>
        </w:tc>
        <w:tc>
          <w:tcPr>
            <w:tcW w:w="5103" w:type="dxa"/>
            <w:tcBorders/>
            <w:shd w:fill="auto" w:val="clear"/>
          </w:tcPr>
          <w:p>
            <w:pPr>
              <w:pStyle w:val="TableContents"/>
              <w:spacing w:before="0" w:after="283"/>
              <w:jc w:val="left"/>
              <w:rPr/>
            </w:pPr>
            <w:r>
              <w:rPr/>
              <w:t> </w:t>
            </w:r>
          </w:p>
        </w:tc>
      </w:tr>
      <w:tr>
        <w:trPr/>
        <w:tc>
          <w:tcPr>
            <w:tcW w:w="4900" w:type="dxa"/>
            <w:tcBorders/>
            <w:shd w:fill="auto" w:val="clear"/>
          </w:tcPr>
          <w:p>
            <w:pPr>
              <w:pStyle w:val="TableContents"/>
              <w:spacing w:before="0" w:after="0"/>
              <w:ind w:left="0" w:right="0" w:hanging="0"/>
              <w:rPr/>
            </w:pPr>
            <w:r>
              <w:rPr/>
              <w:t xml:space="preserve">Filing Party: Vision Holding Corp. </w:t>
            </w:r>
          </w:p>
        </w:tc>
        <w:tc>
          <w:tcPr>
            <w:tcW w:w="202" w:type="dxa"/>
            <w:tcBorders/>
            <w:shd w:fill="auto" w:val="clear"/>
            <w:vAlign w:val="bottom"/>
          </w:tcPr>
          <w:p>
            <w:pPr>
              <w:pStyle w:val="TableContents"/>
              <w:spacing w:before="0" w:after="283"/>
              <w:rPr/>
            </w:pPr>
            <w:r>
              <w:rPr/>
              <w:t> </w:t>
            </w:r>
          </w:p>
        </w:tc>
        <w:tc>
          <w:tcPr>
            <w:tcW w:w="5103" w:type="dxa"/>
            <w:tcBorders/>
            <w:shd w:fill="auto" w:val="clear"/>
          </w:tcPr>
          <w:p>
            <w:pPr>
              <w:pStyle w:val="TableContents"/>
              <w:spacing w:before="0" w:after="283"/>
              <w:jc w:val="left"/>
              <w:rPr/>
            </w:pPr>
            <w:r>
              <w:rPr/>
              <w:t>Date Filed: July 28, 2005</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0"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rPr/>
            </w:pPr>
            <w:r>
              <w:rPr/>
              <w:t>Check the box if the filing relates to preliminary communications made before the commencement of a tender offer.</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boxes below to designate any transactions to which the statement relates: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third-party tender offer subject to Rule 14d-1.</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issuer tender offer subject to Rule 13e-4.</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going-private transaction subject to Rule 13e-3.</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amendment to Schedule 13D under Rule 13d-2.</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following box if the filing is a final amendment reporting the results of the tender offer: ☑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61"/>
        <w:gridCol w:w="556"/>
        <w:gridCol w:w="329"/>
        <w:gridCol w:w="329"/>
        <w:gridCol w:w="329"/>
        <w:gridCol w:w="329"/>
        <w:gridCol w:w="329"/>
        <w:gridCol w:w="329"/>
        <w:gridCol w:w="6393"/>
      </w:tblGrid>
      <w:tr>
        <w:trPr/>
        <w:tc>
          <w:tcPr>
            <w:tcW w:w="26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6393" w:type="dxa"/>
            <w:tcBorders/>
            <w:shd w:fill="auto" w:val="clear"/>
            <w:vAlign w:val="center"/>
          </w:tcPr>
          <w:p>
            <w:pPr>
              <w:pStyle w:val="TableContents"/>
              <w:spacing w:before="0" w:after="283"/>
              <w:rPr>
                <w:sz w:val="4"/>
                <w:szCs w:val="4"/>
              </w:rPr>
            </w:pPr>
            <w:r>
              <w:rPr>
                <w:sz w:val="4"/>
                <w:szCs w:val="4"/>
              </w:rPr>
            </w:r>
          </w:p>
        </w:tc>
      </w:tr>
      <w:tr>
        <w:trPr/>
        <w:tc>
          <w:tcPr>
            <w:tcW w:w="261" w:type="dxa"/>
            <w:tcBorders/>
            <w:shd w:fill="auto" w:val="clear"/>
            <w:vAlign w:val="center"/>
          </w:tcPr>
          <w:p>
            <w:pPr>
              <w:pStyle w:val="TableContents"/>
              <w:spacing w:before="0" w:after="283"/>
              <w:rPr>
                <w:sz w:val="4"/>
                <w:szCs w:val="4"/>
              </w:rPr>
            </w:pPr>
            <w:r>
              <w:rPr>
                <w:sz w:val="4"/>
                <w:szCs w:val="4"/>
              </w:rPr>
            </w:r>
          </w:p>
        </w:tc>
        <w:tc>
          <w:tcPr>
            <w:tcW w:w="8923" w:type="dxa"/>
            <w:gridSpan w:val="8"/>
            <w:tcBorders/>
            <w:shd w:fill="auto" w:val="clear"/>
            <w:vAlign w:val="center"/>
          </w:tcPr>
          <w:p>
            <w:pPr>
              <w:pStyle w:val="TableContents"/>
              <w:spacing w:before="0" w:after="283"/>
              <w:rPr/>
            </w:pPr>
            <w:hyperlink w:anchor="000">
              <w:r>
                <w:rPr>
                  <w:rStyle w:val="InternetLink"/>
                </w:rPr>
                <w:t>Item 8 Certain Information Concerning the Company</w:t>
              </w:r>
            </w:hyperlink>
          </w:p>
        </w:tc>
      </w:tr>
      <w:tr>
        <w:trPr/>
        <w:tc>
          <w:tcPr>
            <w:tcW w:w="261" w:type="dxa"/>
            <w:tcBorders/>
            <w:shd w:fill="auto" w:val="clear"/>
            <w:vAlign w:val="center"/>
          </w:tcPr>
          <w:p>
            <w:pPr>
              <w:pStyle w:val="TableContents"/>
              <w:spacing w:before="0" w:after="283"/>
              <w:rPr>
                <w:sz w:val="4"/>
                <w:szCs w:val="4"/>
              </w:rPr>
            </w:pPr>
            <w:r>
              <w:rPr>
                <w:sz w:val="4"/>
                <w:szCs w:val="4"/>
              </w:rPr>
            </w:r>
          </w:p>
        </w:tc>
        <w:tc>
          <w:tcPr>
            <w:tcW w:w="8923" w:type="dxa"/>
            <w:gridSpan w:val="8"/>
            <w:tcBorders/>
            <w:shd w:fill="auto" w:val="clear"/>
            <w:vAlign w:val="center"/>
          </w:tcPr>
          <w:p>
            <w:pPr>
              <w:pStyle w:val="TableContents"/>
              <w:spacing w:before="0" w:after="283"/>
              <w:rPr/>
            </w:pPr>
            <w:hyperlink w:anchor="001">
              <w:r>
                <w:rPr>
                  <w:rStyle w:val="InternetLink"/>
                </w:rPr>
                <w:t>Item 11 Additional Information</w:t>
              </w:r>
            </w:hyperlink>
          </w:p>
        </w:tc>
      </w:tr>
      <w:tr>
        <w:trPr/>
        <w:tc>
          <w:tcPr>
            <w:tcW w:w="261" w:type="dxa"/>
            <w:tcBorders/>
            <w:shd w:fill="auto" w:val="clear"/>
            <w:vAlign w:val="center"/>
          </w:tcPr>
          <w:p>
            <w:pPr>
              <w:pStyle w:val="TableContents"/>
              <w:spacing w:before="0" w:after="283"/>
              <w:rPr>
                <w:sz w:val="4"/>
                <w:szCs w:val="4"/>
              </w:rPr>
            </w:pPr>
            <w:r>
              <w:rPr>
                <w:sz w:val="4"/>
                <w:szCs w:val="4"/>
              </w:rPr>
            </w:r>
          </w:p>
        </w:tc>
        <w:tc>
          <w:tcPr>
            <w:tcW w:w="8923" w:type="dxa"/>
            <w:gridSpan w:val="8"/>
            <w:tcBorders/>
            <w:shd w:fill="auto" w:val="clear"/>
            <w:vAlign w:val="center"/>
          </w:tcPr>
          <w:p>
            <w:pPr>
              <w:pStyle w:val="TableContents"/>
              <w:spacing w:before="0" w:after="283"/>
              <w:rPr/>
            </w:pPr>
            <w:hyperlink w:anchor="002">
              <w:r>
                <w:rPr>
                  <w:rStyle w:val="InternetLink"/>
                </w:rPr>
                <w:t>Item 12 Exhibits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4">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b56847a3exv99wxayx10y.htm">
              <w:r>
                <w:rPr>
                  <w:rStyle w:val="InternetLink"/>
                </w:rPr>
                <w:t>EX-(a)(10) Joint Press Release issued on September 12, 2005</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INTRODUCTION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Amendment No. 3 to Tender Offer Statement on Schedule TO (Amendment No. 3) amends and supplements the Tender Offer Statement on Schedule TO filed with the Securities and Exchange Commission on July 28, 2005, as amended and supplemented by Amendment No. 1 to the Tender Offer Statement on Schedule TO filed on August 11, 2005 and Amendment No. 2 to the Tender Offer statement on Schedule TO filed on September 1, 2005 (as so amended, the Schedule TO) by Vision Acquisition Corp., a Georgia corporation (the Purchaser), Vision Holding Corp., a Delaware Corporation (Parent) and Berkshire Partners LLC, relating to the offer to purchase all the outstanding shares of Common Stock, par value $0.01 per share, of National Vision, Inc., a Georgia corporation (the Company), including the associated preferred stock purchase rights (the Shares) at a purchase price of $7.25 per Share, net to the seller in cash, without interest thereon, upon the terms and subject to the conditions set forth in the Offer to Purchase dated July 28, 2005 (the Offer to Purchase), and in the related Letter of Transmittal (the Letter of Transmittal which, together with the Offer to Purchase, as each may be amended and supplemented from time to time, constitute the Offer). This Amendment No. 3 is being filed on behalf of the Purchaser, Parent and Berkshire Partners LLC. </w:t>
      </w:r>
    </w:p>
    <w:p>
      <w:pPr>
        <w:pStyle w:val="TextBody"/>
        <w:spacing w:before="120" w:after="283"/>
        <w:jc w:val="left"/>
        <w:rPr/>
      </w:pPr>
      <w:r>
        <w:rPr/>
        <w:t>     </w:t>
      </w:r>
      <w:r>
        <w:rPr>
          <w:rFonts w:ascii="Times New Roman;Times;serif" w:hAnsi="Times New Roman;Times;serif"/>
          <w:sz w:val="17"/>
        </w:rPr>
        <w:t xml:space="preserve">The information set forth in the Offer to Purchase is incorporated by reference in response to all the items of this Amendment No. 3, except as otherwise set forth below. </w:t>
      </w:r>
    </w:p>
    <w:p>
      <w:pPr>
        <w:pStyle w:val="TextBody"/>
        <w:spacing w:before="120" w:after="283"/>
        <w:jc w:val="left"/>
        <w:rPr/>
      </w:pPr>
      <w:r>
        <w:rPr/>
        <w:t>     </w:t>
      </w:r>
      <w:r>
        <w:rPr>
          <w:rFonts w:ascii="Times New Roman;Times;serif" w:hAnsi="Times New Roman;Times;serif"/>
          <w:sz w:val="17"/>
        </w:rPr>
        <w:t xml:space="preserve">Capitalized terms not otherwise defined herein shall have the meanings assigned to them in the Offer to Purchase. </w:t>
      </w:r>
    </w:p>
    <w:p>
      <w:pPr>
        <w:pStyle w:val="Normal"/>
        <w:spacing w:before="0" w:after="0"/>
        <w:rPr>
          <w:sz w:val="4"/>
          <w:szCs w:val="4"/>
        </w:rPr>
      </w:pPr>
      <w:r>
        <w:rPr>
          <w:sz w:val="4"/>
          <w:szCs w:val="4"/>
        </w:rPr>
      </w:r>
      <w:bookmarkStart w:id="3" w:name="000"/>
      <w:bookmarkStart w:id="4" w:name="000"/>
      <w:bookmarkEnd w:id="4"/>
    </w:p>
    <w:tbl>
      <w:tblPr>
        <w:tblW w:w="5000" w:type="pct"/>
        <w:jc w:val="left"/>
        <w:tblInd w:w="0" w:type="dxa"/>
        <w:tblCellMar>
          <w:top w:w="0" w:type="dxa"/>
          <w:left w:w="0" w:type="dxa"/>
          <w:bottom w:w="0" w:type="dxa"/>
          <w:right w:w="0" w:type="dxa"/>
        </w:tblCellMar>
      </w:tblPr>
      <w:tblGrid>
        <w:gridCol w:w="6720"/>
        <w:gridCol w:w="2234"/>
        <w:gridCol w:w="1251"/>
      </w:tblGrid>
      <w:tr>
        <w:trPr/>
        <w:tc>
          <w:tcPr>
            <w:tcW w:w="6720"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r>
      <w:tr>
        <w:trPr/>
        <w:tc>
          <w:tcPr>
            <w:tcW w:w="6720" w:type="dxa"/>
            <w:tcBorders/>
            <w:shd w:fill="auto" w:val="clear"/>
          </w:tcPr>
          <w:p>
            <w:pPr>
              <w:pStyle w:val="TableContents"/>
              <w:spacing w:before="0" w:after="283"/>
              <w:jc w:val="left"/>
              <w:rPr>
                <w:b/>
              </w:rPr>
            </w:pPr>
            <w:r>
              <w:rPr>
                <w:b/>
              </w:rPr>
              <w:t>Item 8</w:t>
            </w:r>
          </w:p>
        </w:tc>
        <w:tc>
          <w:tcPr>
            <w:tcW w:w="2234" w:type="dxa"/>
            <w:tcBorders/>
            <w:shd w:fill="auto" w:val="clear"/>
          </w:tcPr>
          <w:p>
            <w:pPr>
              <w:pStyle w:val="TableContents"/>
              <w:spacing w:before="0" w:after="283"/>
              <w:rPr/>
            </w:pPr>
            <w:r>
              <w:rPr/>
              <w:t> </w:t>
            </w:r>
          </w:p>
        </w:tc>
        <w:tc>
          <w:tcPr>
            <w:tcW w:w="1251" w:type="dxa"/>
            <w:tcBorders/>
            <w:shd w:fill="auto" w:val="clear"/>
          </w:tcPr>
          <w:p>
            <w:pPr>
              <w:pStyle w:val="TableContents"/>
              <w:spacing w:before="0" w:after="283"/>
              <w:rPr>
                <w:b/>
              </w:rPr>
            </w:pPr>
            <w:r>
              <w:rPr>
                <w:b/>
              </w:rPr>
              <w:t>Certain Information Concerning the Company</w:t>
            </w:r>
          </w:p>
        </w:tc>
      </w:tr>
    </w:tbl>
    <w:p>
      <w:pPr>
        <w:pStyle w:val="Normal"/>
        <w:spacing w:before="0" w:after="0"/>
        <w:rPr>
          <w:sz w:val="4"/>
          <w:szCs w:val="4"/>
        </w:rPr>
      </w:pPr>
      <w:r>
        <w:rPr>
          <w:sz w:val="4"/>
          <w:szCs w:val="4"/>
        </w:rPr>
      </w:r>
      <w:bookmarkStart w:id="5" w:name="001"/>
      <w:bookmarkStart w:id="6" w:name="001"/>
      <w:bookmarkEnd w:id="6"/>
    </w:p>
    <w:tbl>
      <w:tblPr>
        <w:tblW w:w="5000" w:type="pct"/>
        <w:jc w:val="left"/>
        <w:tblInd w:w="0" w:type="dxa"/>
        <w:tblCellMar>
          <w:top w:w="0" w:type="dxa"/>
          <w:left w:w="0" w:type="dxa"/>
          <w:bottom w:w="0" w:type="dxa"/>
          <w:right w:w="0" w:type="dxa"/>
        </w:tblCellMar>
      </w:tblPr>
      <w:tblGrid>
        <w:gridCol w:w="6720"/>
        <w:gridCol w:w="2234"/>
        <w:gridCol w:w="1251"/>
      </w:tblGrid>
      <w:tr>
        <w:trPr/>
        <w:tc>
          <w:tcPr>
            <w:tcW w:w="6720"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r>
      <w:tr>
        <w:trPr/>
        <w:tc>
          <w:tcPr>
            <w:tcW w:w="6720" w:type="dxa"/>
            <w:tcBorders/>
            <w:shd w:fill="auto" w:val="clear"/>
          </w:tcPr>
          <w:p>
            <w:pPr>
              <w:pStyle w:val="TableContents"/>
              <w:spacing w:before="0" w:after="283"/>
              <w:jc w:val="left"/>
              <w:rPr>
                <w:b/>
              </w:rPr>
            </w:pPr>
            <w:r>
              <w:rPr>
                <w:b/>
              </w:rPr>
              <w:t>Item 11</w:t>
            </w:r>
          </w:p>
        </w:tc>
        <w:tc>
          <w:tcPr>
            <w:tcW w:w="2234" w:type="dxa"/>
            <w:tcBorders/>
            <w:shd w:fill="auto" w:val="clear"/>
          </w:tcPr>
          <w:p>
            <w:pPr>
              <w:pStyle w:val="TableContents"/>
              <w:spacing w:before="0" w:after="283"/>
              <w:rPr/>
            </w:pPr>
            <w:r>
              <w:rPr/>
              <w:t> </w:t>
            </w:r>
          </w:p>
        </w:tc>
        <w:tc>
          <w:tcPr>
            <w:tcW w:w="1251" w:type="dxa"/>
            <w:tcBorders/>
            <w:shd w:fill="auto" w:val="clear"/>
          </w:tcPr>
          <w:p>
            <w:pPr>
              <w:pStyle w:val="TableContents"/>
              <w:spacing w:before="0" w:after="283"/>
              <w:rPr>
                <w:b/>
              </w:rPr>
            </w:pPr>
            <w:r>
              <w:rPr>
                <w:b/>
              </w:rPr>
              <w:t>Additional Information</w:t>
            </w:r>
          </w:p>
        </w:tc>
      </w:tr>
    </w:tbl>
    <w:p>
      <w:pPr>
        <w:pStyle w:val="TextBody"/>
        <w:spacing w:before="120" w:after="283"/>
        <w:jc w:val="left"/>
        <w:rPr/>
      </w:pPr>
      <w:r>
        <w:rPr/>
        <w:t>     </w:t>
      </w:r>
      <w:r>
        <w:rPr>
          <w:rFonts w:ascii="Times New Roman;Times;serif" w:hAnsi="Times New Roman;Times;serif"/>
          <w:sz w:val="17"/>
        </w:rPr>
        <w:t xml:space="preserve">Item 8 and Item 11 of the Schedule TO, which incorporate by reference the information contained in the Offer to Purchase, are hereby amended and supplemented by including the following: </w:t>
      </w:r>
    </w:p>
    <w:p>
      <w:pPr>
        <w:pStyle w:val="TextBody"/>
        <w:spacing w:before="120" w:after="283"/>
        <w:jc w:val="left"/>
        <w:rPr/>
      </w:pPr>
      <w:r>
        <w:rPr/>
        <w:t>     </w:t>
      </w:r>
      <w:r>
        <w:rPr>
          <w:rFonts w:ascii="Times New Roman;Times;serif" w:hAnsi="Times New Roman;Times;serif"/>
          <w:sz w:val="17"/>
        </w:rPr>
        <w:t xml:space="preserve">At 5:00 p.m., New York City time, on Friday, September 9, 2005, the subsequent offer period expired. Based on information provided by American Stock Transfer &amp; Trust Company, the depositary for the Offer, a total of 4,863,129 shares, representing approximately 89% of the outstanding common stock of National Vision, were validly tendered prior to the expiration of the offer and not withdrawn as of 5:00 p.m. on September 9, 2005. All such shares have been accepted for purchase in accordance with the terms of the Offer and payment for the validly tendered shares will be paid promptly.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September 12, 2005, Parent and the Company issued a joint press release announcing the final results of the Offer. The full text of the press release is filed as Exhibit (a)(10) hereto and is incorporated by reference herein. </w:t>
      </w:r>
    </w:p>
    <w:p>
      <w:pPr>
        <w:pStyle w:val="Normal"/>
        <w:spacing w:before="0" w:after="0"/>
        <w:rPr>
          <w:sz w:val="4"/>
          <w:szCs w:val="4"/>
        </w:rPr>
      </w:pPr>
      <w:r>
        <w:rPr>
          <w:sz w:val="4"/>
          <w:szCs w:val="4"/>
        </w:rPr>
      </w:r>
      <w:bookmarkStart w:id="7" w:name="002"/>
      <w:bookmarkStart w:id="8" w:name="002"/>
      <w:bookmarkEnd w:id="8"/>
    </w:p>
    <w:tbl>
      <w:tblPr>
        <w:tblW w:w="5000" w:type="pct"/>
        <w:jc w:val="left"/>
        <w:tblInd w:w="0" w:type="dxa"/>
        <w:tblCellMar>
          <w:top w:w="0" w:type="dxa"/>
          <w:left w:w="0" w:type="dxa"/>
          <w:bottom w:w="0" w:type="dxa"/>
          <w:right w:w="0" w:type="dxa"/>
        </w:tblCellMar>
      </w:tblPr>
      <w:tblGrid>
        <w:gridCol w:w="7008"/>
        <w:gridCol w:w="2336"/>
        <w:gridCol w:w="861"/>
      </w:tblGrid>
      <w:tr>
        <w:trPr/>
        <w:tc>
          <w:tcPr>
            <w:tcW w:w="7008"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7008" w:type="dxa"/>
            <w:tcBorders/>
            <w:shd w:fill="auto" w:val="clear"/>
          </w:tcPr>
          <w:p>
            <w:pPr>
              <w:pStyle w:val="TableContents"/>
              <w:spacing w:before="0" w:after="283"/>
              <w:jc w:val="left"/>
              <w:rPr>
                <w:b/>
              </w:rPr>
            </w:pPr>
            <w:r>
              <w:rPr>
                <w:b/>
              </w:rPr>
              <w:t>Item 12</w:t>
            </w:r>
          </w:p>
        </w:tc>
        <w:tc>
          <w:tcPr>
            <w:tcW w:w="2336" w:type="dxa"/>
            <w:tcBorders/>
            <w:shd w:fill="auto" w:val="clear"/>
          </w:tcPr>
          <w:p>
            <w:pPr>
              <w:pStyle w:val="TableContents"/>
              <w:spacing w:before="0" w:after="283"/>
              <w:rPr/>
            </w:pPr>
            <w:r>
              <w:rPr/>
              <w:t> </w:t>
            </w:r>
          </w:p>
        </w:tc>
        <w:tc>
          <w:tcPr>
            <w:tcW w:w="861" w:type="dxa"/>
            <w:tcBorders/>
            <w:shd w:fill="auto" w:val="clear"/>
          </w:tcPr>
          <w:p>
            <w:pPr>
              <w:pStyle w:val="TableContents"/>
              <w:spacing w:before="0" w:after="283"/>
              <w:rPr>
                <w:b/>
              </w:rPr>
            </w:pPr>
            <w:r>
              <w:rPr>
                <w:b/>
              </w:rPr>
              <w:t>Exhibits</w:t>
            </w:r>
          </w:p>
        </w:tc>
      </w:tr>
    </w:tbl>
    <w:p>
      <w:pPr>
        <w:pStyle w:val="TextBody"/>
        <w:spacing w:before="120" w:after="283"/>
        <w:jc w:val="left"/>
        <w:rPr/>
      </w:pPr>
      <w:r>
        <w:rPr/>
        <w:t>     </w:t>
      </w:r>
      <w:r>
        <w:rPr>
          <w:rFonts w:ascii="Times New Roman;Times;serif" w:hAnsi="Times New Roman;Times;serif"/>
          <w:sz w:val="17"/>
        </w:rPr>
        <w:t xml:space="preserve">Item 12 of the Schedule TO is hereby amended and supplemented by including the following: </w:t>
      </w:r>
    </w:p>
    <w:p>
      <w:pPr>
        <w:pStyle w:val="TextBody"/>
        <w:spacing w:before="120" w:after="283"/>
        <w:jc w:val="left"/>
        <w:rPr/>
      </w:pPr>
      <w:r>
        <w:rPr/>
        <w:t>     </w:t>
      </w:r>
      <w:r>
        <w:rPr>
          <w:rFonts w:ascii="Times New Roman;Times;serif" w:hAnsi="Times New Roman;Times;serif"/>
          <w:sz w:val="17"/>
        </w:rPr>
        <w:t xml:space="preserve">(a)(10) Joint Press Release issued by Parent and the Company on September 12, 2005.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9" w:name="003"/>
      <w:bookmarkEnd w:id="9"/>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After due inquiry and to the best of my knowledge and belief, I certify that the information set forth in this statement is true, complete and correct. </w:t>
      </w:r>
    </w:p>
    <w:tbl>
      <w:tblPr>
        <w:tblW w:w="5000" w:type="pct"/>
        <w:jc w:val="center"/>
        <w:tblInd w:w="0" w:type="dxa"/>
        <w:tblCellMar>
          <w:top w:w="0" w:type="dxa"/>
          <w:left w:w="0" w:type="dxa"/>
          <w:bottom w:w="0" w:type="dxa"/>
          <w:right w:w="0" w:type="dxa"/>
        </w:tblCellMar>
      </w:tblPr>
      <w:tblGrid>
        <w:gridCol w:w="4315"/>
        <w:gridCol w:w="222"/>
        <w:gridCol w:w="617"/>
        <w:gridCol w:w="222"/>
        <w:gridCol w:w="4829"/>
      </w:tblGrid>
      <w:tr>
        <w:trPr/>
        <w:tc>
          <w:tcPr>
            <w:tcW w:w="431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vAlign w:val="bottom"/>
          </w:tcPr>
          <w:p>
            <w:pPr>
              <w:pStyle w:val="TableContents"/>
              <w:spacing w:before="0" w:after="283"/>
              <w:rPr/>
            </w:pPr>
            <w:r>
              <w:rPr/>
              <w:t> </w:t>
            </w:r>
          </w:p>
        </w:tc>
      </w:tr>
      <w:tr>
        <w:trPr/>
        <w:tc>
          <w:tcPr>
            <w:tcW w:w="4315"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668" w:type="dxa"/>
            <w:gridSpan w:val="3"/>
            <w:tcBorders/>
            <w:shd w:fill="auto" w:val="clear"/>
          </w:tcPr>
          <w:p>
            <w:pPr>
              <w:pStyle w:val="TableContents"/>
              <w:spacing w:before="0" w:after="283"/>
              <w:jc w:val="left"/>
              <w:rPr/>
            </w:pPr>
            <w:r>
              <w:rPr/>
              <w:t>Vision Acquisition Corp.</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By:</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Lawrence Hamelsky</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Name:</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Lawrence Hamelsky</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Title:</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Secretary</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668" w:type="dxa"/>
            <w:gridSpan w:val="3"/>
            <w:tcBorders/>
            <w:shd w:fill="auto" w:val="clear"/>
          </w:tcPr>
          <w:p>
            <w:pPr>
              <w:pStyle w:val="TableContents"/>
              <w:spacing w:before="0" w:after="283"/>
              <w:jc w:val="left"/>
              <w:rPr/>
            </w:pPr>
            <w:r>
              <w:rPr/>
              <w:t>Vision Holding Corp.</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By:</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Lawrence Hamelsky</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Name:</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Lawrence Hamelsky</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Title:</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Secretary</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668" w:type="dxa"/>
            <w:gridSpan w:val="3"/>
            <w:tcBorders/>
            <w:shd w:fill="auto" w:val="clear"/>
          </w:tcPr>
          <w:p>
            <w:pPr>
              <w:pStyle w:val="TableContents"/>
              <w:spacing w:before="0" w:after="283"/>
              <w:jc w:val="left"/>
              <w:rPr/>
            </w:pPr>
            <w:r>
              <w:rPr/>
              <w:t>Berkshire Partners LLC</w:t>
            </w:r>
          </w:p>
        </w:tc>
      </w:tr>
      <w:tr>
        <w:trPr/>
        <w:tc>
          <w:tcPr>
            <w:tcW w:w="4315"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By:</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Kevin T. Callaghan</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617"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Name:</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Kevin T. Callaghan</w:t>
            </w:r>
          </w:p>
        </w:tc>
      </w:tr>
      <w:tr>
        <w:trPr/>
        <w:tc>
          <w:tcPr>
            <w:tcW w:w="4315"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7" w:type="dxa"/>
            <w:tcBorders/>
            <w:shd w:fill="auto" w:val="clear"/>
          </w:tcPr>
          <w:p>
            <w:pPr>
              <w:pStyle w:val="TableContents"/>
              <w:spacing w:before="0" w:after="283"/>
              <w:jc w:val="left"/>
              <w:rPr/>
            </w:pPr>
            <w:r>
              <w:rPr/>
              <w:t xml:space="preserve">Title: </w:t>
            </w:r>
          </w:p>
        </w:tc>
        <w:tc>
          <w:tcPr>
            <w:tcW w:w="222"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Managing Director</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September 12, 2005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0" w:name="004"/>
      <w:bookmarkEnd w:id="10"/>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147"/>
        <w:gridCol w:w="475"/>
        <w:gridCol w:w="8583"/>
      </w:tblGrid>
      <w:tr>
        <w:trPr/>
        <w:tc>
          <w:tcPr>
            <w:tcW w:w="114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583" w:type="dxa"/>
            <w:tcBorders/>
            <w:shd w:fill="auto" w:val="clear"/>
            <w:vAlign w:val="bottom"/>
          </w:tcPr>
          <w:p>
            <w:pPr>
              <w:pStyle w:val="TableContents"/>
              <w:spacing w:before="0" w:after="283"/>
              <w:rPr/>
            </w:pPr>
            <w:r>
              <w:rPr/>
              <w:t> </w:t>
            </w:r>
          </w:p>
        </w:tc>
      </w:tr>
      <w:tr>
        <w:trPr/>
        <w:tc>
          <w:tcPr>
            <w:tcW w:w="1147" w:type="dxa"/>
            <w:tcBorders/>
            <w:shd w:fill="auto" w:val="clear"/>
            <w:vAlign w:val="bottom"/>
          </w:tcPr>
          <w:p>
            <w:pPr>
              <w:pStyle w:val="TableContents"/>
              <w:spacing w:before="0" w:after="283"/>
              <w:jc w:val="center"/>
              <w:rPr>
                <w:b/>
              </w:rPr>
            </w:pPr>
            <w:r>
              <w:rPr>
                <w:b/>
              </w:rPr>
              <w:t>EXHIBIT</w:t>
            </w:r>
          </w:p>
        </w:tc>
        <w:tc>
          <w:tcPr>
            <w:tcW w:w="475" w:type="dxa"/>
            <w:tcBorders/>
            <w:shd w:fill="auto" w:val="clear"/>
            <w:vAlign w:val="bottom"/>
          </w:tcPr>
          <w:p>
            <w:pPr>
              <w:pStyle w:val="TableContents"/>
              <w:spacing w:before="0" w:after="283"/>
              <w:rPr/>
            </w:pPr>
            <w:r>
              <w:rPr/>
              <w:t> </w:t>
            </w:r>
          </w:p>
        </w:tc>
        <w:tc>
          <w:tcPr>
            <w:tcW w:w="8583" w:type="dxa"/>
            <w:tcBorders/>
            <w:shd w:fill="auto" w:val="clear"/>
            <w:vAlign w:val="bottom"/>
          </w:tcPr>
          <w:p>
            <w:pPr>
              <w:pStyle w:val="TableContents"/>
              <w:spacing w:before="0" w:after="283"/>
              <w:jc w:val="left"/>
              <w:rPr/>
            </w:pPr>
            <w:r>
              <w:rPr/>
              <w:t> </w:t>
            </w:r>
          </w:p>
        </w:tc>
      </w:tr>
      <w:tr>
        <w:trPr/>
        <w:tc>
          <w:tcPr>
            <w:tcW w:w="1147" w:type="dxa"/>
            <w:tcBorders>
              <w:bottom w:val="single" w:sz="2" w:space="0" w:color="000000"/>
            </w:tcBorders>
            <w:shd w:fill="auto" w:val="clear"/>
            <w:tcMar>
              <w:bottom w:w="28" w:type="dxa"/>
            </w:tcMar>
            <w:vAlign w:val="bottom"/>
          </w:tcPr>
          <w:p>
            <w:pPr>
              <w:pStyle w:val="TableContents"/>
              <w:spacing w:before="0" w:after="283"/>
              <w:jc w:val="center"/>
              <w:rPr>
                <w:b/>
              </w:rPr>
            </w:pPr>
            <w:r>
              <w:rPr>
                <w:b/>
              </w:rPr>
              <w:t>NUMBER</w:t>
            </w:r>
          </w:p>
        </w:tc>
        <w:tc>
          <w:tcPr>
            <w:tcW w:w="475" w:type="dxa"/>
            <w:tcBorders/>
            <w:shd w:fill="auto" w:val="clear"/>
            <w:vAlign w:val="bottom"/>
          </w:tcPr>
          <w:p>
            <w:pPr>
              <w:pStyle w:val="TableContents"/>
              <w:spacing w:before="0" w:after="283"/>
              <w:rPr/>
            </w:pPr>
            <w:r>
              <w:rPr/>
              <w:t> </w:t>
            </w:r>
          </w:p>
        </w:tc>
        <w:tc>
          <w:tcPr>
            <w:tcW w:w="8583" w:type="dxa"/>
            <w:tcBorders>
              <w:bottom w:val="single" w:sz="2" w:space="0" w:color="000000"/>
            </w:tcBorders>
            <w:shd w:fill="auto" w:val="clear"/>
            <w:tcMar>
              <w:bottom w:w="28" w:type="dxa"/>
            </w:tcMar>
            <w:vAlign w:val="bottom"/>
          </w:tcPr>
          <w:p>
            <w:pPr>
              <w:pStyle w:val="TableContents"/>
              <w:spacing w:before="0" w:after="283"/>
              <w:jc w:val="left"/>
              <w:rPr>
                <w:b/>
              </w:rPr>
            </w:pPr>
            <w:r>
              <w:rPr>
                <w:b/>
              </w:rPr>
              <w:t>DOCUMENT</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(a)(1)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Offer to Purchase dated July 28, 2005.*</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(a)(2)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Letter of Transmittal.*</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(a)(3)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Notice of Guaranteed Delivery.*</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(a)(4)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Letter to Brokers, Dealers, Banks, Trust Companies and Other Nominees.*</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(a)(5)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Letter to Clients for Use by Brokers, Dealers, Banks, Trust Companies and Other Nominees.*</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(a)(6)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Guidelines for Certification of Taxpayer Identification Number on Substitute Form W-9.*</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(a)(7)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Joint Press Release issued by Parent and the Company on July 26, 2005 (incorporated by reference to the Schedule TO-C filed by Parent and the Purchaser with the Securities and Exchange Commission on July 26, 2005).</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(a)(8)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Summary Advertisement published July 28, 2005.*</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(a)(9)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Joint Press Release issued by Parent and the Company on September 1, 2005.*</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(a)(10)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Joint Press Release issued by Parent and the Company on September 12, 2005.</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(b)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None</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(d)(1)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Agreement and Plan of Merger dated as of July 25, 2005 among Parent, the Purchaser and the Company.*</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(d)(2)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Confidentiality Agreement dated February 23, 2005 between the Company and Parent.*</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(g)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None</w:t>
            </w:r>
          </w:p>
        </w:tc>
      </w:tr>
      <w:tr>
        <w:trPr/>
        <w:tc>
          <w:tcPr>
            <w:tcW w:w="1147" w:type="dxa"/>
            <w:tcBorders/>
            <w:shd w:fill="auto" w:val="clear"/>
          </w:tcPr>
          <w:p>
            <w:pPr>
              <w:pStyle w:val="TableContents"/>
              <w:spacing w:before="0" w:after="283"/>
              <w:jc w:val="left"/>
              <w:rPr/>
            </w:pPr>
            <w:r>
              <w:rPr/>
              <w:t xml:space="preserve">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 </w:t>
            </w:r>
          </w:p>
        </w:tc>
      </w:tr>
      <w:tr>
        <w:trPr/>
        <w:tc>
          <w:tcPr>
            <w:tcW w:w="1147" w:type="dxa"/>
            <w:tcBorders/>
            <w:shd w:fill="auto" w:val="clear"/>
          </w:tcPr>
          <w:p>
            <w:pPr>
              <w:pStyle w:val="TableContents"/>
              <w:spacing w:before="0" w:after="283"/>
              <w:jc w:val="left"/>
              <w:rPr/>
            </w:pPr>
            <w:r>
              <w:rPr/>
              <w:t xml:space="preserve">(h) </w:t>
            </w:r>
          </w:p>
        </w:tc>
        <w:tc>
          <w:tcPr>
            <w:tcW w:w="475" w:type="dxa"/>
            <w:tcBorders/>
            <w:shd w:fill="auto" w:val="clear"/>
            <w:vAlign w:val="bottom"/>
          </w:tcPr>
          <w:p>
            <w:pPr>
              <w:pStyle w:val="TableContents"/>
              <w:spacing w:before="0" w:after="283"/>
              <w:rPr/>
            </w:pPr>
            <w:r>
              <w:rPr/>
              <w:t> </w:t>
            </w:r>
          </w:p>
        </w:tc>
        <w:tc>
          <w:tcPr>
            <w:tcW w:w="8583" w:type="dxa"/>
            <w:tcBorders/>
            <w:shd w:fill="auto" w:val="clear"/>
          </w:tcPr>
          <w:p>
            <w:pPr>
              <w:pStyle w:val="TableContents"/>
              <w:spacing w:before="0" w:after="0"/>
              <w:ind w:left="0" w:right="0" w:hanging="0"/>
              <w:rPr/>
            </w:pPr>
            <w:r>
              <w:rPr/>
              <w:t>None</w:t>
            </w:r>
          </w:p>
        </w:tc>
      </w:tr>
    </w:tbl>
    <w:p>
      <w:pPr>
        <w:pStyle w:val="TextBody"/>
        <w:spacing w:before="26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84"/>
        <w:gridCol w:w="2295"/>
        <w:gridCol w:w="1026"/>
      </w:tblGrid>
      <w:tr>
        <w:trPr/>
        <w:tc>
          <w:tcPr>
            <w:tcW w:w="6884" w:type="dxa"/>
            <w:tcBorders/>
            <w:shd w:fill="auto" w:val="clear"/>
            <w:vAlign w:val="center"/>
          </w:tcPr>
          <w:p>
            <w:pPr>
              <w:pStyle w:val="TableContents"/>
              <w:spacing w:before="0" w:after="283"/>
              <w:rPr>
                <w:sz w:val="4"/>
                <w:szCs w:val="4"/>
              </w:rPr>
            </w:pPr>
            <w:r>
              <w:rPr>
                <w:sz w:val="4"/>
                <w:szCs w:val="4"/>
              </w:rPr>
            </w:r>
          </w:p>
        </w:tc>
        <w:tc>
          <w:tcPr>
            <w:tcW w:w="2295"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6884" w:type="dxa"/>
            <w:tcBorders/>
            <w:shd w:fill="auto" w:val="clear"/>
          </w:tcPr>
          <w:p>
            <w:pPr>
              <w:pStyle w:val="TableContents"/>
              <w:spacing w:before="0" w:after="283"/>
              <w:jc w:val="left"/>
              <w:rPr/>
            </w:pPr>
            <w:r>
              <w:rPr/>
              <w:t>*</w:t>
            </w:r>
          </w:p>
        </w:tc>
        <w:tc>
          <w:tcPr>
            <w:tcW w:w="2295" w:type="dxa"/>
            <w:tcBorders/>
            <w:shd w:fill="auto" w:val="clear"/>
          </w:tcPr>
          <w:p>
            <w:pPr>
              <w:pStyle w:val="TableContents"/>
              <w:spacing w:before="0" w:after="283"/>
              <w:rPr/>
            </w:pPr>
            <w:r>
              <w:rPr/>
              <w:t> </w:t>
            </w:r>
          </w:p>
        </w:tc>
        <w:tc>
          <w:tcPr>
            <w:tcW w:w="1026" w:type="dxa"/>
            <w:tcBorders/>
            <w:shd w:fill="auto" w:val="clear"/>
          </w:tcPr>
          <w:p>
            <w:pPr>
              <w:pStyle w:val="TableContents"/>
              <w:spacing w:before="0" w:after="283"/>
              <w:rPr/>
            </w:pPr>
            <w:r>
              <w:rPr/>
              <w:t>Previously filed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11" w:name="b56847a3exv99wxayx10y.htm"/>
      <w:bookmarkStart w:id="12" w:name="ksb56847a3exv99wxayx10y"/>
      <w:bookmarkEnd w:id="11"/>
      <w:bookmarkEnd w:id="12"/>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(a)(10) </w:t>
      </w:r>
    </w:p>
    <w:p>
      <w:pPr>
        <w:pStyle w:val="TextBody"/>
        <w:spacing w:before="360" w:after="283"/>
        <w:jc w:val="center"/>
        <w:rPr/>
      </w:pPr>
      <w:r>
        <w:rPr/>
        <w:drawing>
          <wp:inline distT="0" distB="0" distL="0" distR="0">
            <wp:extent cx="148590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1000125"/>
                    </a:xfrm>
                    <a:prstGeom prst="rect">
                      <a:avLst/>
                    </a:prstGeom>
                  </pic:spPr>
                </pic:pic>
              </a:graphicData>
            </a:graphic>
          </wp:inline>
        </w:drawing>
      </w:r>
      <w:r>
        <w:rPr/>
        <w:t xml:space="preserve"> </w:t>
      </w:r>
    </w:p>
    <w:p>
      <w:pPr>
        <w:pStyle w:val="TextBody"/>
        <w:spacing w:before="360" w:after="283"/>
        <w:jc w:val="center"/>
        <w:rPr>
          <w:rFonts w:ascii="Times New Roman;Times;serif" w:hAnsi="Times New Roman;Times;serif"/>
          <w:b/>
          <w:i/>
          <w:sz w:val="23"/>
        </w:rPr>
      </w:pPr>
      <w:r>
        <w:rPr>
          <w:rFonts w:ascii="Times New Roman;Times;serif" w:hAnsi="Times New Roman;Times;serif"/>
          <w:b/>
          <w:i/>
          <w:sz w:val="23"/>
        </w:rPr>
        <w:t>NEWS RELEASE</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CONTACT :</w:t>
      </w:r>
      <w:r>
        <w:rPr>
          <w:rFonts w:ascii="Times New Roman;Times;serif" w:hAnsi="Times New Roman;Times;serif"/>
          <w:sz w:val="17"/>
        </w:rPr>
        <w:br/>
        <w:t>Paul A. Criscillis, Jr.</w:t>
        <w:br/>
        <w:t>Senior Vice President and CFO</w:t>
        <w:br/>
        <w:t>770-822-4262</w:t>
        <w:br/>
      </w:r>
      <w:r>
        <w:rPr>
          <w:rFonts w:ascii="Times New Roman;Times;serif" w:hAnsi="Times New Roman;Times;serif"/>
          <w:sz w:val="17"/>
          <w:u w:val="single"/>
        </w:rPr>
        <w:t>www.nationalvision.com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Randy Peeler</w:t>
        <w:br/>
        <w:t>Managing Director, Berkshire Partners</w:t>
        <w:br/>
        <w:t>617-227-0050</w:t>
        <w:br/>
        <w:t xml:space="preserve">www.berkshirepartners.com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 IMMEDIATE RELEASE</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20"/>
        </w:rPr>
      </w:pPr>
      <w:r>
        <w:rPr>
          <w:rFonts w:ascii="Times New Roman;Times;serif" w:hAnsi="Times New Roman;Times;serif"/>
          <w:b/>
          <w:sz w:val="20"/>
        </w:rPr>
        <w:t>Berkshire Partners LLC Successfully Completes Cash Tender Offer For Shares of National Vision, Inc.</w:t>
      </w:r>
      <w:r>
        <w:rPr>
          <w:rFonts w:ascii="Times New Roman;Times;serif" w:hAnsi="Times New Roman;Times;serif"/>
          <w:sz w:val="20"/>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Lawrenceville, Georgia, September 12, 2005  National Vision, Inc. (AMEX: NVI), an operator of retail vision centers (National Vision), and Berkshire Partners LLC, a leading private equity investor, announced today the final results of the cash tender offer by Vision Acquisition Corp. (Vision Acquisition), an affiliate of Berkshire Partners, for the outstanding shares of common stock of National Vision at $7.25 net per share in cash, without interest. The initial tender offer expired, as scheduled, at midnight, New York City time, on Wednesday, August 31, 2005, and the subsequent offer expired, as scheduled, at 5:00 p.m., New York City time, on Friday September 9, 2005.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Based on information provided by American Stock Transfer &amp; Trust Company, the depositary for the offer, a total of 4,863,129 shares, representing approximately 89% of the outstanding common stock of National Vision, were validly tendered prior to the expiration of the offer and not withdrawn as of 5:00 p.m. on September 9, 2005. All such shares have been accepted for purchase in accordance with the terms of the offer and payment for the validly tendered shares will be paid promptly.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accordance with the terms of the Agreement and Plan of Merger, dated July 25, 2005, among National Vision, Vision Acquisition and Vision Holding Corp., Vision Acquisition intends to exercise its option to purchase newly issued shares of National Vision common stock in order to attain ownership of 90% of the outstanding shares of National Vision and consummate a short-form merger of Vision Acquisition and National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Vision. The merger of Vision Acquisition and National Vision will be consummated on or before September 15, 2005 without a meeting of the shareholders of National Vision in accordance with Georgias short-form merger statute. As a result of the merger, each remaining outstanding share of National Vision common stock will be converted into the right to receive $7.25 per share, in cash, without interest, other than shares held by Vision Acquisition, Vision Holdings, Inc., National Vision directly as treasury stock, or shares held by National Vision shareholders that perfect their rights to appraisal in accordance with Georgia law.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Georgeson Shareholder Communications is the Information Agent for the tender offer. For questions and information about the tender offer, please call Georgeson at (212) 440-9800 or toll-free at (866) 391-6923.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1616</Words>
  <CharactersWithSpaces>10181</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exv99wxayx10y</dc:title>
</cp:coreProperties>
</file>