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85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859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PEELER D RANDOLPH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580" w:type="dxa"/>
            <w:vAlign w:val="bottom"/>
            <w:gridSpan w:val="3"/>
            <w:vMerge w:val="restart"/>
          </w:tcPr>
          <w:p>
            <w:pPr>
              <w:ind w:left="380"/>
              <w:spacing w:after="0"/>
              <w:rPr>
                <w:sz w:val="20"/>
                <w:szCs w:val="20"/>
                <w:color w:val="auto"/>
              </w:rPr>
            </w:pPr>
            <w:r>
              <w:rPr>
                <w:rFonts w:ascii="Arial" w:cs="Arial" w:eastAsia="Arial" w:hAnsi="Arial"/>
                <w:sz w:val="14"/>
                <w:szCs w:val="14"/>
                <w:color w:val="auto"/>
              </w:rPr>
              <w:t>Officer (give title</w:t>
            </w: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16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BERKSHIRE PARTNERS LLC</w:t>
            </w:r>
          </w:p>
        </w:tc>
        <w:tc>
          <w:tcPr>
            <w:tcW w:w="1480" w:type="dxa"/>
            <w:vAlign w:val="bottom"/>
            <w:gridSpan w:val="5"/>
          </w:tcPr>
          <w:p>
            <w:pPr>
              <w:ind w:left="160"/>
              <w:spacing w:after="0"/>
              <w:rPr>
                <w:sz w:val="20"/>
                <w:szCs w:val="20"/>
                <w:color w:val="auto"/>
              </w:rPr>
            </w:pPr>
            <w:r>
              <w:rPr>
                <w:rFonts w:ascii="Arial" w:cs="Arial" w:eastAsia="Arial" w:hAnsi="Arial"/>
                <w:sz w:val="18"/>
                <w:szCs w:val="18"/>
                <w:color w:val="0000FF"/>
              </w:rPr>
              <w:t>03/05/2019</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7"/>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0" w:type="dxa"/>
            <w:vAlign w:val="bottom"/>
            <w:gridSpan w:val="7"/>
          </w:tcPr>
          <w:p>
            <w:pPr>
              <w:ind w:left="4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ind w:left="400"/>
              <w:spacing w:after="0" w:line="136" w:lineRule="exact"/>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5"/>
            <w:vMerge w:val="restart"/>
          </w:tcPr>
          <w:p>
            <w:pPr>
              <w:ind w:left="640"/>
              <w:spacing w:after="0"/>
              <w:rPr>
                <w:sz w:val="20"/>
                <w:szCs w:val="20"/>
                <w:color w:val="auto"/>
              </w:rPr>
            </w:pPr>
            <w:r>
              <w:rPr>
                <w:rFonts w:ascii="Arial" w:cs="Arial" w:eastAsia="Arial" w:hAnsi="Arial"/>
                <w:sz w:val="18"/>
                <w:szCs w:val="18"/>
                <w:color w:val="0000FF"/>
              </w:rPr>
              <w:t>03/05/2019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0000FF"/>
                <w:w w:val="87"/>
              </w:rPr>
              <w:t>2,101,264</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860" w:type="dxa"/>
            <w:vAlign w:val="bottom"/>
            <w:gridSpan w:val="3"/>
            <w:vMerge w:val="restart"/>
          </w:tcPr>
          <w:p>
            <w:pPr>
              <w:jc w:val="center"/>
              <w:ind w:left="560"/>
              <w:spacing w:after="0"/>
              <w:rPr>
                <w:sz w:val="20"/>
                <w:szCs w:val="20"/>
                <w:color w:val="auto"/>
              </w:rPr>
            </w:pPr>
            <w:r>
              <w:rPr>
                <w:rFonts w:ascii="Arial" w:cs="Arial" w:eastAsia="Arial" w:hAnsi="Arial"/>
                <w:sz w:val="18"/>
                <w:szCs w:val="18"/>
                <w:color w:val="0000FF"/>
                <w:w w:val="99"/>
              </w:rPr>
              <w:t>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0"/>
              </w:rPr>
              <w:t>Partnership</w:t>
            </w:r>
            <w:r>
              <w:rPr>
                <w:rFonts w:ascii="Arial" w:cs="Arial" w:eastAsia="Arial" w:hAnsi="Arial"/>
                <w:sz w:val="22"/>
                <w:szCs w:val="22"/>
                <w:color w:val="008000"/>
                <w:w w:val="90"/>
                <w:vertAlign w:val="superscript"/>
              </w:rPr>
              <w:t>(3)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5"/>
          </w:tcPr>
          <w:p>
            <w:pPr>
              <w:ind w:left="640"/>
              <w:spacing w:after="0"/>
              <w:rPr>
                <w:sz w:val="20"/>
                <w:szCs w:val="20"/>
                <w:color w:val="auto"/>
              </w:rPr>
            </w:pPr>
            <w:r>
              <w:rPr>
                <w:rFonts w:ascii="Arial" w:cs="Arial" w:eastAsia="Arial" w:hAnsi="Arial"/>
                <w:sz w:val="18"/>
                <w:szCs w:val="18"/>
                <w:color w:val="0000FF"/>
              </w:rPr>
              <w:t>03/05/2019</w:t>
            </w:r>
          </w:p>
        </w:tc>
        <w:tc>
          <w:tcPr>
            <w:tcW w:w="4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8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42,538</w:t>
            </w:r>
          </w:p>
        </w:tc>
        <w:tc>
          <w:tcPr>
            <w:tcW w:w="48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520" w:type="dxa"/>
            <w:vAlign w:val="bottom"/>
            <w:tcBorders>
              <w:top w:val="single" w:sz="8" w:color="2C2C2C"/>
              <w:bottom w:val="single" w:sz="8" w:color="2C2C2C"/>
            </w:tcBorders>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top w:val="single" w:sz="8" w:color="2C2C2C"/>
              <w:bottom w:val="single" w:sz="8" w:color="2C2C2C"/>
            </w:tcBorders>
            <w:gridSpan w:val="4"/>
          </w:tcPr>
          <w:p>
            <w:pPr>
              <w:jc w:val="center"/>
              <w:ind w:left="20"/>
              <w:spacing w:after="0"/>
              <w:rPr>
                <w:sz w:val="20"/>
                <w:szCs w:val="20"/>
                <w:color w:val="auto"/>
              </w:rPr>
            </w:pPr>
            <w:r>
              <w:rPr>
                <w:rFonts w:ascii="Arial" w:cs="Arial" w:eastAsia="Arial" w:hAnsi="Arial"/>
                <w:sz w:val="18"/>
                <w:szCs w:val="18"/>
                <w:color w:val="0000FF"/>
                <w:w w:val="87"/>
              </w:rPr>
              <w:t>42,538</w:t>
            </w:r>
          </w:p>
        </w:tc>
        <w:tc>
          <w:tcPr>
            <w:tcW w:w="3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03/05/2019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00" w:type="dxa"/>
            <w:vAlign w:val="bottom"/>
            <w:gridSpan w:val="2"/>
          </w:tcPr>
          <w:p>
            <w:pPr>
              <w:jc w:val="center"/>
              <w:spacing w:after="0"/>
              <w:rPr>
                <w:sz w:val="20"/>
                <w:szCs w:val="20"/>
                <w:color w:val="auto"/>
              </w:rPr>
            </w:pPr>
            <w:r>
              <w:rPr>
                <w:rFonts w:ascii="Arial" w:cs="Arial" w:eastAsia="Arial" w:hAnsi="Arial"/>
                <w:sz w:val="18"/>
                <w:szCs w:val="18"/>
                <w:color w:val="0000FF"/>
                <w:w w:val="87"/>
              </w:rPr>
              <w:t>27,300</w:t>
            </w: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860" w:type="dxa"/>
            <w:vAlign w:val="bottom"/>
            <w:gridSpan w:val="3"/>
          </w:tcPr>
          <w:p>
            <w:pPr>
              <w:jc w:val="center"/>
              <w:ind w:left="560"/>
              <w:spacing w:after="0"/>
              <w:rPr>
                <w:sz w:val="20"/>
                <w:szCs w:val="20"/>
                <w:color w:val="auto"/>
              </w:rPr>
            </w:pPr>
            <w:r>
              <w:rPr>
                <w:rFonts w:ascii="Arial" w:cs="Arial" w:eastAsia="Arial" w:hAnsi="Arial"/>
                <w:sz w:val="18"/>
                <w:szCs w:val="18"/>
                <w:color w:val="0000FF"/>
                <w:w w:val="99"/>
              </w:rPr>
              <w:t>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3"/>
          </w:tcPr>
          <w:p>
            <w:pPr>
              <w:ind w:left="6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5"/>
          </w:tcPr>
          <w:p>
            <w:pPr>
              <w:ind w:left="640"/>
              <w:spacing w:after="0"/>
              <w:rPr>
                <w:sz w:val="20"/>
                <w:szCs w:val="20"/>
                <w:color w:val="auto"/>
              </w:rPr>
            </w:pPr>
            <w:r>
              <w:rPr>
                <w:rFonts w:ascii="Arial" w:cs="Arial" w:eastAsia="Arial" w:hAnsi="Arial"/>
                <w:sz w:val="18"/>
                <w:szCs w:val="18"/>
                <w:color w:val="0000FF"/>
              </w:rPr>
              <w:t>03/05/2019</w:t>
            </w:r>
          </w:p>
        </w:tc>
        <w:tc>
          <w:tcPr>
            <w:tcW w:w="4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800" w:type="dxa"/>
            <w:vAlign w:val="bottom"/>
            <w:tcBorders>
              <w:top w:val="single" w:sz="8" w:color="2C2C2C"/>
              <w:bottom w:val="single" w:sz="8" w:color="2C2C2C"/>
            </w:tcBorders>
            <w:gridSpan w:val="2"/>
          </w:tcPr>
          <w:p>
            <w:pPr>
              <w:jc w:val="center"/>
              <w:ind w:right="20"/>
              <w:spacing w:after="0"/>
              <w:rPr>
                <w:sz w:val="20"/>
                <w:szCs w:val="20"/>
                <w:color w:val="auto"/>
              </w:rPr>
            </w:pPr>
            <w:r>
              <w:rPr>
                <w:rFonts w:ascii="Arial" w:cs="Arial" w:eastAsia="Arial" w:hAnsi="Arial"/>
                <w:sz w:val="18"/>
                <w:szCs w:val="18"/>
                <w:color w:val="0000FF"/>
                <w:w w:val="86"/>
              </w:rPr>
              <w:t>216</w:t>
            </w:r>
          </w:p>
        </w:tc>
        <w:tc>
          <w:tcPr>
            <w:tcW w:w="48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520" w:type="dxa"/>
            <w:vAlign w:val="bottom"/>
            <w:tcBorders>
              <w:top w:val="single" w:sz="8" w:color="2C2C2C"/>
              <w:bottom w:val="single" w:sz="8" w:color="2C2C2C"/>
            </w:tcBorders>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top w:val="single" w:sz="8" w:color="2C2C2C"/>
              <w:bottom w:val="single" w:sz="8" w:color="2C2C2C"/>
            </w:tcBorders>
            <w:gridSpan w:val="4"/>
          </w:tcPr>
          <w:p>
            <w:pPr>
              <w:jc w:val="center"/>
              <w:ind w:left="20"/>
              <w:spacing w:after="0"/>
              <w:rPr>
                <w:sz w:val="20"/>
                <w:szCs w:val="20"/>
                <w:color w:val="auto"/>
              </w:rPr>
            </w:pPr>
            <w:r>
              <w:rPr>
                <w:rFonts w:ascii="Arial" w:cs="Arial" w:eastAsia="Arial" w:hAnsi="Arial"/>
                <w:sz w:val="18"/>
                <w:szCs w:val="18"/>
                <w:color w:val="0000FF"/>
                <w:w w:val="87"/>
              </w:rPr>
              <w:t>42,754</w:t>
            </w:r>
          </w:p>
        </w:tc>
        <w:tc>
          <w:tcPr>
            <w:tcW w:w="3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03/05/2019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00" w:type="dxa"/>
            <w:vAlign w:val="bottom"/>
            <w:gridSpan w:val="2"/>
          </w:tcPr>
          <w:p>
            <w:pPr>
              <w:jc w:val="center"/>
              <w:spacing w:after="0"/>
              <w:rPr>
                <w:sz w:val="20"/>
                <w:szCs w:val="20"/>
                <w:color w:val="auto"/>
              </w:rPr>
            </w:pPr>
            <w:r>
              <w:rPr>
                <w:rFonts w:ascii="Arial" w:cs="Arial" w:eastAsia="Arial" w:hAnsi="Arial"/>
                <w:sz w:val="18"/>
                <w:szCs w:val="18"/>
                <w:color w:val="0000FF"/>
                <w:w w:val="87"/>
              </w:rPr>
              <w:t>11,121</w:t>
            </w: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860" w:type="dxa"/>
            <w:vAlign w:val="bottom"/>
            <w:gridSpan w:val="3"/>
          </w:tcPr>
          <w:p>
            <w:pPr>
              <w:jc w:val="center"/>
              <w:ind w:left="560"/>
              <w:spacing w:after="0"/>
              <w:rPr>
                <w:sz w:val="20"/>
                <w:szCs w:val="20"/>
                <w:color w:val="auto"/>
              </w:rPr>
            </w:pPr>
            <w:r>
              <w:rPr>
                <w:rFonts w:ascii="Arial" w:cs="Arial" w:eastAsia="Arial" w:hAnsi="Arial"/>
                <w:sz w:val="18"/>
                <w:szCs w:val="18"/>
                <w:color w:val="0000FF"/>
                <w:w w:val="99"/>
              </w:rPr>
              <w:t>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 III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5"/>
          </w:tcPr>
          <w:p>
            <w:pPr>
              <w:ind w:left="640"/>
              <w:spacing w:after="0"/>
              <w:rPr>
                <w:sz w:val="20"/>
                <w:szCs w:val="20"/>
                <w:color w:val="auto"/>
              </w:rPr>
            </w:pPr>
            <w:r>
              <w:rPr>
                <w:rFonts w:ascii="Arial" w:cs="Arial" w:eastAsia="Arial" w:hAnsi="Arial"/>
                <w:sz w:val="18"/>
                <w:szCs w:val="18"/>
                <w:color w:val="0000FF"/>
              </w:rPr>
              <w:t>03/05/2019</w:t>
            </w:r>
          </w:p>
        </w:tc>
        <w:tc>
          <w:tcPr>
            <w:tcW w:w="4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800" w:type="dxa"/>
            <w:vAlign w:val="bottom"/>
            <w:tcBorders>
              <w:top w:val="single" w:sz="8" w:color="2C2C2C"/>
              <w:bottom w:val="single" w:sz="8" w:color="2C2C2C"/>
            </w:tcBorders>
            <w:gridSpan w:val="2"/>
          </w:tcPr>
          <w:p>
            <w:pPr>
              <w:jc w:val="center"/>
              <w:ind w:right="20"/>
              <w:spacing w:after="0"/>
              <w:rPr>
                <w:sz w:val="20"/>
                <w:szCs w:val="20"/>
                <w:color w:val="auto"/>
              </w:rPr>
            </w:pPr>
            <w:r>
              <w:rPr>
                <w:rFonts w:ascii="Arial" w:cs="Arial" w:eastAsia="Arial" w:hAnsi="Arial"/>
                <w:sz w:val="18"/>
                <w:szCs w:val="18"/>
                <w:color w:val="0000FF"/>
                <w:w w:val="86"/>
              </w:rPr>
              <w:t>113</w:t>
            </w:r>
          </w:p>
        </w:tc>
        <w:tc>
          <w:tcPr>
            <w:tcW w:w="48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520" w:type="dxa"/>
            <w:vAlign w:val="bottom"/>
            <w:tcBorders>
              <w:top w:val="single" w:sz="8" w:color="2C2C2C"/>
              <w:bottom w:val="single" w:sz="8" w:color="2C2C2C"/>
            </w:tcBorders>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top w:val="single" w:sz="8" w:color="2C2C2C"/>
              <w:bottom w:val="single" w:sz="8" w:color="2C2C2C"/>
            </w:tcBorders>
            <w:gridSpan w:val="4"/>
          </w:tcPr>
          <w:p>
            <w:pPr>
              <w:jc w:val="center"/>
              <w:ind w:left="20"/>
              <w:spacing w:after="0"/>
              <w:rPr>
                <w:sz w:val="20"/>
                <w:szCs w:val="20"/>
                <w:color w:val="auto"/>
              </w:rPr>
            </w:pPr>
            <w:r>
              <w:rPr>
                <w:rFonts w:ascii="Arial" w:cs="Arial" w:eastAsia="Arial" w:hAnsi="Arial"/>
                <w:sz w:val="18"/>
                <w:szCs w:val="18"/>
                <w:color w:val="0000FF"/>
                <w:w w:val="87"/>
              </w:rPr>
              <w:t>42,867</w:t>
            </w:r>
          </w:p>
        </w:tc>
        <w:tc>
          <w:tcPr>
            <w:tcW w:w="3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7"/>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60" w:type="dxa"/>
            <w:vAlign w:val="bottom"/>
            <w:gridSpan w:val="16"/>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common stock, par value $0.01 per share (the "Common Stock") of the Issuer distributed by the Berkshire Entities (as defined below) to certain of their limited partners and members. The Reporting Person disclaims beneficial ownership in the reported securities except to the extent of his pecuniary interest, if any,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Common Stock received as part of the distribution by the Berkshire Entities referred to in note (1) above.</w:t>
      </w:r>
    </w:p>
    <w:p>
      <w:pPr>
        <w:spacing w:after="0" w:line="41" w:lineRule="exact"/>
        <w:rPr>
          <w:rFonts w:ascii="Arial" w:cs="Arial" w:eastAsia="Arial" w:hAnsi="Arial"/>
          <w:sz w:val="14"/>
          <w:szCs w:val="14"/>
          <w:color w:val="008000"/>
        </w:rPr>
      </w:pPr>
    </w:p>
    <w:p>
      <w:pPr>
        <w:ind w:left="40" w:right="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The Reporting Person served as managing member of each of BPH, BPSP, Berkshire Partners and 6BA. By virtue of the relationships described above, the Reporting Person may be deemed to share beneficial ownership with respect to the shares of Common Stock held by Fund VI. The Reporting Person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11" w:lineRule="exact"/>
        <w:rPr>
          <w:rFonts w:ascii="Arial" w:cs="Arial" w:eastAsia="Arial" w:hAnsi="Arial"/>
          <w:sz w:val="12"/>
          <w:szCs w:val="12"/>
          <w:color w:val="008000"/>
        </w:rPr>
      </w:pPr>
    </w:p>
    <w:p>
      <w:pPr>
        <w:ind w:left="40" w:right="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LLC ("Berkshire Investors"). The Reporting Person served as managing member of Berkshire Investors. By virtue of the relationships described above, the Reporting Person may be deemed to share beneficial ownership with respect to the shares of Common Stock held by Berkshire Investors. The Reporting Person disclaims beneficial ownership of the shares held by Berkshire Investors,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1"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held by Berkshire Investors III LLC ("Berkshire Investors III," and collectively with Fund VI and Berkshire Investors, the "Berkshire Entities"). The Reporting Person served as managing member of Berkshire Investors III. By virtue of the relationships described above, the Reporting Person may be deemed to share beneficial ownership with respect to the shares of Common Stock held by Berkshire Investors III. The Reporting Person disclaims beneficial ownership of the shares held by Berkshire Investors III,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7"/>
              </w:rPr>
              <w:t>/s/ D. Randolph Peeler</w:t>
            </w:r>
          </w:p>
        </w:tc>
        <w:tc>
          <w:tcPr>
            <w:tcW w:w="5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03/07/2019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72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2019-12-23T16:23:10Z</dcterms:created>
  <dcterms:modified xsi:type="dcterms:W3CDTF">2019-12-23T16:23:10Z</dcterms:modified>
</cp:coreProperties>
</file>