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0205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1714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8-K/A</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May 7, 2020</w:t>
      </w:r>
    </w:p>
    <w:p>
      <w:pPr>
        <w:spacing w:after="0" w:line="8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248" w:lineRule="exact"/>
        <w:rPr>
          <w:sz w:val="24"/>
          <w:szCs w:val="24"/>
          <w:color w:val="auto"/>
        </w:rPr>
      </w:pPr>
    </w:p>
    <w:tbl>
      <w:tblPr>
        <w:tblLayout w:type="fixed"/>
        <w:tblInd w:w="2240" w:type="dxa"/>
        <w:tblCellMar>
          <w:top w:w="0" w:type="dxa"/>
          <w:left w:w="0" w:type="dxa"/>
          <w:bottom w:w="0" w:type="dxa"/>
          <w:right w:w="0" w:type="dxa"/>
        </w:tblCellMar>
      </w:tblPr>
      <w:tr>
        <w:trPr>
          <w:trHeight w:val="21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91"/>
              </w:rPr>
              <w:t>Delaware</w:t>
            </w:r>
          </w:p>
        </w:tc>
        <w:tc>
          <w:tcPr>
            <w:tcW w:w="282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3560" w:type="dxa"/>
            <w:vAlign w:val="bottom"/>
          </w:tcPr>
          <w:p>
            <w:pPr>
              <w:jc w:val="center"/>
              <w:ind w:right="1519"/>
              <w:spacing w:after="0"/>
              <w:rPr>
                <w:sz w:val="20"/>
                <w:szCs w:val="20"/>
                <w:color w:val="auto"/>
              </w:rPr>
            </w:pPr>
            <w:r>
              <w:rPr>
                <w:rFonts w:ascii="Arial" w:cs="Arial" w:eastAsia="Arial" w:hAnsi="Arial"/>
                <w:sz w:val="16"/>
                <w:szCs w:val="16"/>
                <w:color w:val="auto"/>
                <w:w w:val="93"/>
              </w:rPr>
              <w:t>(State or other jurisdiction of</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5"/>
              </w:rPr>
              <w:t>(I.R.S. Employer</w:t>
            </w:r>
          </w:p>
        </w:tc>
      </w:tr>
      <w:tr>
        <w:trPr>
          <w:trHeight w:val="206"/>
        </w:trPr>
        <w:tc>
          <w:tcPr>
            <w:tcW w:w="3560" w:type="dxa"/>
            <w:vAlign w:val="bottom"/>
          </w:tcPr>
          <w:p>
            <w:pPr>
              <w:jc w:val="center"/>
              <w:ind w:right="1519"/>
              <w:spacing w:after="0"/>
              <w:rPr>
                <w:sz w:val="20"/>
                <w:szCs w:val="20"/>
                <w:color w:val="auto"/>
              </w:rPr>
            </w:pPr>
            <w:r>
              <w:rPr>
                <w:rFonts w:ascii="Arial" w:cs="Arial" w:eastAsia="Arial" w:hAnsi="Arial"/>
                <w:sz w:val="16"/>
                <w:szCs w:val="16"/>
                <w:color w:val="auto"/>
                <w:w w:val="94"/>
              </w:rPr>
              <w:t>incorporation or organization)</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6"/>
              </w:rPr>
              <w:t>Identification No.)</w:t>
            </w:r>
          </w:p>
        </w:tc>
      </w:tr>
      <w:tr>
        <w:trPr>
          <w:trHeight w:val="54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89"/>
              </w:rPr>
              <w:t>2435 Commerce Ave.</w:t>
            </w:r>
          </w:p>
        </w:tc>
        <w:tc>
          <w:tcPr>
            <w:tcW w:w="2820" w:type="dxa"/>
            <w:vAlign w:val="bottom"/>
          </w:tcPr>
          <w:p>
            <w:pPr>
              <w:spacing w:after="0"/>
              <w:rPr>
                <w:sz w:val="24"/>
                <w:szCs w:val="24"/>
                <w:color w:val="auto"/>
              </w:rPr>
            </w:pPr>
          </w:p>
        </w:tc>
      </w:tr>
      <w:tr>
        <w:trPr>
          <w:trHeight w:val="27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92"/>
              </w:rPr>
              <w:t>Building 2200</w:t>
            </w:r>
          </w:p>
        </w:tc>
        <w:tc>
          <w:tcPr>
            <w:tcW w:w="282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70"/>
        </w:trPr>
        <w:tc>
          <w:tcPr>
            <w:tcW w:w="3560" w:type="dxa"/>
            <w:vAlign w:val="bottom"/>
          </w:tcPr>
          <w:p>
            <w:pPr>
              <w:ind w:left="34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5"/>
              </w:rPr>
              <w:t>(Zip Code)</w:t>
            </w:r>
          </w:p>
        </w:tc>
      </w:tr>
    </w:tbl>
    <w:p>
      <w:pPr>
        <w:spacing w:after="0" w:line="6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(Address of principal executive offices)</w:t>
      </w:r>
    </w:p>
    <w:p>
      <w:pPr>
        <w:spacing w:after="0" w:line="4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7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3"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4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4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EYE</w:t>
            </w:r>
          </w:p>
        </w:tc>
        <w:tc>
          <w:tcPr>
            <w:tcW w:w="414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2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p>
      <w:pPr>
        <w:spacing w:after="0" w:line="41" w:lineRule="exact"/>
        <w:rPr>
          <w:sz w:val="24"/>
          <w:szCs w:val="24"/>
          <w:color w:val="auto"/>
        </w:rPr>
      </w:pPr>
    </w:p>
    <w:p>
      <w:pPr>
        <w:spacing w:after="0" w:line="196" w:lineRule="exact"/>
        <w:tabs>
          <w:tab w:leader="none" w:pos="8320" w:val="left"/>
        </w:tabs>
        <w:rPr>
          <w:sz w:val="20"/>
          <w:szCs w:val="20"/>
          <w:color w:val="auto"/>
        </w:rPr>
      </w:pPr>
      <w:r>
        <w:rPr>
          <w:rFonts w:ascii="Arial" w:cs="Arial" w:eastAsia="Arial" w:hAnsi="Arial"/>
          <w:sz w:val="17"/>
          <w:szCs w:val="17"/>
          <w:color w:val="auto"/>
        </w:rPr>
        <w:t>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0205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 w:name="page2"/>
    <w:bookmarkEnd w:id="1"/>
    <w:p>
      <w:pPr>
        <w:jc w:val="both"/>
        <w:ind w:firstLine="391"/>
        <w:spacing w:after="0" w:line="263" w:lineRule="auto"/>
        <w:rPr>
          <w:sz w:val="20"/>
          <w:szCs w:val="20"/>
          <w:color w:val="auto"/>
        </w:rPr>
      </w:pPr>
      <w:r>
        <w:rPr>
          <w:rFonts w:ascii="Arial" w:cs="Arial" w:eastAsia="Arial" w:hAnsi="Arial"/>
          <w:sz w:val="18"/>
          <w:szCs w:val="18"/>
          <w:color w:val="212529"/>
        </w:rPr>
        <w:t xml:space="preserve">National Vision Holdings, Inc. (“National Vision”) </w:t>
      </w:r>
      <w:r>
        <w:rPr>
          <w:rFonts w:ascii="Arial" w:cs="Arial" w:eastAsia="Arial" w:hAnsi="Arial"/>
          <w:sz w:val="18"/>
          <w:szCs w:val="18"/>
          <w:color w:val="000000"/>
        </w:rPr>
        <w:t>is filing this Current Report on Form 8-K/A solely to revise a typographical error relating to the</w:t>
      </w:r>
      <w:r>
        <w:rPr>
          <w:rFonts w:ascii="Arial" w:cs="Arial" w:eastAsia="Arial" w:hAnsi="Arial"/>
          <w:sz w:val="18"/>
          <w:szCs w:val="18"/>
          <w:color w:val="212529"/>
        </w:rPr>
        <w:t xml:space="preserve"> </w:t>
      </w:r>
      <w:r>
        <w:rPr>
          <w:rFonts w:ascii="Arial" w:cs="Arial" w:eastAsia="Arial" w:hAnsi="Arial"/>
          <w:sz w:val="18"/>
          <w:szCs w:val="18"/>
          <w:color w:val="000000"/>
        </w:rPr>
        <w:t>timing of the Company’s earnings call contained in the press release (the “Press Release”) furnished as Exhibit 99.1 to the Company's Current Report on Form 8-K filed with the Securities and Exchange Commission on May 7,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391"/>
        <w:spacing w:after="0" w:line="263" w:lineRule="auto"/>
        <w:rPr>
          <w:sz w:val="20"/>
          <w:szCs w:val="20"/>
          <w:color w:val="auto"/>
        </w:rPr>
      </w:pPr>
      <w:r>
        <w:rPr>
          <w:rFonts w:ascii="Arial" w:cs="Arial" w:eastAsia="Arial" w:hAnsi="Arial"/>
          <w:sz w:val="18"/>
          <w:szCs w:val="18"/>
          <w:color w:val="auto"/>
        </w:rPr>
        <w:t>On May 7, 2020, National Vision issued the Press Release announcing financial results for the quarter ended March 28, 2020. The Press Release is revised solely to correct the timing of the Company’s earnings call to 8:00a.m. Eastern Time. A copy of the corrected Press Release is furnished herewith as Exhibit 99.1 and incorporated herein by reference.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240"/>
          </w:cols>
          <w:pgMar w:left="320" w:top="5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60" w:type="dxa"/>
            <w:vAlign w:val="bottom"/>
          </w:tcPr>
          <w:p>
            <w:pPr>
              <w:ind w:left="212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10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7160" w:type="dxa"/>
            <w:vAlign w:val="bottom"/>
          </w:tcPr>
          <w:p>
            <w:pPr>
              <w:spacing w:after="0"/>
              <w:rPr>
                <w:sz w:val="24"/>
                <w:szCs w:val="24"/>
                <w:color w:val="auto"/>
              </w:rPr>
            </w:pPr>
          </w:p>
        </w:tc>
      </w:tr>
      <w:tr>
        <w:trPr>
          <w:trHeight w:val="291"/>
        </w:trPr>
        <w:tc>
          <w:tcPr>
            <w:tcW w:w="84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99.1</w:t>
              </w:r>
            </w:hyperlink>
          </w:p>
        </w:tc>
        <w:tc>
          <w:tcPr>
            <w:tcW w:w="108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May 7, 2020.</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3"/>
                <w:szCs w:val="23"/>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r>
    </w:tbl>
    <w:p>
      <w:pPr>
        <w:sectPr>
          <w:pgSz w:w="11900" w:h="16838" w:orient="portrait"/>
          <w:cols w:equalWidth="0" w:num="1">
            <w:col w:w="10099"/>
          </w:cols>
          <w:pgMar w:left="360" w:top="553" w:right="1440"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2700" w:type="dxa"/>
            <w:vAlign w:val="bottom"/>
          </w:tcPr>
          <w:p>
            <w:pPr>
              <w:spacing w:after="0"/>
              <w:rPr>
                <w:sz w:val="20"/>
                <w:szCs w:val="20"/>
                <w:color w:val="auto"/>
              </w:rPr>
            </w:pPr>
            <w:r>
              <w:rPr>
                <w:rFonts w:ascii="Arial" w:cs="Arial" w:eastAsia="Arial" w:hAnsi="Arial"/>
                <w:sz w:val="18"/>
                <w:szCs w:val="18"/>
                <w:color w:val="auto"/>
              </w:rPr>
              <w:t>Date: May 7, 2020</w:t>
            </w:r>
          </w:p>
        </w:tc>
        <w:tc>
          <w:tcPr>
            <w:tcW w:w="2720" w:type="dxa"/>
            <w:vAlign w:val="bottom"/>
          </w:tcPr>
          <w:p>
            <w:pPr>
              <w:ind w:left="1360"/>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Jared Brandman</w:t>
            </w:r>
          </w:p>
        </w:tc>
      </w:tr>
      <w:tr>
        <w:trPr>
          <w:trHeight w:val="27"/>
        </w:trPr>
        <w:tc>
          <w:tcPr>
            <w:tcW w:w="27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spacing w:after="0"/>
              <w:rPr>
                <w:sz w:val="20"/>
                <w:szCs w:val="20"/>
                <w:color w:val="auto"/>
              </w:rPr>
            </w:pPr>
          </w:p>
        </w:tc>
        <w:tc>
          <w:tcPr>
            <w:tcW w:w="2720" w:type="dxa"/>
            <w:vAlign w:val="bottom"/>
          </w:tcPr>
          <w:p>
            <w:pPr>
              <w:ind w:left="1360"/>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70"/>
        </w:trPr>
        <w:tc>
          <w:tcPr>
            <w:tcW w:w="2700" w:type="dxa"/>
            <w:vAlign w:val="bottom"/>
          </w:tcPr>
          <w:p>
            <w:pPr>
              <w:spacing w:after="0"/>
              <w:rPr>
                <w:sz w:val="23"/>
                <w:szCs w:val="23"/>
                <w:color w:val="auto"/>
              </w:rPr>
            </w:pPr>
          </w:p>
        </w:tc>
        <w:tc>
          <w:tcPr>
            <w:tcW w:w="2720" w:type="dxa"/>
            <w:vAlign w:val="bottom"/>
          </w:tcPr>
          <w:p>
            <w:pPr>
              <w:ind w:left="1360"/>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0960"/>
          </w:cols>
          <w:pgMar w:left="320" w:top="553" w:right="61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891540" cy="891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First Quarter 2020 Financial Results</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1.8% to $469.7 million</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comparable store sales growth of (2.9)%; Adjusted Comparable Store Sales Growth of (10.3)%</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decreased 44.1% to $9.7 million; Diluted EPS decreased 44.6% to $0.12</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decreased 0.3% to $61.0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decreased 10.8% to $38.1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decreased 9.4% to $0.28</w:t>
      </w:r>
    </w:p>
    <w:p>
      <w:pPr>
        <w:spacing w:after="0" w:line="2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May 7, 2020 </w:t>
      </w:r>
      <w:r>
        <w:rPr>
          <w:rFonts w:ascii="Arial" w:cs="Arial" w:eastAsia="Arial" w:hAnsi="Arial"/>
          <w:sz w:val="18"/>
          <w:szCs w:val="18"/>
          <w:color w:val="auto"/>
        </w:rPr>
        <w:t>-- National Vision Holdings, Inc. (NASDAQ: EYE) (“National Vision” or the “Company”) today reported its financial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quarter ended March 28, 2020.</w:t>
      </w:r>
    </w:p>
    <w:p>
      <w:pPr>
        <w:spacing w:after="0" w:line="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has affected all of us as individuals and most U.S. companies,” stated Reade Fahs, chief executive officer. “Our hearts go out to those suffering from the disease and our praise and appreciation go out to the heroic front line healthcare workers throughout the country who are treating those living with the disease.”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Fahs further commented, “As safety concerns mounted in mid-March, we acted rapidly with the best interests of the safety of our teams, customers, and communities in mind. With the temporary closing of our stores on March 19, our quarterly results are a tale of two periods. Pre-COVID-19, in January and February, our business was robust with continued sales momentum building on the strong results in the latter half of 2019. In response to the COVID-19 crisis and our temporary store closure, we shifted to solidifying our financial well-being, focusing on our liquidity position and implementing numerous near-term cost reduction efforts.”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Fahs continued, “While our doors were temporarily locked to the public, our stores were staffed with skeleton crews to meet the essential eye care and eyewear needs of patients and customers. The past seven weeks have been a vivid reminder of the fact that the optical services and products we offer truly are a medical necessity. There have been a great many stories of associates and optometrists who have gone above and beyond to provide exceptional customer and patient care amidst adverse circumstances. Last week, we began the process of safely and gradually re-opening our stores to the public. Given the state of the economy and the financial hardships it is creating for so many, we believe patients and customers will need and appreciate our affordably priced optical products and services even more.”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Fahs concluded, “In thinking about the events of the last several weeks and how the entire National Vision team has risen to its challenges, I could not be more proud and appreciative of their inspiring endurance amidst shared sacrifice and strife. While the road ahead is still uncertain, I am confident the entire National Vision team, and our network of more than 2,000 optometrists practicing alongside our stores, will emerge from this extraordinary experience stronger from the adversity we will have overcome together.”</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Adjusted Comparable Store Sales Growth, Adjusted EBITDA, Adjusted Operating Income, Adjusted Diluted EPS, Adjusted Operating Margin, Adjusted EBITDA Margin, and EBITDA are not measures recognized under generally accepted accounting principles (</w:t>
      </w: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w:t>
      </w:r>
      <w:r>
        <w:rPr>
          <w:rFonts w:ascii="Arial" w:cs="Arial" w:eastAsia="Arial" w:hAnsi="Arial"/>
          <w:sz w:val="18"/>
          <w:szCs w:val="18"/>
          <w:i w:val="1"/>
          <w:iCs w:val="1"/>
          <w:color w:val="auto"/>
        </w:rPr>
        <w:t xml:space="preserve">). Please see </w:t>
      </w:r>
      <w:r>
        <w:rPr>
          <w:rFonts w:ascii="Arial" w:cs="Arial" w:eastAsia="Arial" w:hAnsi="Arial"/>
          <w:sz w:val="18"/>
          <w:szCs w:val="18"/>
          <w:color w:val="auto"/>
        </w:rPr>
        <w:t>“</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Reconciliation of Non-GAAP to 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below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Response Update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2020, the Company temporarily closed all of its stores to the public and, on April 7, it temporarily furloughed a significant portion of its employees. On April 23, 2020, the Company announced plans to reopen stores selectively over the coming weeks with a goal for all stores within its family of retail brands to be open to the public by early June. In response to the evolving and uncertain situation, we have taken aggressive actions that we believe are prudent in these circumstances, including:</w:t>
      </w:r>
    </w:p>
    <w:p>
      <w:pPr>
        <w:spacing w:after="0" w:line="79" w:lineRule="exact"/>
        <w:rPr>
          <w:sz w:val="20"/>
          <w:szCs w:val="20"/>
          <w:color w:val="auto"/>
        </w:rPr>
      </w:pPr>
    </w:p>
    <w:p>
      <w:pPr>
        <w:ind w:left="34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Borrowed in March 2020 the remaining $146.3 million in available funds under our revolving credit facility, as a precautionary measure to preserve financial flexibility. The total borrowings outstanding as of quarter end of $300 million represents the maximum borrowings permitted thereunder;</w:t>
      </w:r>
    </w:p>
    <w:p>
      <w:pPr>
        <w:sectPr>
          <w:pgSz w:w="11900" w:h="16838" w:orient="portrait"/>
          <w:cols w:equalWidth="0" w:num="1">
            <w:col w:w="11240"/>
          </w:cols>
          <w:pgMar w:left="320" w:top="121" w:right="339" w:bottom="1440" w:gutter="0" w:footer="0" w:header="0"/>
        </w:sectPr>
      </w:pPr>
    </w:p>
    <w:bookmarkStart w:id="5" w:name="page6"/>
    <w:bookmarkEnd w:id="5"/>
    <w:p>
      <w:pPr>
        <w:jc w:val="both"/>
        <w:ind w:left="340" w:hanging="332"/>
        <w:spacing w:after="0" w:line="25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May 5, 2020, the Company and the lenders under its credit facility entered into an amendment of the facility. This amendment is intended to prevent the effects of the COVID-19 pandemic, including the temporary closure of our stores, from creating uncertainty relative to our ability to comply with certain financial covenants and allow the Company to focus on prudent management of the business over the quarters ahead. The amendment suspends certain financial maintenance covenants contained in the facility until testing at the end of the second fiscal quarter of 2021. As part of the amendment, the Company among other things agreed to modify the rate of interest paid under the facility and to limit its ability to engage in certain transactions during the covenant suspension period, including the ability to declare or pay dividends, incur additional debt and make investments and dispositions;</w:t>
      </w:r>
    </w:p>
    <w:p>
      <w:pPr>
        <w:spacing w:after="0" w:line="5"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Reduced compensation and work hours across the organization. CEO Reade Fahs has elected to reduce his base salary to $1 for the remainder of 2020, and each of the other members of the senior management team have elected to take significant reductions in base salary. The members of the Board of Directors also have elected to reduce the remainder of their respective annual cash retainer fees for 2020 to $1 for their service on the Board;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Postponed a significant amount of planned capital expenditures in fiscal 2020, including a pause in new store openings;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near term marketing, non-essential travel and other discretionary spend;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Working with a base of vendors and landlords to extend payment terms and modify existing contracts; and</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Implementing applicable benefits of the Coronavirus Aid, Relief and Economic Security Act (CARES Act), such as utilizing the employee retention credit and deferring employer payroll taxes.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anticipate that these measures are temporary, their specific duration has a high degree of uncertainty and we may elect or need to take additional operational and financial measures as we continue to assess the evolving situation, including obtaining additional debt and/or equity capital to provide further liquidity in the coming months.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Summary</w:t>
      </w:r>
    </w:p>
    <w:p>
      <w:pPr>
        <w:spacing w:after="0" w:line="12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increased 1.8% to $469.7 million from $461.2 million for the first quarter of 2019.</w:t>
      </w:r>
    </w:p>
    <w:p>
      <w:pPr>
        <w:spacing w:after="0" w:line="23"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revenue was positively impacted by 6.0% due to the timing of unearned revenue, which resulted in material benefits to net revenue and profitability. While the Company usually experiences an increase in unearned revenue for sales in the last seven to ten days of each quarter, the closure of stores on March 19, 2020 through the end of the first quarter caused virtually all of this increase to not be realized. As a result, the Company experienced a decrease in unearned revenue of $19.9 million compared to an increase in unearned revenue of $7.8 million for the first quarter of 2019.</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growth was (2.9)% and Adjusted Comparable Store Sales Growth was (10.3)%.</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light of its temporary store closures, the Company is providing certain additional comparable store sales information. For the two months ended February 29, 2020 and the one month ended March 28, 2020, comparable store sales growth was 5.6% and (18.8)%, respectively, and Adjusted Comparable Store Sales Growth was 5.7% and (41.5)%, respectively.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opened 23 new stores, closed one store and ended the quarter with 1,173 stores.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Costs applicable to revenue increased 3.1% to $218.6 million from $212.0 million for the first quarter of 2019. As a percentage of net revenue, costs applicable to revenue increased 50 basis points to 46.5% from 46.0% for the first quarter of 2019. This increase as a percentage of net revenue was primarily driven by optometrist costs incurred during store closures as well as contact lens revenue growth, partially offset by higher eyeglass margin.</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Selling, general and administrative expenses (“SG&amp;A”) decreased 0.1% to $193.7 million from $193.9 million for the first quarter of 2019. As a percentage of net revenue, SG&amp;A decreased 80 basis points to 41.2% from 42.0% for the first quarter of 2019. This decrease as a percentage of net revenue was primarily driven by the recognition of unearned revenue noted above as well as lower performance-based incentive compensation, partially offset by deleveraging of store payroll expense due to store closures.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decreased 44.1% to $9.7 million compared to net income of $17.4 million for the first quarter of 2019.</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earnings per share decreased 44.6% to $0.12 per share compared to diluted earnings per share of $0.21 for the first quarter of 2019. Adjusted Diluted EPS decreased 9.4% to $0.28 compared to $0.31 per diluted share for the first quarter of 2019. The net change in margin on unearned revenue positively impacted Adjusted Diluted EPS by $0.19.</w:t>
      </w:r>
    </w:p>
    <w:p>
      <w:pPr>
        <w:spacing w:after="0" w:line="1" w:lineRule="exact"/>
        <w:rPr>
          <w:rFonts w:ascii="Arial" w:cs="Arial" w:eastAsia="Arial" w:hAnsi="Arial"/>
          <w:sz w:val="18"/>
          <w:szCs w:val="18"/>
          <w:color w:val="auto"/>
        </w:rPr>
      </w:pPr>
    </w:p>
    <w:p>
      <w:pPr>
        <w:jc w:val="both"/>
        <w:ind w:left="340" w:right="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decreased 0.3% to $61.0 million compared to $61.2 million for the first quarter of 2019. The net change in margin on unearned revenue positively impacted year-over-year Adjusted EBITDA growth by 33.7%. Adjusted EBITDA Margin decreased 30 basis points to 13.0% from 13.3% for the first quarter of 2019.</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Operating Income decreased 10.8% to $38.1 million compared to $42.7 million for the first quarter of 2019. The net change in margin on unearned revenue positively impacted year-over-year Adjusted Operating Income growth by 48.3%. Adjusted Operating Margin decreased 110 basis points to 8.1% from 9.2% for the first quarter of 2019.</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 as of March 28, 2020</w:t>
      </w:r>
    </w:p>
    <w:p>
      <w:pPr>
        <w:spacing w:after="0" w:line="121"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cash balance was $263.2 million as of March 28, 2020. The Company had $294.3 million in borrowings under its $300.0 million first lien revolving credit facility, exclusive of letters of credit of $5.7 million.</w:t>
      </w:r>
    </w:p>
    <w:p>
      <w:pPr>
        <w:sectPr>
          <w:pgSz w:w="11900" w:h="16838" w:orient="portrait"/>
          <w:cols w:equalWidth="0" w:num="1">
            <w:col w:w="11240"/>
          </w:cols>
          <w:pgMar w:left="320" w:top="341" w:right="339" w:bottom="1440" w:gutter="0" w:footer="0" w:header="0"/>
        </w:sectPr>
      </w:pPr>
    </w:p>
    <w:bookmarkStart w:id="6" w:name="page7"/>
    <w:bookmarkEnd w:id="6"/>
    <w:p>
      <w:pPr>
        <w:jc w:val="both"/>
        <w:ind w:left="34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debt was $716.8 million as of March 28, 2020, consisting of outstanding first lien term loans, first lien revolving credit facility and finance lease obligations. As noted above, in March 2020, the Company borrowed the remaining $146.3 million in available funds under its revolving credit facility as a precautionary measure to preserve financial flexibility.</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flows from operating activities for the first quarter of 2020 were $86.1 million compared to $83.0 million for the first quarter of 2019.</w:t>
      </w:r>
    </w:p>
    <w:p>
      <w:pPr>
        <w:spacing w:after="0" w:line="9"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for the first quarter of 2020 totaled $13.1 million compared to $26.0 million for the first quarter of 2019, primarily due to the planned timing and postponement of capital projects.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Outlook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27, 2020, given the ongoing uncertainty surrounding the magnitude and duration of the COVID-19 pandemic and its impact on the U.S., the Company withdrew its previously issued fiscal 2020 outlook.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conference call to discuss the first quarter 2020 financial results is scheduled for today, May 7, 2020, at 8:00 a.m. Eastern Time. The U.S. toll free dial-in for the conference call is 866-754-6931 and the international dial-in is 636-812-6625. The conference passcode is 3243907. A live audio webcast of the conference call will be available on the “Investors” section of the Company’s website </w:t>
      </w:r>
      <w:r>
        <w:rPr>
          <w:rFonts w:ascii="Arial" w:cs="Arial" w:eastAsia="Arial" w:hAnsi="Arial"/>
          <w:sz w:val="18"/>
          <w:szCs w:val="18"/>
          <w:u w:val="single" w:color="auto"/>
          <w:color w:val="0000FF"/>
        </w:rPr>
        <w:t>www.nationalvision.com/investors</w:t>
      </w:r>
      <w:r>
        <w:rPr>
          <w:rFonts w:ascii="Arial" w:cs="Arial" w:eastAsia="Arial" w:hAnsi="Arial"/>
          <w:sz w:val="18"/>
          <w:szCs w:val="18"/>
          <w:color w:val="auto"/>
        </w:rPr>
        <w:t>, where presentation materials will be posted prior to the conference call.</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telephone replay will be available shortly after the broadcast through Thursday, May 14, 2020, by dialing 855-859-2056 from the U.S. or 404-537-3406 from international locations, and entering conference passcode 3243907. A replay of the audio webcast will also be archived on the “Investors” section of the Company’s website.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National Vision Holdings, Inc. is one of the largest optical retail companies in the United States with over 1,100 retail stores in 44 states plus the District of Columbia and Puerto Rico. With a mission of helping people by making quality eyecare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eyecare needs.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the forward-looking statements. Such factors include, but are not limited to, the scale and scope of the novel coronavirus, or COVID-19, pandemic is unknown and, due to the temporary closure of our stores to the public and other factors, is adversely impacting, and is expected to continue to adversely impact, our business at least for the near term, including the impact of federal, state, and local governmental actions and customer behavior in response to the pandemic and such governmental actions and operational disruptions if a significant percentage of our workforce is unable to work or we experience labor shortages, including because of illness or travel or government restrictions in connection with the pandemic; our ability to selectively re-open stores as announced and to open and operate new stores in a timely and cost-effective manner, and to successfully enter new markets; our ability to recruit and retain vision care professionals for our stores; our ability to develop and maintain relationships with managed vision care companies, vision insurance providers and other third-party payors; our ability to maintain the performance of our host and legacy brands and our current operating relationships with our host and legacy partners; our ability to adhere to extensive state, local and federal vision care and healthcare laws and regulations; our compliance with managed vision care laws and regulations; our ability to maintain sufficient levels of cash flow from our operations to execute or sustain our growth strategy; the loss of, or disruption in the operations of, one or more of our distribution centers and/or optical laboratories, resulting in the inability to fulfill customer orders and deliver our products in a timely manner; risks associated with vendors from whom our products are sourced, including our dependence on a limited number of suppliers; our ability to successfully compete in the highly competitive optical retail industry; any failure, inadequacy, interruption, security failure or breach of our information technology systems; our growth strategy straining our existing resources and causing the performance of our existing stores to suffer; the impact of wage rate increases, inflation, cost increases and increases in raw material prices and energy prices; our ability to successfully implement our marketing, advertising and promotional efforts; risks associated with leasing substantial amounts of</w:t>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67" w:lineRule="auto"/>
        <w:rPr>
          <w:sz w:val="20"/>
          <w:szCs w:val="20"/>
          <w:color w:val="auto"/>
        </w:rPr>
      </w:pPr>
      <w:r>
        <w:rPr>
          <w:rFonts w:ascii="Arial" w:cs="Arial" w:eastAsia="Arial" w:hAnsi="Arial"/>
          <w:sz w:val="17"/>
          <w:szCs w:val="17"/>
          <w:color w:val="auto"/>
        </w:rPr>
        <w:t>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overall decline in the health of the economy and consumer spending affecting consumer purchases; our ability to manage our inventory balances and inventory shrinkage; seasonal fluctuations in our operating results and inventory levels; our reliance on third-party coverage and reimbursement, including government programs, for an increasing portion of our revenues; risks associated with our e-commerce business;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risks of losses arising from our investments in technological innovators in the optical retail industry; our ability to adequately protect our intellectual property; our significant amount of indebtedness and our ability to generate sufficient cash flow to satisfy our significant debt service obligations; an increase in interest rates as well as changes in benchmark rates and uncertainty related to the foregoing; restrictions in our credit agreement that limits our flexibility in operating our business;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Annual Report on Form 10-K, our Form 8-K filed on March 19, 2020, our Quarterly Report on Form 10-Q filed on May 7, 2020, and subsequent filings with the SEC,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supplement the Company’s financial information presented in accordance with GAAP and aid understanding of the Company’s business performance, the Company uses certain non-GAAP financial measures, namely “EBITDA,” “Adjusted EBITDA,” “Adjusted EBITDA Margin,” “Adjusted Operating Income,” “Adjusted Operating Margin,”, “Adjusted Diluted EPS,” “Adjusted SG&amp;A” and “Adjusted SG&amp;A Percent of Net Revenue.” We believe EBITDA, Adjusted EBITDA, Adjusted EBITDA Margin, Adjusted Operating Income, Adjusted Operating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2020, we introduced Adjusted Operating Income and Adjusted Operating Margin as measures of performance we will use in connection with Adjusted EBITDA, Adjusted EBITDA Margin and Adjusted Diluted EPS. Further, consistent with our presentation of Adjusted Operating Income, we no longer exclude new store pre-opening expenses and non-cash rent from our presentation of Adjusted EBITDA and Adjusted Diluted EPS. See our Form 8-K filed with the SEC on February 26, 2020 for more information.</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Beginning with the first quarter of fiscal 2020, the Company updated its definitions of Adjusted EBITDA, Adjusted SG&amp;A, and Adjusted Diluted EPS discussed below, so that they no longer exclude new store pre-opening expenses and non-cash rent.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plus interest expense, income tax provision and 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net income, plus interest expense, income tax provision and depreciation and amortization,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to exclude stock compensation expense, loss on extinguishment of debt, asset impairment, litigation settlement, secondary offering expenses, management realignment expenses, long-term incentive plan expenses, and other expenses.</w:t>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net revenue.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Adjusted Operating Income: </w:t>
      </w:r>
      <w:r>
        <w:rPr>
          <w:rFonts w:ascii="Arial" w:cs="Arial" w:eastAsia="Arial" w:hAnsi="Arial"/>
          <w:sz w:val="18"/>
          <w:szCs w:val="18"/>
          <w:color w:val="auto"/>
        </w:rPr>
        <w:t>We define Adjusted Operating Income as net income, plus interest expense and income tax provision, further adjusted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exclude stock compensation expense, asset impairment, litigation settlement, secondary offering expenses, management realignment expenses, long-term incentive plan expenses, amortization of acquisition intangibles, and other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Adjusted Diluted EPS: </w:t>
      </w:r>
      <w:r>
        <w:rPr>
          <w:rFonts w:ascii="Arial" w:cs="Arial" w:eastAsia="Arial" w:hAnsi="Arial"/>
          <w:sz w:val="18"/>
          <w:szCs w:val="18"/>
          <w:color w:val="auto"/>
        </w:rPr>
        <w:t>We define Adjusted Diluted EPS as diluted earnings per share, adjusted for the per share impact of stock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on extinguishment of debt, asset impairment, litigation settlement, secondary offering expenses, management realignment expenses, long-term incentive plan expenses, other expenses, amortization of acquisition intangibles and deferred financing costs, and tax benefit of stock option exercises, less the tax effect of these adjustments.</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Adjusted SG&amp;A: </w:t>
      </w:r>
      <w:r>
        <w:rPr>
          <w:rFonts w:ascii="Arial" w:cs="Arial" w:eastAsia="Arial" w:hAnsi="Arial"/>
          <w:sz w:val="16"/>
          <w:szCs w:val="16"/>
          <w:color w:val="auto"/>
        </w:rPr>
        <w:t>We define Adjusted SG&amp;A as SG&amp;A, adjusted to exclude stock compensation expense, secondary offering expenses,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realignment expenses, long-term incentive plan expenses, and other expenses except for the share of losses on equity method investments.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SG&amp;A Percent of Net Revenue: </w:t>
      </w:r>
      <w:r>
        <w:rPr>
          <w:rFonts w:ascii="Arial" w:cs="Arial" w:eastAsia="Arial" w:hAnsi="Arial"/>
          <w:sz w:val="18"/>
          <w:szCs w:val="18"/>
          <w:color w:val="auto"/>
        </w:rPr>
        <w:t>We define Adjusted SG&amp;A Percent of Net Revenue as Adjusted SG&amp;A divided by net revenue.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Adjusted Comparable Store Sales Growth: </w:t>
      </w:r>
      <w:r>
        <w:rPr>
          <w:rFonts w:ascii="Arial" w:cs="Arial" w:eastAsia="Arial" w:hAnsi="Arial"/>
          <w:sz w:val="16"/>
          <w:szCs w:val="16"/>
          <w:color w:val="auto"/>
        </w:rPr>
        <w:t>We measure Adjusted Comparable Store Sales Growth as the increase or decrease in sales recorded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adjust our calculation of Adjusted Comparable Store Sales Growth for the temporary closure of our stores to the public as a result of the COVID-19 pandemic.</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Adjusted EBITDA, Adjusted EBITDA Margin, Adjusted Operating Income, Adjusted Operating Margin, Adjusted Diluted EPS, Adjusted SG&amp;A, Adjusted SG&amp;A Percent of Net Revenue, and Adjusted Comparable Store Sales Growth are not recognized terms under GAAP and should not be considered as an alternative to net income (loss), the ratio of net income (loss)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34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28, 2020 and December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As of</w:t>
            </w:r>
          </w:p>
        </w:tc>
        <w:tc>
          <w:tcPr>
            <w:tcW w:w="200" w:type="dxa"/>
            <w:vAlign w:val="bottom"/>
          </w:tcPr>
          <w:p>
            <w:pPr>
              <w:spacing w:after="0"/>
              <w:rPr>
                <w:sz w:val="18"/>
                <w:szCs w:val="18"/>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March 28, 2020</w:t>
            </w:r>
          </w:p>
        </w:tc>
        <w:tc>
          <w:tcPr>
            <w:tcW w:w="20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28, 2019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263,154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39,342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44,475</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130,372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127,556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23,266</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441,217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234,639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349,767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366,767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777,613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55,088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56,940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Right of 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343,731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348,090</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10,783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1,777,529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1,798,086</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2,218,746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2,032,725</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40,782</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payables and accrued expenses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98,972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82,829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28,002</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56,508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55,870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Current operating lease obligations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60,014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287,465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273,179</w:t>
            </w:r>
          </w:p>
        </w:tc>
        <w:tc>
          <w:tcPr>
            <w:tcW w:w="0" w:type="dxa"/>
            <w:vAlign w:val="bottom"/>
          </w:tcPr>
          <w:p>
            <w:pPr>
              <w:spacing w:after="0"/>
              <w:rPr>
                <w:sz w:val="1"/>
                <w:szCs w:val="1"/>
                <w:color w:val="auto"/>
              </w:rPr>
            </w:pPr>
          </w:p>
        </w:tc>
      </w:tr>
      <w:tr>
        <w:trPr>
          <w:trHeight w:val="283"/>
        </w:trPr>
        <w:tc>
          <w:tcPr>
            <w:tcW w:w="7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6"/>
              </w:rPr>
              <w:t>Long-term debt and finance lease obligations, less current portion and debt discount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713,246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555,933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Non-current operating lease obligations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331,234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331,769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21,401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58,714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60,146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95,407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(See Note 9)</w:t>
            </w: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w w:val="89"/>
              </w:rPr>
              <w:t>Common stock, $0.01 par value; 200,000 shares authorized; 81,205 and 80,603 shares issued</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80"/>
              <w:spacing w:after="0"/>
              <w:rPr>
                <w:sz w:val="20"/>
                <w:szCs w:val="20"/>
                <w:color w:val="auto"/>
              </w:rPr>
            </w:pPr>
            <w:r>
              <w:rPr>
                <w:rFonts w:ascii="Arial" w:cs="Arial" w:eastAsia="Arial" w:hAnsi="Arial"/>
                <w:sz w:val="18"/>
                <w:szCs w:val="18"/>
                <w:color w:val="auto"/>
                <w:w w:val="98"/>
              </w:rPr>
              <w:t>as of March 28, 2020 and December 28, 2019, respectively; 80,278 and 79,678 shares</w:t>
            </w: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80"/>
              <w:spacing w:after="0"/>
              <w:rPr>
                <w:sz w:val="20"/>
                <w:szCs w:val="20"/>
                <w:color w:val="auto"/>
              </w:rPr>
            </w:pPr>
            <w:r>
              <w:rPr>
                <w:rFonts w:ascii="Arial" w:cs="Arial" w:eastAsia="Arial" w:hAnsi="Arial"/>
                <w:sz w:val="18"/>
                <w:szCs w:val="18"/>
                <w:color w:val="auto"/>
              </w:rPr>
              <w:t>outstanding as of March 28, 2020 and December 28, 2019, respectively</w:t>
            </w:r>
          </w:p>
        </w:tc>
        <w:tc>
          <w:tcPr>
            <w:tcW w:w="28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707,301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700,121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(10,416)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107,132</w:t>
            </w:r>
          </w:p>
        </w:tc>
        <w:tc>
          <w:tcPr>
            <w:tcW w:w="0" w:type="dxa"/>
            <w:vAlign w:val="bottom"/>
          </w:tcPr>
          <w:p>
            <w:pPr>
              <w:spacing w:after="0"/>
              <w:rPr>
                <w:sz w:val="1"/>
                <w:szCs w:val="1"/>
                <w:color w:val="auto"/>
              </w:rPr>
            </w:pPr>
          </w:p>
        </w:tc>
      </w:tr>
      <w:tr>
        <w:trPr>
          <w:trHeight w:val="229"/>
        </w:trPr>
        <w:tc>
          <w:tcPr>
            <w:tcW w:w="7080" w:type="dxa"/>
            <w:vAlign w:val="bottom"/>
          </w:tcPr>
          <w:p>
            <w:pPr>
              <w:ind w:left="280"/>
              <w:spacing w:after="0"/>
              <w:rPr>
                <w:sz w:val="20"/>
                <w:szCs w:val="20"/>
                <w:color w:val="auto"/>
              </w:rPr>
            </w:pPr>
            <w:r>
              <w:rPr>
                <w:rFonts w:ascii="Arial" w:cs="Arial" w:eastAsia="Arial" w:hAnsi="Arial"/>
                <w:sz w:val="18"/>
                <w:szCs w:val="18"/>
                <w:color w:val="auto"/>
                <w:w w:val="93"/>
              </w:rPr>
              <w:t>Treasury stock, at cost; 927 and 925 shares as of March 28, 2020 and December 28, 2019,</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(27,881)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(27,807)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786,160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2,218,746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2,032,725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37" w:right="3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March 28, 2020 and March 30,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4"/>
          </w:tcPr>
          <w:p>
            <w:pPr>
              <w:jc w:val="right"/>
              <w:ind w:right="770"/>
              <w:spacing w:after="0"/>
              <w:rPr>
                <w:sz w:val="20"/>
                <w:szCs w:val="20"/>
                <w:color w:val="auto"/>
              </w:rPr>
            </w:pPr>
            <w:r>
              <w:rPr>
                <w:rFonts w:ascii="Arial" w:cs="Arial" w:eastAsia="Arial" w:hAnsi="Arial"/>
                <w:sz w:val="18"/>
                <w:szCs w:val="18"/>
                <w:color w:val="auto"/>
              </w:rPr>
              <w:t>Three Months Ended</w:t>
            </w:r>
          </w:p>
        </w:tc>
      </w:tr>
      <w:tr>
        <w:trPr>
          <w:trHeight w:val="27"/>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March 28, 2020</w:t>
            </w:r>
          </w:p>
        </w:tc>
        <w:tc>
          <w:tcPr>
            <w:tcW w:w="18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w w:val="92"/>
              </w:rPr>
              <w:t>March 30, 2019</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392,841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383,160</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78,055</w:t>
            </w:r>
          </w:p>
        </w:tc>
      </w:tr>
      <w:tr>
        <w:trPr>
          <w:trHeight w:val="237"/>
        </w:trPr>
        <w:tc>
          <w:tcPr>
            <w:tcW w:w="794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469,704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461,215</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Products</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156,370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154,004</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57,965</w:t>
            </w:r>
          </w:p>
        </w:tc>
      </w:tr>
      <w:tr>
        <w:trPr>
          <w:trHeight w:val="237"/>
        </w:trPr>
        <w:tc>
          <w:tcPr>
            <w:tcW w:w="794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218,554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211,969</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193,741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193,876</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20,415</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Asset impairment</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2,082</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473</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216,846</w:t>
            </w:r>
          </w:p>
        </w:tc>
      </w:tr>
      <w:tr>
        <w:trPr>
          <w:trHeight w:val="237"/>
        </w:trPr>
        <w:tc>
          <w:tcPr>
            <w:tcW w:w="79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32,400</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9,061</w:t>
            </w:r>
          </w:p>
        </w:tc>
      </w:tr>
      <w:tr>
        <w:trPr>
          <w:trHeight w:val="237"/>
        </w:trPr>
        <w:tc>
          <w:tcPr>
            <w:tcW w:w="794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23,339</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5,910</w:t>
            </w:r>
          </w:p>
        </w:tc>
      </w:tr>
      <w:tr>
        <w:trPr>
          <w:trHeight w:val="297"/>
        </w:trPr>
        <w:tc>
          <w:tcPr>
            <w:tcW w:w="7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9,742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17,429</w:t>
            </w:r>
          </w:p>
        </w:tc>
      </w:tr>
      <w:tr>
        <w:trPr>
          <w:trHeight w:val="270"/>
        </w:trPr>
        <w:tc>
          <w:tcPr>
            <w:tcW w:w="7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0.21</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78,205</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81,466</w:t>
            </w:r>
          </w:p>
        </w:tc>
      </w:tr>
      <w:tr>
        <w:trPr>
          <w:trHeight w:val="284"/>
        </w:trPr>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9,742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17,429</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(loss) on hedge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43"/>
        </w:trPr>
        <w:tc>
          <w:tcPr>
            <w:tcW w:w="7940" w:type="dxa"/>
            <w:vAlign w:val="bottom"/>
          </w:tcPr>
          <w:p>
            <w:pPr>
              <w:ind w:left="280"/>
              <w:spacing w:after="0"/>
              <w:rPr>
                <w:sz w:val="20"/>
                <w:szCs w:val="20"/>
                <w:color w:val="auto"/>
              </w:rPr>
            </w:pPr>
            <w:r>
              <w:rPr>
                <w:rFonts w:ascii="Arial" w:cs="Arial" w:eastAsia="Arial" w:hAnsi="Arial"/>
                <w:sz w:val="18"/>
                <w:szCs w:val="18"/>
                <w:color w:val="auto"/>
              </w:rPr>
              <w:t>Tax provision (benefit) of unrealized gain (loss) on hedge instruments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16,482</w:t>
            </w: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20" w:top="337" w:right="3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28, 2020 and March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4"/>
          </w:tcPr>
          <w:p>
            <w:pPr>
              <w:jc w:val="right"/>
              <w:ind w:right="839"/>
              <w:spacing w:after="0"/>
              <w:rPr>
                <w:sz w:val="20"/>
                <w:szCs w:val="20"/>
                <w:color w:val="auto"/>
              </w:rPr>
            </w:pPr>
            <w:r>
              <w:rPr>
                <w:rFonts w:ascii="Arial" w:cs="Arial" w:eastAsia="Arial" w:hAnsi="Arial"/>
                <w:sz w:val="16"/>
                <w:szCs w:val="16"/>
                <w:color w:val="auto"/>
              </w:rPr>
              <w:t>Three Months Ended</w:t>
            </w:r>
          </w:p>
        </w:tc>
      </w:tr>
      <w:tr>
        <w:trPr>
          <w:trHeight w:val="33"/>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color w:val="auto"/>
              </w:rPr>
              <w:t>March 28, 2020</w:t>
            </w:r>
          </w:p>
        </w:tc>
        <w:tc>
          <w:tcPr>
            <w:tcW w:w="200" w:type="dxa"/>
            <w:vAlign w:val="bottom"/>
          </w:tcPr>
          <w:p>
            <w:pPr>
              <w:spacing w:after="0"/>
              <w:rPr>
                <w:sz w:val="20"/>
                <w:szCs w:val="20"/>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w w:val="97"/>
              </w:rPr>
              <w:t>March 30, 2019</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9,742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17,429</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24,810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20,415</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loan costs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11,355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2,082</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5,910</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Stock based compensation expense</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2,093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2,976</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Credit loss expense</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2,021</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(9,307)</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2,767</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5,791</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19,171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1,445</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4,684</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24,035</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83,014</w:t>
            </w:r>
          </w:p>
        </w:tc>
      </w:tr>
      <w:tr>
        <w:trPr>
          <w:trHeight w:val="230"/>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(25,992)</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186</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(25,806)</w:t>
            </w:r>
          </w:p>
        </w:tc>
      </w:tr>
      <w:tr>
        <w:trPr>
          <w:trHeight w:val="230"/>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long-term debt, net of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5,120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37"/>
        </w:trPr>
        <w:tc>
          <w:tcPr>
            <w:tcW w:w="7980" w:type="dxa"/>
            <w:vAlign w:val="bottom"/>
          </w:tcPr>
          <w:p>
            <w:pPr>
              <w:ind w:left="280"/>
              <w:spacing w:after="0"/>
              <w:rPr>
                <w:sz w:val="20"/>
                <w:szCs w:val="20"/>
                <w:color w:val="auto"/>
              </w:rPr>
            </w:pPr>
            <w:r>
              <w:rPr>
                <w:rFonts w:ascii="Arial" w:cs="Arial" w:eastAsia="Arial" w:hAnsi="Arial"/>
                <w:sz w:val="16"/>
                <w:szCs w:val="16"/>
                <w:color w:val="auto"/>
              </w:rPr>
              <w:t>Purchase of treasury stock</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finance lease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Net cash provided by (used for) financing activities</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150,601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(1,354)</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223,807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55,854</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year</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40,307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17,998</w:t>
            </w:r>
          </w:p>
        </w:tc>
      </w:tr>
      <w:tr>
        <w:trPr>
          <w:trHeight w:val="33"/>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264,114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73,852</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09"/>
        </w:trPr>
        <w:tc>
          <w:tcPr>
            <w:tcW w:w="7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Cash paid for interest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7,065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9,857</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 accrued at the end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13,980</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Right of use assets acquired under finance leases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7,270</w:t>
            </w:r>
          </w:p>
        </w:tc>
      </w:tr>
      <w:tr>
        <w:trPr>
          <w:trHeight w:val="33"/>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Right of use assets acquired under operating leases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32,981</w:t>
            </w:r>
          </w:p>
        </w:tc>
      </w:tr>
      <w:tr>
        <w:trPr>
          <w:trHeight w:val="33"/>
        </w:trPr>
        <w:tc>
          <w:tcPr>
            <w:tcW w:w="7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44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28, 2020 and March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Operating Income to Net Income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00" w:type="dxa"/>
            <w:vAlign w:val="bottom"/>
            <w:gridSpan w:val="4"/>
          </w:tcPr>
          <w:p>
            <w:pPr>
              <w:jc w:val="right"/>
              <w:ind w:right="210"/>
              <w:spacing w:after="0"/>
              <w:rPr>
                <w:sz w:val="20"/>
                <w:szCs w:val="20"/>
                <w:color w:val="auto"/>
              </w:rPr>
            </w:pPr>
            <w:r>
              <w:rPr>
                <w:rFonts w:ascii="Arial" w:cs="Arial" w:eastAsia="Arial" w:hAnsi="Arial"/>
                <w:sz w:val="18"/>
                <w:szCs w:val="18"/>
                <w:color w:val="auto"/>
                <w:w w:val="93"/>
              </w:rPr>
              <w:t>Three Months Ended</w:t>
            </w:r>
          </w:p>
        </w:tc>
        <w:tc>
          <w:tcPr>
            <w:tcW w:w="78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March 28, 2020</w:t>
            </w:r>
          </w:p>
        </w:tc>
        <w:tc>
          <w:tcPr>
            <w:tcW w:w="24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March 30, 2019</w:t>
            </w: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17,429</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7,455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9,061</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5,910</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r>
      <w:tr>
        <w:trPr>
          <w:trHeight w:val="270"/>
        </w:trPr>
        <w:tc>
          <w:tcPr>
            <w:tcW w:w="40" w:type="dxa"/>
            <w:vAlign w:val="bottom"/>
          </w:tcPr>
          <w:p>
            <w:pPr>
              <w:spacing w:after="0"/>
              <w:rPr>
                <w:sz w:val="23"/>
                <w:szCs w:val="23"/>
                <w:color w:val="auto"/>
              </w:rPr>
            </w:pPr>
          </w:p>
        </w:tc>
        <w:tc>
          <w:tcPr>
            <w:tcW w:w="750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2,093</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2,976</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0.6%</w:t>
            </w: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11,355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r>
      <w:tr>
        <w:trPr>
          <w:trHeight w:val="270"/>
        </w:trPr>
        <w:tc>
          <w:tcPr>
            <w:tcW w:w="40" w:type="dxa"/>
            <w:vAlign w:val="bottom"/>
          </w:tcPr>
          <w:p>
            <w:pPr>
              <w:spacing w:after="0"/>
              <w:rPr>
                <w:sz w:val="23"/>
                <w:szCs w:val="23"/>
                <w:color w:val="auto"/>
              </w:rPr>
            </w:pPr>
          </w:p>
        </w:tc>
        <w:tc>
          <w:tcPr>
            <w:tcW w:w="750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(c)</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4,395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(d)</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r>
      <w:tr>
        <w:trPr>
          <w:trHeight w:val="270"/>
        </w:trPr>
        <w:tc>
          <w:tcPr>
            <w:tcW w:w="40" w:type="dxa"/>
            <w:vAlign w:val="bottom"/>
          </w:tcPr>
          <w:p>
            <w:pPr>
              <w:spacing w:after="0"/>
              <w:rPr>
                <w:sz w:val="23"/>
                <w:szCs w:val="23"/>
                <w:color w:val="auto"/>
              </w:rPr>
            </w:pPr>
          </w:p>
        </w:tc>
        <w:tc>
          <w:tcPr>
            <w:tcW w:w="750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(e)</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1,454</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1,192</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0.3%</w:t>
            </w: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5"/>
                <w:szCs w:val="25"/>
                <w:color w:val="auto"/>
                <w:vertAlign w:val="superscript"/>
              </w:rPr>
              <w:t>(j)</w:t>
            </w: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1,851</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1,851</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r>
      <w:tr>
        <w:trPr>
          <w:trHeight w:val="297"/>
        </w:trPr>
        <w:tc>
          <w:tcPr>
            <w:tcW w:w="40" w:type="dxa"/>
            <w:vAlign w:val="bottom"/>
            <w:tcBorders>
              <w:bottom w:val="single" w:sz="8" w:color="CCEEFF"/>
            </w:tcBorders>
          </w:tcPr>
          <w:p>
            <w:pPr>
              <w:spacing w:after="0"/>
              <w:rPr>
                <w:sz w:val="24"/>
                <w:szCs w:val="24"/>
                <w:color w:val="auto"/>
              </w:rPr>
            </w:pPr>
          </w:p>
        </w:tc>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Adjusted Operating Income / Adjusted Operating Margin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38,063</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8.1%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42,656</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9.2%</w:t>
            </w:r>
          </w:p>
        </w:tc>
      </w:tr>
      <w:tr>
        <w:trPr>
          <w:trHeight w:val="117"/>
        </w:trPr>
        <w:tc>
          <w:tcPr>
            <w:tcW w:w="40" w:type="dxa"/>
            <w:vAlign w:val="bottom"/>
            <w:shd w:val="clear" w:color="auto" w:fill="CCEEFF"/>
          </w:tcPr>
          <w:p>
            <w:pPr>
              <w:spacing w:after="0"/>
              <w:rPr>
                <w:sz w:val="10"/>
                <w:szCs w:val="10"/>
                <w:color w:val="auto"/>
              </w:rPr>
            </w:pPr>
          </w:p>
        </w:tc>
        <w:tc>
          <w:tcPr>
            <w:tcW w:w="7500" w:type="dxa"/>
            <w:vAlign w:val="bottom"/>
            <w:gridSpan w:val="2"/>
            <w:shd w:val="clear" w:color="auto" w:fill="CCEEFF"/>
          </w:tcPr>
          <w:p>
            <w:pPr>
              <w:ind w:left="160"/>
              <w:spacing w:after="0" w:line="117" w:lineRule="exact"/>
              <w:rPr>
                <w:sz w:val="20"/>
                <w:szCs w:val="20"/>
                <w:color w:val="auto"/>
              </w:rPr>
            </w:pPr>
            <w:r>
              <w:rPr>
                <w:rFonts w:ascii="Arial" w:cs="Arial" w:eastAsia="Arial" w:hAnsi="Arial"/>
                <w:sz w:val="13"/>
                <w:szCs w:val="13"/>
                <w:color w:val="auto"/>
              </w:rPr>
              <w:t>Note: Percentages reflect line item as a percentage of net revenue, adjusted for rounding.</w:t>
            </w: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94"/>
        </w:trPr>
        <w:tc>
          <w:tcPr>
            <w:tcW w:w="40" w:type="dxa"/>
            <w:vAlign w:val="bottom"/>
            <w:shd w:val="clear" w:color="auto" w:fill="CCEEFF"/>
          </w:tcPr>
          <w:p>
            <w:pPr>
              <w:spacing w:after="0"/>
              <w:rPr>
                <w:sz w:val="16"/>
                <w:szCs w:val="16"/>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594"/>
        </w:trPr>
        <w:tc>
          <w:tcPr>
            <w:tcW w:w="40" w:type="dxa"/>
            <w:vAlign w:val="bottom"/>
          </w:tcPr>
          <w:p>
            <w:pPr>
              <w:spacing w:after="0"/>
              <w:rPr>
                <w:sz w:val="24"/>
                <w:szCs w:val="24"/>
                <w:color w:val="auto"/>
              </w:rPr>
            </w:pPr>
          </w:p>
        </w:tc>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EBITDA and Adjusted EBITDA to Net Income</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00" w:type="dxa"/>
            <w:vAlign w:val="bottom"/>
            <w:gridSpan w:val="4"/>
          </w:tcPr>
          <w:p>
            <w:pPr>
              <w:jc w:val="right"/>
              <w:ind w:right="210"/>
              <w:spacing w:after="0"/>
              <w:rPr>
                <w:sz w:val="20"/>
                <w:szCs w:val="20"/>
                <w:color w:val="auto"/>
              </w:rPr>
            </w:pPr>
            <w:r>
              <w:rPr>
                <w:rFonts w:ascii="Arial" w:cs="Arial" w:eastAsia="Arial" w:hAnsi="Arial"/>
                <w:sz w:val="18"/>
                <w:szCs w:val="18"/>
                <w:color w:val="auto"/>
                <w:w w:val="93"/>
              </w:rPr>
              <w:t>Three Months Ended</w:t>
            </w:r>
          </w:p>
        </w:tc>
        <w:tc>
          <w:tcPr>
            <w:tcW w:w="78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March 28, 2020</w:t>
            </w:r>
          </w:p>
        </w:tc>
        <w:tc>
          <w:tcPr>
            <w:tcW w:w="24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March 30, 2019</w:t>
            </w: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6"/>
                <w:shd w:val="clear" w:color="auto" w:fill="CCEEFF"/>
              </w:rPr>
              <w:t>Net income</w:t>
            </w:r>
          </w:p>
        </w:tc>
        <w:tc>
          <w:tcPr>
            <w:tcW w:w="6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17,429</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7,455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9,061</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2.0%</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5,910</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24,810</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20,415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4.4%</w:t>
            </w:r>
          </w:p>
        </w:tc>
      </w:tr>
      <w:tr>
        <w:trPr>
          <w:trHeight w:val="27"/>
        </w:trPr>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41,725</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52,815</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11.5%</w:t>
            </w:r>
          </w:p>
        </w:tc>
      </w:tr>
      <w:tr>
        <w:trPr>
          <w:trHeight w:val="324"/>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2,093</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2,976</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w:t>
            </w:r>
          </w:p>
        </w:tc>
      </w:tr>
      <w:tr>
        <w:trPr>
          <w:trHeight w:val="270"/>
        </w:trPr>
        <w:tc>
          <w:tcPr>
            <w:tcW w:w="40" w:type="dxa"/>
            <w:vAlign w:val="bottom"/>
          </w:tcPr>
          <w:p>
            <w:pPr>
              <w:spacing w:after="0"/>
              <w:rPr>
                <w:sz w:val="23"/>
                <w:szCs w:val="23"/>
                <w:color w:val="auto"/>
              </w:rPr>
            </w:pPr>
          </w:p>
        </w:tc>
        <w:tc>
          <w:tcPr>
            <w:tcW w:w="750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11,355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2,082</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0.5%</w:t>
            </w: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(c)</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40" w:type="dxa"/>
            <w:vAlign w:val="bottom"/>
          </w:tcPr>
          <w:p>
            <w:pPr>
              <w:spacing w:after="0"/>
              <w:rPr>
                <w:sz w:val="23"/>
                <w:szCs w:val="23"/>
                <w:color w:val="auto"/>
              </w:rPr>
            </w:pPr>
          </w:p>
        </w:tc>
        <w:tc>
          <w:tcPr>
            <w:tcW w:w="750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(d)</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24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0.5%</w:t>
            </w:r>
          </w:p>
        </w:tc>
      </w:tr>
      <w:tr>
        <w:trPr>
          <w:trHeight w:val="270"/>
        </w:trPr>
        <w:tc>
          <w:tcPr>
            <w:tcW w:w="40" w:type="dxa"/>
            <w:vAlign w:val="bottom"/>
            <w:shd w:val="clear" w:color="auto" w:fill="CCEEFF"/>
          </w:tcPr>
          <w:p>
            <w:pPr>
              <w:spacing w:after="0"/>
              <w:rPr>
                <w:sz w:val="23"/>
                <w:szCs w:val="23"/>
                <w:color w:val="auto"/>
              </w:rPr>
            </w:pPr>
          </w:p>
        </w:tc>
        <w:tc>
          <w:tcPr>
            <w:tcW w:w="75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(e)</w:t>
            </w: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1,454</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r>
      <w:tr>
        <w:trPr>
          <w:trHeight w:val="297"/>
        </w:trPr>
        <w:tc>
          <w:tcPr>
            <w:tcW w:w="40" w:type="dxa"/>
            <w:vAlign w:val="bottom"/>
            <w:tcBorders>
              <w:bottom w:val="single" w:sz="8" w:color="CCEEFF"/>
            </w:tcBorders>
          </w:tcPr>
          <w:p>
            <w:pPr>
              <w:spacing w:after="0"/>
              <w:rPr>
                <w:sz w:val="24"/>
                <w:szCs w:val="24"/>
                <w:color w:val="auto"/>
              </w:rPr>
            </w:pPr>
          </w:p>
        </w:tc>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Adjusted EBITDA / Adjusted EBITDA Margin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61,022</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13.0%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61,220</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13.3%</w:t>
            </w:r>
          </w:p>
        </w:tc>
      </w:tr>
      <w:tr>
        <w:trPr>
          <w:trHeight w:val="117"/>
        </w:trPr>
        <w:tc>
          <w:tcPr>
            <w:tcW w:w="40" w:type="dxa"/>
            <w:vAlign w:val="bottom"/>
            <w:shd w:val="clear" w:color="auto" w:fill="CCEEFF"/>
          </w:tcPr>
          <w:p>
            <w:pPr>
              <w:spacing w:after="0"/>
              <w:rPr>
                <w:sz w:val="10"/>
                <w:szCs w:val="10"/>
                <w:color w:val="auto"/>
              </w:rPr>
            </w:pPr>
          </w:p>
        </w:tc>
        <w:tc>
          <w:tcPr>
            <w:tcW w:w="7500" w:type="dxa"/>
            <w:vAlign w:val="bottom"/>
            <w:gridSpan w:val="2"/>
            <w:shd w:val="clear" w:color="auto" w:fill="CCEEFF"/>
          </w:tcPr>
          <w:p>
            <w:pPr>
              <w:ind w:left="160"/>
              <w:spacing w:after="0" w:line="117" w:lineRule="exact"/>
              <w:rPr>
                <w:sz w:val="20"/>
                <w:szCs w:val="20"/>
                <w:color w:val="auto"/>
              </w:rPr>
            </w:pPr>
            <w:r>
              <w:rPr>
                <w:rFonts w:ascii="Arial" w:cs="Arial" w:eastAsia="Arial" w:hAnsi="Arial"/>
                <w:sz w:val="13"/>
                <w:szCs w:val="13"/>
                <w:color w:val="auto"/>
              </w:rPr>
              <w:t>Note: Percentages reflect line item as a percentage of net revenue, adjusted for rounding.</w:t>
            </w: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94"/>
        </w:trPr>
        <w:tc>
          <w:tcPr>
            <w:tcW w:w="40" w:type="dxa"/>
            <w:vAlign w:val="bottom"/>
            <w:shd w:val="clear" w:color="auto" w:fill="CCEEFF"/>
          </w:tcPr>
          <w:p>
            <w:pPr>
              <w:spacing w:after="0"/>
              <w:rPr>
                <w:sz w:val="16"/>
                <w:szCs w:val="16"/>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bl>
    <w:p>
      <w:pPr>
        <w:sectPr>
          <w:pgSz w:w="11900" w:h="16838" w:orient="portrait"/>
          <w:cols w:equalWidth="0" w:num="1">
            <w:col w:w="11240"/>
          </w:cols>
          <w:pgMar w:left="320" w:top="33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Reconciliation of Adjusted Diluted EPS to Diluted EPS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00" w:type="dxa"/>
            <w:vAlign w:val="bottom"/>
            <w:gridSpan w:val="5"/>
          </w:tcPr>
          <w:p>
            <w:pPr>
              <w:jc w:val="center"/>
              <w:spacing w:after="0"/>
              <w:rPr>
                <w:sz w:val="20"/>
                <w:szCs w:val="20"/>
                <w:color w:val="auto"/>
              </w:rPr>
            </w:pPr>
            <w:r>
              <w:rPr>
                <w:rFonts w:ascii="Arial" w:cs="Arial" w:eastAsia="Arial" w:hAnsi="Arial"/>
                <w:sz w:val="18"/>
                <w:szCs w:val="18"/>
                <w:color w:val="auto"/>
                <w:w w:val="90"/>
              </w:rPr>
              <w:t>Three Months Ended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220" w:type="dxa"/>
            <w:vAlign w:val="bottom"/>
          </w:tcPr>
          <w:p>
            <w:pPr>
              <w:spacing w:after="0"/>
              <w:rPr>
                <w:sz w:val="20"/>
                <w:szCs w:val="20"/>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March 28, 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w w:val="97"/>
              </w:rPr>
              <w:t>March 30, 2019</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(c)</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(d)</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(e)</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acquisition intangibles and deferred financing costs </w:t>
            </w:r>
            <w:r>
              <w:rPr>
                <w:rFonts w:ascii="Arial" w:cs="Arial" w:eastAsia="Arial" w:hAnsi="Arial"/>
                <w:sz w:val="25"/>
                <w:szCs w:val="25"/>
                <w:color w:val="auto"/>
                <w:vertAlign w:val="superscript"/>
              </w:rPr>
              <w:t>(f)</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5"/>
                <w:szCs w:val="25"/>
                <w:color w:val="auto"/>
                <w:vertAlign w:val="superscript"/>
              </w:rPr>
              <w:t>(g)</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(h)</w:t>
            </w:r>
          </w:p>
        </w:tc>
        <w:tc>
          <w:tcPr>
            <w:tcW w:w="2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57"/>
        </w:trPr>
        <w:tc>
          <w:tcPr>
            <w:tcW w:w="7540" w:type="dxa"/>
            <w:vAlign w:val="bottom"/>
          </w:tcPr>
          <w:p>
            <w:pPr>
              <w:ind w:left="180"/>
              <w:spacing w:after="0"/>
              <w:rPr>
                <w:sz w:val="20"/>
                <w:szCs w:val="20"/>
                <w:color w:val="auto"/>
              </w:rPr>
            </w:pPr>
            <w:r>
              <w:rPr>
                <w:rFonts w:ascii="Arial" w:cs="Arial" w:eastAsia="Arial" w:hAnsi="Arial"/>
                <w:sz w:val="18"/>
                <w:szCs w:val="18"/>
                <w:b w:val="1"/>
                <w:bCs w:val="1"/>
                <w:color w:val="auto"/>
              </w:rPr>
              <w:t>Adjusted Diluted EPS</w:t>
            </w:r>
          </w:p>
        </w:tc>
        <w:tc>
          <w:tcPr>
            <w:tcW w:w="220" w:type="dxa"/>
            <w:vAlign w:val="bottom"/>
          </w:tcPr>
          <w:p>
            <w:pPr>
              <w:spacing w:after="0"/>
              <w:rPr>
                <w:sz w:val="22"/>
                <w:szCs w:val="22"/>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shares outstanding</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81,466</w:t>
            </w:r>
          </w:p>
        </w:tc>
        <w:tc>
          <w:tcPr>
            <w:tcW w:w="0" w:type="dxa"/>
            <w:vAlign w:val="bottom"/>
          </w:tcPr>
          <w:p>
            <w:pPr>
              <w:spacing w:after="0"/>
              <w:rPr>
                <w:sz w:val="1"/>
                <w:szCs w:val="1"/>
                <w:color w:val="auto"/>
              </w:rPr>
            </w:pPr>
          </w:p>
        </w:tc>
      </w:tr>
      <w:tr>
        <w:trPr>
          <w:trHeight w:val="170"/>
        </w:trPr>
        <w:tc>
          <w:tcPr>
            <w:tcW w:w="7540" w:type="dxa"/>
            <w:vAlign w:val="bottom"/>
          </w:tcPr>
          <w:p>
            <w:pPr>
              <w:ind w:left="120"/>
              <w:spacing w:after="0"/>
              <w:rPr>
                <w:sz w:val="20"/>
                <w:szCs w:val="20"/>
                <w:color w:val="auto"/>
              </w:rPr>
            </w:pPr>
            <w:r>
              <w:rPr>
                <w:rFonts w:ascii="Arial" w:cs="Arial" w:eastAsia="Arial" w:hAnsi="Arial"/>
                <w:sz w:val="14"/>
                <w:szCs w:val="14"/>
                <w:color w:val="auto"/>
              </w:rPr>
              <w:t>Note: Some of the totals in the table above do not foot due to rounding differences</w:t>
            </w:r>
          </w:p>
        </w:tc>
        <w:tc>
          <w:tcPr>
            <w:tcW w:w="2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6"/>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Reconciliation of Adjusted SG&amp;A and Adjusted SG&amp;A Percent of Net Revenue to SG&amp;A</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900" w:type="dxa"/>
            <w:vAlign w:val="bottom"/>
            <w:gridSpan w:val="5"/>
          </w:tcPr>
          <w:p>
            <w:pPr>
              <w:jc w:val="right"/>
              <w:ind w:right="210"/>
              <w:spacing w:after="0"/>
              <w:rPr>
                <w:sz w:val="20"/>
                <w:szCs w:val="20"/>
                <w:color w:val="auto"/>
              </w:rPr>
            </w:pPr>
            <w:r>
              <w:rPr>
                <w:rFonts w:ascii="Arial" w:cs="Arial" w:eastAsia="Arial" w:hAnsi="Arial"/>
                <w:sz w:val="18"/>
                <w:szCs w:val="18"/>
                <w:color w:val="auto"/>
                <w:w w:val="93"/>
              </w:rPr>
              <w:t>Three Months Ended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680" w:type="dxa"/>
            <w:vAlign w:val="bottom"/>
            <w:gridSpan w:val="3"/>
          </w:tcPr>
          <w:p>
            <w:pPr>
              <w:jc w:val="right"/>
              <w:ind w:right="420"/>
              <w:spacing w:after="0"/>
              <w:rPr>
                <w:sz w:val="20"/>
                <w:szCs w:val="20"/>
                <w:color w:val="auto"/>
              </w:rPr>
            </w:pPr>
            <w:r>
              <w:rPr>
                <w:rFonts w:ascii="Arial" w:cs="Arial" w:eastAsia="Arial" w:hAnsi="Arial"/>
                <w:sz w:val="18"/>
                <w:szCs w:val="18"/>
                <w:color w:val="auto"/>
                <w:w w:val="99"/>
              </w:rPr>
              <w:t>March 28, 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30"/>
              <w:spacing w:after="0"/>
              <w:rPr>
                <w:sz w:val="20"/>
                <w:szCs w:val="20"/>
                <w:color w:val="auto"/>
              </w:rPr>
            </w:pPr>
            <w:r>
              <w:rPr>
                <w:rFonts w:ascii="Arial" w:cs="Arial" w:eastAsia="Arial" w:hAnsi="Arial"/>
                <w:sz w:val="18"/>
                <w:szCs w:val="18"/>
                <w:color w:val="auto"/>
                <w:w w:val="94"/>
              </w:rPr>
              <w:t>March 30, 2019</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SG&amp;A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193,741</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193,876</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42.0%</w:t>
            </w: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2,093</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2,976</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(d)</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0" w:type="dxa"/>
            <w:vAlign w:val="bottom"/>
          </w:tcPr>
          <w:p>
            <w:pPr>
              <w:spacing w:after="0"/>
              <w:rPr>
                <w:sz w:val="1"/>
                <w:szCs w:val="1"/>
                <w:color w:val="auto"/>
              </w:rPr>
            </w:pPr>
          </w:p>
        </w:tc>
      </w:tr>
      <w:tr>
        <w:trPr>
          <w:trHeight w:val="270"/>
        </w:trPr>
        <w:tc>
          <w:tcPr>
            <w:tcW w:w="75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(i)</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1,454</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631</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SG&amp;A/ Adjusted SG&amp;A Percent of Net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190,194</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188,114</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40.8%</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200"/>
              <w:spacing w:after="0"/>
              <w:rPr>
                <w:sz w:val="20"/>
                <w:szCs w:val="20"/>
                <w:color w:val="auto"/>
              </w:rPr>
            </w:pPr>
            <w:r>
              <w:rPr>
                <w:rFonts w:ascii="Arial" w:cs="Arial" w:eastAsia="Arial" w:hAnsi="Arial"/>
                <w:sz w:val="14"/>
                <w:szCs w:val="14"/>
                <w:color w:val="auto"/>
              </w:rPr>
              <w:t>Note: Percentages reflect line item as a percentage of net revenue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write-off of property, equipment and lease related assets on closed or underperforming stores.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Expenses associated with settlement of litigation. See Note 9. “Commitments and Contingencies” in our consolidated financial statements for further details.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Expenses related to a non-recurring realignment of management described in the Current Report on Form 8-K filed with the SEC on January 10, 2019.</w:t>
      </w:r>
    </w:p>
    <w:p>
      <w:pPr>
        <w:spacing w:after="0" w:line="1" w:lineRule="exact"/>
        <w:rPr>
          <w:rFonts w:ascii="Arial" w:cs="Arial" w:eastAsia="Arial" w:hAnsi="Arial"/>
          <w:sz w:val="14"/>
          <w:szCs w:val="14"/>
          <w:color w:val="auto"/>
        </w:rPr>
      </w:pPr>
    </w:p>
    <w:p>
      <w:pPr>
        <w:jc w:val="both"/>
        <w:ind w:left="660" w:hanging="328"/>
        <w:spacing w:after="0" w:line="260"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Operating Income, Adjusted Diluted EPS and Adjusted EBITDA), including our share of losses on equity method investments of $0.6 million for the three months ended March 30, 2019; the amortization impact of adjustments related to the March 2014 acquisition of the Company by affiliates of KKR &amp; Co. Inc. (the “KKR Acquisition”), (e.g., fair value of leasehold interests) of $0.1 million for each of the three months ended March 28, 2020 and March 30, 2019, respectively; costs of severance and relocation of $0.3 million and $0.2 million for the three months ended March 28, 2020 and March 30, 2019, respectively; excess payroll taxes related to stock option exercises of $0.3 million for the three months ended March 28, 2020; $0.6 million of incremental costs directly related to adapting the Company’s operations during the COVID-19 pandemic for the three months ended March 28, 2020; and other expenses and adjustments totaling $0.2 million and $0.3 million for the three months ended March 28, 2020 and March 30, 2019, respectively.</w:t>
      </w:r>
    </w:p>
    <w:p>
      <w:pPr>
        <w:jc w:val="both"/>
        <w:ind w:left="660" w:right="20" w:hanging="328"/>
        <w:spacing w:after="0" w:line="260" w:lineRule="auto"/>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Amortization of the increase in carrying values of finite-lived intangible assets resulting from the application of purchase accounting to the KKR Acquisition of $1.9 million for each of the three months ended March 28, 2020 and March 30, 2019. Amortization of deferred financing costs is associated with deferred financing fees and amortization of debt discounts related to term loan and revolving credit facility borrowings totaling $0.2 million and $0.4 million for the three months ended March 28, 2020 and March 30, 2019, respectively.</w:t>
      </w: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to be recorded in earnings as discrete items in the reporting period in which they occur.</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other expenses in (e) above, except for our share of losses on equity method investments of $0.6 million for the three months ended March 30, 2019.</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of purchase accounting to the KKR Acquisition.</w:t>
      </w:r>
    </w:p>
    <w:p>
      <w:pPr>
        <w:sectPr>
          <w:pgSz w:w="11900" w:h="16838" w:orient="portrait"/>
          <w:cols w:equalWidth="0" w:num="1">
            <w:col w:w="11240"/>
          </w:cols>
          <w:pgMar w:left="320" w:top="499" w:right="339" w:bottom="1440" w:gutter="0" w:footer="0" w:header="0"/>
        </w:sectPr>
      </w:pPr>
    </w:p>
    <w:bookmarkStart w:id="14" w:name="page15"/>
    <w:bookmarkEnd w:id="14"/>
    <w:p>
      <w:pPr>
        <w:ind w:left="880"/>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p>
      <w:pPr>
        <w:spacing w:after="0" w:line="37" w:lineRule="exact"/>
        <w:rPr>
          <w:sz w:val="20"/>
          <w:szCs w:val="20"/>
          <w:color w:val="auto"/>
        </w:rPr>
      </w:pPr>
    </w:p>
    <w:tbl>
      <w:tblPr>
        <w:tblLayout w:type="fixed"/>
        <w:tblInd w:w="840" w:type="dxa"/>
        <w:tblCellMar>
          <w:top w:w="0" w:type="dxa"/>
          <w:left w:w="0" w:type="dxa"/>
          <w:bottom w:w="0" w:type="dxa"/>
          <w:right w:w="0" w:type="dxa"/>
        </w:tblCellMar>
      </w:tblPr>
      <w:tr>
        <w:trPr>
          <w:trHeight w:val="287"/>
        </w:trPr>
        <w:tc>
          <w:tcPr>
            <w:tcW w:w="5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tcPr>
          <w:p>
            <w:pPr>
              <w:jc w:val="right"/>
              <w:ind w:right="960"/>
              <w:spacing w:after="0"/>
              <w:rPr>
                <w:sz w:val="20"/>
                <w:szCs w:val="20"/>
                <w:color w:val="auto"/>
              </w:rPr>
            </w:pPr>
            <w:r>
              <w:rPr>
                <w:rFonts w:ascii="Arial" w:cs="Arial" w:eastAsia="Arial" w:hAnsi="Arial"/>
                <w:sz w:val="18"/>
                <w:szCs w:val="18"/>
                <w:color w:val="auto"/>
              </w:rPr>
              <w:t>Comparable store sales growth</w:t>
            </w:r>
            <w:r>
              <w:rPr>
                <w:rFonts w:ascii="Arial" w:cs="Arial" w:eastAsia="Arial" w:hAnsi="Arial"/>
                <w:sz w:val="25"/>
                <w:szCs w:val="25"/>
                <w:color w:val="auto"/>
                <w:vertAlign w:val="superscript"/>
              </w:rPr>
              <w:t>(a)</w:t>
            </w:r>
          </w:p>
        </w:tc>
      </w:tr>
      <w:tr>
        <w:trPr>
          <w:trHeight w:val="222"/>
        </w:trPr>
        <w:tc>
          <w:tcPr>
            <w:tcW w:w="5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100" w:type="dxa"/>
            <w:vAlign w:val="bottom"/>
            <w:gridSpan w:val="5"/>
          </w:tcPr>
          <w:p>
            <w:pPr>
              <w:jc w:val="center"/>
              <w:spacing w:after="0"/>
              <w:rPr>
                <w:sz w:val="20"/>
                <w:szCs w:val="20"/>
                <w:color w:val="auto"/>
              </w:rPr>
            </w:pPr>
            <w:r>
              <w:rPr>
                <w:rFonts w:ascii="Arial" w:cs="Arial" w:eastAsia="Arial" w:hAnsi="Arial"/>
                <w:sz w:val="18"/>
                <w:szCs w:val="18"/>
                <w:color w:val="auto"/>
                <w:w w:val="89"/>
              </w:rPr>
              <w:t>Three Months Ended</w:t>
            </w:r>
          </w:p>
        </w:tc>
      </w:tr>
      <w:tr>
        <w:trPr>
          <w:trHeight w:val="230"/>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4"/>
          </w:tcPr>
          <w:p>
            <w:pPr>
              <w:jc w:val="center"/>
              <w:ind w:right="560"/>
              <w:spacing w:after="0"/>
              <w:rPr>
                <w:sz w:val="20"/>
                <w:szCs w:val="20"/>
                <w:color w:val="auto"/>
              </w:rPr>
            </w:pPr>
            <w:r>
              <w:rPr>
                <w:rFonts w:ascii="Arial" w:cs="Arial" w:eastAsia="Arial" w:hAnsi="Arial"/>
                <w:sz w:val="18"/>
                <w:szCs w:val="18"/>
                <w:color w:val="auto"/>
                <w:w w:val="91"/>
              </w:rPr>
              <w:t>March 28, 2020</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March 30, 2019</w:t>
            </w: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America’s Best</w:t>
            </w:r>
          </w:p>
        </w:tc>
        <w:tc>
          <w:tcPr>
            <w:tcW w:w="2080" w:type="dxa"/>
            <w:vAlign w:val="bottom"/>
            <w:gridSpan w:val="5"/>
          </w:tcPr>
          <w:p>
            <w:pPr>
              <w:jc w:val="right"/>
              <w:ind w:right="2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100" w:type="dxa"/>
            <w:vAlign w:val="bottom"/>
            <w:gridSpan w:val="5"/>
          </w:tcPr>
          <w:p>
            <w:pPr>
              <w:jc w:val="right"/>
              <w:ind w:right="40"/>
              <w:spacing w:after="0"/>
              <w:rPr>
                <w:sz w:val="20"/>
                <w:szCs w:val="20"/>
                <w:color w:val="auto"/>
              </w:rPr>
            </w:pPr>
            <w:r>
              <w:rPr>
                <w:rFonts w:ascii="Arial" w:cs="Arial" w:eastAsia="Arial" w:hAnsi="Arial"/>
                <w:sz w:val="18"/>
                <w:szCs w:val="18"/>
                <w:color w:val="auto"/>
              </w:rPr>
              <w:t>8.2 %</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Eyeglass World</w:t>
            </w:r>
          </w:p>
        </w:tc>
        <w:tc>
          <w:tcPr>
            <w:tcW w:w="20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6.5 %</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Military</w:t>
            </w:r>
          </w:p>
        </w:tc>
        <w:tc>
          <w:tcPr>
            <w:tcW w:w="2080" w:type="dxa"/>
            <w:vAlign w:val="bottom"/>
            <w:gridSpan w:val="5"/>
          </w:tcPr>
          <w:p>
            <w:pPr>
              <w:jc w:val="right"/>
              <w:ind w:right="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100" w:type="dxa"/>
            <w:vAlign w:val="bottom"/>
            <w:gridSpan w:val="5"/>
          </w:tcPr>
          <w:p>
            <w:pPr>
              <w:jc w:val="right"/>
              <w:ind w:right="40"/>
              <w:spacing w:after="0"/>
              <w:rPr>
                <w:sz w:val="20"/>
                <w:szCs w:val="20"/>
                <w:color w:val="auto"/>
              </w:rPr>
            </w:pPr>
            <w:r>
              <w:rPr>
                <w:rFonts w:ascii="Arial" w:cs="Arial" w:eastAsia="Arial" w:hAnsi="Arial"/>
                <w:sz w:val="18"/>
                <w:szCs w:val="18"/>
                <w:color w:val="auto"/>
              </w:rPr>
              <w:t>(4.4)%</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 Meyer</w:t>
            </w:r>
          </w:p>
        </w:tc>
        <w:tc>
          <w:tcPr>
            <w:tcW w:w="208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b w:val="1"/>
                <w:bCs w:val="1"/>
                <w:color w:val="auto"/>
              </w:rPr>
              <w:t>Legacy segment</w:t>
            </w:r>
          </w:p>
        </w:tc>
        <w:tc>
          <w:tcPr>
            <w:tcW w:w="2080" w:type="dxa"/>
            <w:vAlign w:val="bottom"/>
            <w:gridSpan w:val="5"/>
          </w:tcPr>
          <w:p>
            <w:pPr>
              <w:jc w:val="right"/>
              <w:ind w:right="2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100" w:type="dxa"/>
            <w:vAlign w:val="bottom"/>
            <w:gridSpan w:val="5"/>
          </w:tcPr>
          <w:p>
            <w:pPr>
              <w:jc w:val="right"/>
              <w:ind w:right="40"/>
              <w:spacing w:after="0"/>
              <w:rPr>
                <w:sz w:val="20"/>
                <w:szCs w:val="20"/>
                <w:color w:val="auto"/>
              </w:rPr>
            </w:pPr>
            <w:r>
              <w:rPr>
                <w:rFonts w:ascii="Arial" w:cs="Arial" w:eastAsia="Arial" w:hAnsi="Arial"/>
                <w:sz w:val="18"/>
                <w:szCs w:val="18"/>
                <w:color w:val="auto"/>
              </w:rPr>
              <w:t>1.8 %</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324"/>
        </w:trPr>
        <w:tc>
          <w:tcPr>
            <w:tcW w:w="5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Total comparable store sales growth</w:t>
            </w:r>
          </w:p>
        </w:tc>
        <w:tc>
          <w:tcPr>
            <w:tcW w:w="2080" w:type="dxa"/>
            <w:vAlign w:val="bottom"/>
            <w:gridSpan w:val="5"/>
          </w:tcPr>
          <w:p>
            <w:pPr>
              <w:jc w:val="right"/>
              <w:ind w:right="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100" w:type="dxa"/>
            <w:vAlign w:val="bottom"/>
            <w:gridSpan w:val="5"/>
          </w:tcPr>
          <w:p>
            <w:pPr>
              <w:jc w:val="right"/>
              <w:ind w:right="40"/>
              <w:spacing w:after="0"/>
              <w:rPr>
                <w:sz w:val="20"/>
                <w:szCs w:val="20"/>
                <w:color w:val="auto"/>
              </w:rPr>
            </w:pPr>
            <w:r>
              <w:rPr>
                <w:rFonts w:ascii="Arial" w:cs="Arial" w:eastAsia="Arial" w:hAnsi="Arial"/>
                <w:sz w:val="18"/>
                <w:szCs w:val="18"/>
                <w:color w:val="auto"/>
              </w:rPr>
              <w:t>6.2 %</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5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5"/>
                <w:szCs w:val="25"/>
                <w:color w:val="auto"/>
                <w:vertAlign w:val="superscript"/>
              </w:rPr>
              <w:t>(b)</w:t>
            </w:r>
          </w:p>
        </w:tc>
        <w:tc>
          <w:tcPr>
            <w:tcW w:w="2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3"/>
                <w:szCs w:val="23"/>
                <w:color w:val="auto"/>
              </w:rPr>
            </w:pPr>
          </w:p>
        </w:tc>
        <w:tc>
          <w:tcPr>
            <w:tcW w:w="2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6.7 %</w:t>
            </w:r>
          </w:p>
        </w:tc>
      </w:tr>
      <w:tr>
        <w:trPr>
          <w:trHeight w:val="324"/>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2"/>
        </w:trPr>
        <w:tc>
          <w:tcPr>
            <w:tcW w:w="526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b w:val="1"/>
                <w:bCs w:val="1"/>
                <w:i w:val="1"/>
                <w:iCs w:val="1"/>
                <w:color w:val="auto"/>
              </w:rPr>
              <w:t>Additional Comparable Store Sales</w:t>
            </w:r>
          </w:p>
        </w:tc>
        <w:tc>
          <w:tcPr>
            <w:tcW w:w="2200" w:type="dxa"/>
            <w:vAlign w:val="bottom"/>
            <w:gridSpan w:val="6"/>
            <w:shd w:val="clear" w:color="auto" w:fill="CCEEFF"/>
          </w:tcPr>
          <w:p>
            <w:pPr>
              <w:jc w:val="center"/>
              <w:ind w:right="140"/>
              <w:spacing w:after="0" w:line="202" w:lineRule="exact"/>
              <w:rPr>
                <w:sz w:val="20"/>
                <w:szCs w:val="20"/>
                <w:color w:val="auto"/>
              </w:rPr>
            </w:pPr>
            <w:r>
              <w:rPr>
                <w:rFonts w:ascii="Arial" w:cs="Arial" w:eastAsia="Arial" w:hAnsi="Arial"/>
                <w:sz w:val="18"/>
                <w:szCs w:val="18"/>
                <w:b w:val="1"/>
                <w:bCs w:val="1"/>
                <w:i w:val="1"/>
                <w:iCs w:val="1"/>
                <w:color w:val="auto"/>
                <w:w w:val="89"/>
              </w:rPr>
              <w:t>One Month Ended</w:t>
            </w:r>
          </w:p>
        </w:tc>
        <w:tc>
          <w:tcPr>
            <w:tcW w:w="300" w:type="dxa"/>
            <w:vAlign w:val="bottom"/>
            <w:shd w:val="clear" w:color="auto" w:fill="CCEEFF"/>
          </w:tcPr>
          <w:p>
            <w:pPr>
              <w:spacing w:after="0"/>
              <w:rPr>
                <w:sz w:val="17"/>
                <w:szCs w:val="17"/>
                <w:color w:val="auto"/>
              </w:rPr>
            </w:pPr>
          </w:p>
        </w:tc>
        <w:tc>
          <w:tcPr>
            <w:tcW w:w="1800" w:type="dxa"/>
            <w:vAlign w:val="bottom"/>
            <w:gridSpan w:val="4"/>
            <w:shd w:val="clear" w:color="auto" w:fill="CCEEFF"/>
          </w:tcPr>
          <w:p>
            <w:pPr>
              <w:jc w:val="center"/>
              <w:ind w:right="340"/>
              <w:spacing w:after="0" w:line="202" w:lineRule="exact"/>
              <w:rPr>
                <w:sz w:val="20"/>
                <w:szCs w:val="20"/>
                <w:color w:val="auto"/>
              </w:rPr>
            </w:pPr>
            <w:r>
              <w:rPr>
                <w:rFonts w:ascii="Arial" w:cs="Arial" w:eastAsia="Arial" w:hAnsi="Arial"/>
                <w:sz w:val="18"/>
                <w:szCs w:val="18"/>
                <w:b w:val="1"/>
                <w:bCs w:val="1"/>
                <w:i w:val="1"/>
                <w:iCs w:val="1"/>
                <w:color w:val="auto"/>
                <w:w w:val="88"/>
              </w:rPr>
              <w:t>Two Months Ended</w:t>
            </w:r>
          </w:p>
        </w:tc>
      </w:tr>
      <w:tr>
        <w:trPr>
          <w:trHeight w:val="196"/>
        </w:trPr>
        <w:tc>
          <w:tcPr>
            <w:tcW w:w="5260" w:type="dxa"/>
            <w:vAlign w:val="bottom"/>
            <w:tcBorders>
              <w:top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Growth information for Q1 2020</w:t>
            </w:r>
          </w:p>
        </w:tc>
        <w:tc>
          <w:tcPr>
            <w:tcW w:w="3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gridSpan w:val="3"/>
            <w:shd w:val="clear" w:color="auto" w:fill="CCEEFF"/>
          </w:tcPr>
          <w:p>
            <w:pPr>
              <w:jc w:val="center"/>
              <w:spacing w:after="0" w:line="196" w:lineRule="exact"/>
              <w:rPr>
                <w:sz w:val="20"/>
                <w:szCs w:val="20"/>
                <w:color w:val="auto"/>
              </w:rPr>
            </w:pPr>
            <w:r>
              <w:rPr>
                <w:rFonts w:ascii="Arial" w:cs="Arial" w:eastAsia="Arial" w:hAnsi="Arial"/>
                <w:sz w:val="18"/>
                <w:szCs w:val="18"/>
                <w:b w:val="1"/>
                <w:bCs w:val="1"/>
                <w:i w:val="1"/>
                <w:iCs w:val="1"/>
                <w:color w:val="auto"/>
                <w:w w:val="92"/>
              </w:rPr>
              <w:t>March 28, 2020</w:t>
            </w:r>
          </w:p>
        </w:tc>
        <w:tc>
          <w:tcPr>
            <w:tcW w:w="440" w:type="dxa"/>
            <w:vAlign w:val="bottom"/>
            <w:tcBorders>
              <w:top w:val="single" w:sz="8" w:color="CCEEFF"/>
            </w:tcBorders>
            <w:gridSpan w:val="2"/>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gridSpan w:val="2"/>
            <w:shd w:val="clear" w:color="auto" w:fill="CCEEFF"/>
          </w:tcPr>
          <w:p>
            <w:pPr>
              <w:jc w:val="center"/>
              <w:ind w:right="60"/>
              <w:spacing w:after="0" w:line="196" w:lineRule="exact"/>
              <w:rPr>
                <w:sz w:val="20"/>
                <w:szCs w:val="20"/>
                <w:color w:val="auto"/>
              </w:rPr>
            </w:pPr>
            <w:r>
              <w:rPr>
                <w:rFonts w:ascii="Arial" w:cs="Arial" w:eastAsia="Arial" w:hAnsi="Arial"/>
                <w:sz w:val="18"/>
                <w:szCs w:val="18"/>
                <w:b w:val="1"/>
                <w:bCs w:val="1"/>
                <w:i w:val="1"/>
                <w:iCs w:val="1"/>
                <w:color w:val="auto"/>
                <w:w w:val="90"/>
              </w:rPr>
              <w:t>February 29, 2020</w:t>
            </w:r>
          </w:p>
        </w:tc>
        <w:tc>
          <w:tcPr>
            <w:tcW w:w="300" w:type="dxa"/>
            <w:vAlign w:val="bottom"/>
            <w:tcBorders>
              <w:top w:val="single" w:sz="8" w:color="CCEEFF"/>
            </w:tcBorders>
            <w:shd w:val="clear" w:color="auto" w:fill="CCEEFF"/>
          </w:tcPr>
          <w:p>
            <w:pPr>
              <w:spacing w:after="0"/>
              <w:rPr>
                <w:sz w:val="17"/>
                <w:szCs w:val="17"/>
                <w:color w:val="auto"/>
              </w:rPr>
            </w:pPr>
          </w:p>
        </w:tc>
      </w:tr>
      <w:tr>
        <w:trPr>
          <w:trHeight w:val="48"/>
        </w:trPr>
        <w:tc>
          <w:tcPr>
            <w:tcW w:w="5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Total comparable store sales growth</w:t>
            </w:r>
          </w:p>
        </w:tc>
        <w:tc>
          <w:tcPr>
            <w:tcW w:w="460" w:type="dxa"/>
            <w:vAlign w:val="bottom"/>
            <w:gridSpan w:val="2"/>
          </w:tcPr>
          <w:p>
            <w:pPr>
              <w:spacing w:after="0"/>
              <w:rPr>
                <w:sz w:val="21"/>
                <w:szCs w:val="21"/>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100" w:type="dxa"/>
            <w:vAlign w:val="bottom"/>
            <w:gridSpan w:val="5"/>
          </w:tcPr>
          <w:p>
            <w:pPr>
              <w:jc w:val="right"/>
              <w:ind w:right="40"/>
              <w:spacing w:after="0"/>
              <w:rPr>
                <w:sz w:val="20"/>
                <w:szCs w:val="20"/>
                <w:color w:val="auto"/>
              </w:rPr>
            </w:pPr>
            <w:r>
              <w:rPr>
                <w:rFonts w:ascii="Arial" w:cs="Arial" w:eastAsia="Arial" w:hAnsi="Arial"/>
                <w:sz w:val="18"/>
                <w:szCs w:val="18"/>
                <w:color w:val="auto"/>
              </w:rPr>
              <w:t>5.6 %</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5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5"/>
                <w:szCs w:val="25"/>
                <w:color w:val="auto"/>
                <w:vertAlign w:val="superscript"/>
              </w:rPr>
              <w:t>(b)</w:t>
            </w:r>
          </w:p>
        </w:tc>
        <w:tc>
          <w:tcPr>
            <w:tcW w:w="20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23"/>
                <w:szCs w:val="23"/>
                <w:color w:val="auto"/>
              </w:rPr>
            </w:pPr>
          </w:p>
        </w:tc>
        <w:tc>
          <w:tcPr>
            <w:tcW w:w="21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5.7 %</w:t>
            </w:r>
          </w:p>
        </w:tc>
      </w:tr>
    </w:tbl>
    <w:p>
      <w:pPr>
        <w:spacing w:after="0" w:line="89" w:lineRule="exact"/>
        <w:rPr>
          <w:sz w:val="20"/>
          <w:szCs w:val="20"/>
          <w:color w:val="auto"/>
        </w:rPr>
      </w:pPr>
    </w:p>
    <w:p>
      <w:pPr>
        <w:jc w:val="both"/>
        <w:ind w:left="660" w:hanging="328"/>
        <w:spacing w:after="0" w:line="249"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1. Item 1. in our Quarterly Report on Form 10-Q, with the exception of the Legacy segment, which is adjusted as noted in clause (b) (ii) below.</w:t>
      </w:r>
    </w:p>
    <w:p>
      <w:pPr>
        <w:spacing w:after="0" w:line="82" w:lineRule="exact"/>
        <w:rPr>
          <w:rFonts w:ascii="Arial" w:cs="Arial" w:eastAsia="Arial" w:hAnsi="Arial"/>
          <w:sz w:val="14"/>
          <w:szCs w:val="14"/>
          <w:color w:val="auto"/>
        </w:rPr>
      </w:pPr>
    </w:p>
    <w:p>
      <w:pPr>
        <w:jc w:val="both"/>
        <w:ind w:left="660" w:hanging="328"/>
        <w:spacing w:after="0" w:line="268"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7.5% and an increase of 0.8% from total comparable store sales growth based on consolidated net revenue for the three months ended March 28, 2020 and March 30, 2019, respectively, a decrease of 22.5% for the one month ended March 28, 2020 and a decrease of 0.2% for the two months ended February 29, 2020 and (ii) Adjusted Comparable Store Sales Growth includes retail sales to the Legacy partner’s customers (rather than the revenues recognized consistent with the management &amp; services agreement with the legacy partner), resulting in an increase of 0.1% and a decrease of 0.3% from total comparable store sales growth based on consolidated net revenue for the three months ended March 28, 2020 and March 30, 2019, respectively, a decrease of 0.2% for the one month ended March 28, 2020, and an increase of 0.3% for the two months ended February 29, 2020.</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Mann, CFA, Vice President of Investor Relations</w:t>
      </w:r>
    </w:p>
    <w:p>
      <w:pPr>
        <w:spacing w:after="0" w:line="9" w:lineRule="exact"/>
        <w:rPr>
          <w:sz w:val="20"/>
          <w:szCs w:val="20"/>
          <w:color w:val="auto"/>
        </w:rPr>
      </w:pPr>
    </w:p>
    <w:p>
      <w:pPr>
        <w:ind w:right="8460" w:firstLine="8"/>
        <w:spacing w:after="0" w:line="323"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Kristina Gross, Vice President of Communications</w:t>
      </w:r>
    </w:p>
    <w:p>
      <w:pPr>
        <w:spacing w:after="0" w:line="9" w:lineRule="exact"/>
        <w:rPr>
          <w:sz w:val="20"/>
          <w:szCs w:val="20"/>
          <w:color w:val="auto"/>
        </w:rPr>
      </w:pPr>
    </w:p>
    <w:p>
      <w:pPr>
        <w:ind w:right="9260" w:firstLine="8"/>
        <w:spacing w:after="0" w:line="323" w:lineRule="auto"/>
        <w:tabs>
          <w:tab w:leader="none" w:pos="4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448-2355 media@nationalvision.com</w:t>
      </w:r>
    </w:p>
    <w:sectPr>
      <w:pgSz w:w="11900" w:h="16838" w:orient="portrait"/>
      <w:cols w:equalWidth="0" w:num="1">
        <w:col w:w="11240"/>
      </w:cols>
      <w:pgMar w:left="320" w:top="4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470"/>
    </w:lvl>
  </w:abstractNum>
  <w:abstractNum w:abstractNumId="11">
    <w:nsid w:val="66EF438D"/>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2020-05-07T06:47:30Z</dcterms:created>
  <dcterms:modified xsi:type="dcterms:W3CDTF">2020-05-07T06:47:30Z</dcterms:modified>
</cp:coreProperties>
</file>