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5213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Clark Bill</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520"/>
        <w:spacing w:after="0" w:line="380"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8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SVP, Chief People Officer</w:t>
            </w:r>
          </w:p>
        </w:tc>
        <w:tc>
          <w:tcPr>
            <w:tcW w:w="0" w:type="dxa"/>
            <w:vAlign w:val="bottom"/>
          </w:tcPr>
          <w:p>
            <w:pPr>
              <w:spacing w:after="0"/>
              <w:rPr>
                <w:sz w:val="1"/>
                <w:szCs w:val="1"/>
                <w:color w:val="auto"/>
              </w:rPr>
            </w:pPr>
          </w:p>
        </w:tc>
      </w:tr>
      <w:tr>
        <w:trPr>
          <w:trHeight w:val="215"/>
        </w:trPr>
        <w:tc>
          <w:tcPr>
            <w:tcW w:w="2620" w:type="dxa"/>
            <w:vAlign w:val="bottom"/>
            <w:gridSpan w:val="3"/>
          </w:tcPr>
          <w:p>
            <w:pPr>
              <w:ind w:left="80"/>
              <w:spacing w:after="0"/>
              <w:rPr>
                <w:sz w:val="20"/>
                <w:szCs w:val="20"/>
                <w:color w:val="auto"/>
              </w:rPr>
            </w:pPr>
            <w:r>
              <w:rPr>
                <w:rFonts w:ascii="Arial" w:cs="Arial" w:eastAsia="Arial" w:hAnsi="Arial"/>
                <w:sz w:val="17"/>
                <w:szCs w:val="17"/>
                <w:color w:val="0000FF"/>
              </w:rPr>
              <w:t>02/28/2023</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02/28/2023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1"/>
              </w:rPr>
              <w:t>766</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17,377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Arial" w:cs="Arial" w:eastAsia="Arial" w:hAnsi="Arial"/>
                <w:sz w:val="17"/>
                <w:szCs w:val="17"/>
                <w:color w:val="0000FF"/>
              </w:rPr>
              <w:t>02/28/2023</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Arial" w:cs="Arial" w:eastAsia="Arial" w:hAnsi="Arial"/>
                <w:sz w:val="17"/>
                <w:szCs w:val="17"/>
                <w:color w:val="0000FF"/>
                <w:w w:val="91"/>
              </w:rPr>
              <w:t>272</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19"/>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Arial" w:cs="Arial" w:eastAsia="Arial" w:hAnsi="Arial"/>
                <w:sz w:val="17"/>
                <w:szCs w:val="17"/>
                <w:color w:val="0000FF"/>
              </w:rPr>
              <w:t>17,105</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766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02/28/2023</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766</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40"/>
              <w:spacing w:after="0" w:line="144" w:lineRule="exact"/>
              <w:rPr>
                <w:sz w:val="20"/>
                <w:szCs w:val="20"/>
                <w:color w:val="auto"/>
              </w:rPr>
            </w:pPr>
            <w:r>
              <w:rPr>
                <w:rFonts w:ascii="Arial" w:cs="Arial" w:eastAsia="Arial" w:hAnsi="Arial"/>
                <w:sz w:val="13"/>
                <w:szCs w:val="13"/>
                <w:color w:val="0000FF"/>
                <w:w w:val="85"/>
              </w:rPr>
              <w:t>10,257</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26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2023, 766 restricted stock units vested and 272 shares of the Company's common stock were withheld to satisfy tax withholding obligations. The closing price on February 28, 2023 of the Company's common stock on NASDAQ was $37.36 per share.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2020, the reporting person was granted 2,298 restricted stock units, vesting in three equal annual installments beginning on the first anniversary of the grant 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6"/>
              </w:rPr>
              <w:t>/s/ Jared Brandman, as</w:t>
            </w:r>
          </w:p>
        </w:tc>
        <w:tc>
          <w:tcPr>
            <w:tcW w:w="500" w:type="dxa"/>
            <w:vAlign w:val="bottom"/>
          </w:tcPr>
          <w:p>
            <w:pPr>
              <w:spacing w:after="0"/>
              <w:rPr>
                <w:sz w:val="16"/>
                <w:szCs w:val="16"/>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03/02/2023</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9"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8111"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2023-03-02T16:36:03Z</dcterms:created>
  <dcterms:modified xsi:type="dcterms:W3CDTF">2023-03-02T16:36:03Z</dcterms:modified>
</cp:coreProperties>
</file>