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73087680.xml.htm"/>
      <w:bookmarkStart w:id="1" w:name="kswkform4_177308768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Clark Bill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NATIONAL VISION HOLDINGS,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2435 COMMERCE AVENUE, BLDG. 2200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DULUTH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30096-4980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National Vision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EYE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People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03/06/2026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96"/>
        <w:gridCol w:w="461"/>
        <w:gridCol w:w="675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03/06/2026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8,224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72,648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03/06/2026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2,430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27.9</w:t>
            </w:r>
            <w:r>
              <w:rPr/>
              <w:t xml:space="preserve"> 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70,218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52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711"/>
        <w:gridCol w:w="60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52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31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03/06/2026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8,224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8,224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19,812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03/06/2026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10,753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10,753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30,565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converts into common stock on a one-for-one basis.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Reflects payment of tax liability by withholding securities incident to vesting of restricted stock units.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On March 7, 2025, the reporting person was granted 24,672 restricted stock units, vesting in three equal installments beginning on the first anniversary of the grant date.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One-third of these restricted stock units will vest on each anniversary of the grant date, March 6, 2026.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Jared Brandman,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03/09/2026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78111" TargetMode="External"/><Relationship Id="rId5" Type="http://schemas.openxmlformats.org/officeDocument/2006/relationships/hyperlink" Target="http://www.sec.gov/cgi-bin/browse-edgar?action=getcompany&amp;CIK=000171015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683</Words>
  <Characters>3685</Characters>
  <CharactersWithSpaces>4278</CharactersWithSpaces>
  <Paragraphs>132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