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Beasley Chris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500"/>
        <w:spacing w:after="0" w:line="402"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DULUTH</w:t>
            </w:r>
          </w:p>
        </w:tc>
        <w:tc>
          <w:tcPr>
            <w:tcW w:w="1120" w:type="dxa"/>
            <w:vAlign w:val="bottom"/>
          </w:tcPr>
          <w:p>
            <w:pPr>
              <w:ind w:left="280"/>
              <w:spacing w:after="0"/>
              <w:rPr>
                <w:sz w:val="20"/>
                <w:szCs w:val="20"/>
                <w:color w:val="auto"/>
              </w:rPr>
            </w:pPr>
            <w:r>
              <w:rPr>
                <w:rFonts w:ascii="Arial" w:cs="Arial" w:eastAsia="Arial" w:hAnsi="Arial"/>
                <w:sz w:val="18"/>
                <w:szCs w:val="18"/>
                <w:color w:val="0000FF"/>
              </w:rPr>
              <w:t>GA</w:t>
            </w:r>
          </w:p>
        </w:tc>
        <w:tc>
          <w:tcPr>
            <w:tcW w:w="1680" w:type="dxa"/>
            <w:vAlign w:val="bottom"/>
          </w:tcPr>
          <w:p>
            <w:pPr>
              <w:ind w:left="420"/>
              <w:spacing w:after="0"/>
              <w:rPr>
                <w:sz w:val="20"/>
                <w:szCs w:val="20"/>
                <w:color w:val="auto"/>
              </w:rPr>
            </w:pPr>
            <w:r>
              <w:rPr>
                <w:rFonts w:ascii="Arial" w:cs="Arial" w:eastAsia="Arial" w:hAnsi="Arial"/>
                <w:sz w:val="18"/>
                <w:szCs w:val="18"/>
                <w:color w:val="0000FF"/>
              </w:rPr>
              <w:t>30096-4980</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52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SVP, Accounting, &amp; Controller</w:t>
            </w:r>
          </w:p>
        </w:tc>
        <w:tc>
          <w:tcPr>
            <w:tcW w:w="0" w:type="dxa"/>
            <w:vAlign w:val="bottom"/>
          </w:tcPr>
          <w:p>
            <w:pPr>
              <w:spacing w:after="0"/>
              <w:rPr>
                <w:sz w:val="1"/>
                <w:szCs w:val="1"/>
                <w:color w:val="auto"/>
              </w:rPr>
            </w:pPr>
          </w:p>
        </w:tc>
      </w:tr>
      <w:tr>
        <w:trPr>
          <w:trHeight w:val="222"/>
        </w:trPr>
        <w:tc>
          <w:tcPr>
            <w:tcW w:w="2720" w:type="dxa"/>
            <w:vAlign w:val="bottom"/>
            <w:gridSpan w:val="3"/>
          </w:tcPr>
          <w:p>
            <w:pPr>
              <w:ind w:left="80"/>
              <w:spacing w:after="0"/>
              <w:rPr>
                <w:sz w:val="20"/>
                <w:szCs w:val="20"/>
                <w:color w:val="auto"/>
              </w:rPr>
            </w:pPr>
            <w:r>
              <w:rPr>
                <w:rFonts w:ascii="Arial" w:cs="Arial" w:eastAsia="Arial" w:hAnsi="Arial"/>
                <w:sz w:val="18"/>
                <w:szCs w:val="18"/>
                <w:color w:val="0000FF"/>
              </w:rPr>
              <w:t>06/20/2018</w:t>
            </w: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40" w:type="dxa"/>
            <w:vAlign w:val="bottom"/>
            <w:gridSpan w:val="2"/>
          </w:tcPr>
          <w:p>
            <w:pPr>
              <w:ind w:left="740"/>
              <w:spacing w:after="0"/>
              <w:rPr>
                <w:sz w:val="20"/>
                <w:szCs w:val="20"/>
                <w:color w:val="auto"/>
              </w:rPr>
            </w:pPr>
            <w:r>
              <w:rPr>
                <w:rFonts w:ascii="Arial" w:cs="Arial" w:eastAsia="Arial" w:hAnsi="Arial"/>
                <w:sz w:val="18"/>
                <w:szCs w:val="18"/>
                <w:color w:val="0000FF"/>
              </w:rPr>
              <w:t>06/20/2018</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9"/>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6,219</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5.25</w:t>
            </w:r>
          </w:p>
        </w:tc>
        <w:tc>
          <w:tcPr>
            <w:tcW w:w="1360" w:type="dxa"/>
            <w:vAlign w:val="bottom"/>
            <w:gridSpan w:val="3"/>
          </w:tcPr>
          <w:p>
            <w:pPr>
              <w:jc w:val="right"/>
              <w:ind w:right="376"/>
              <w:spacing w:after="0"/>
              <w:rPr>
                <w:sz w:val="20"/>
                <w:szCs w:val="20"/>
                <w:color w:val="auto"/>
              </w:rPr>
            </w:pPr>
            <w:r>
              <w:rPr>
                <w:rFonts w:ascii="Arial" w:cs="Arial" w:eastAsia="Arial" w:hAnsi="Arial"/>
                <w:sz w:val="18"/>
                <w:szCs w:val="18"/>
                <w:color w:val="0000FF"/>
              </w:rPr>
              <w:t>6,219</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06/20/2018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6,219</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38.97</w:t>
            </w:r>
            <w:r>
              <w:rPr>
                <w:rFonts w:ascii="Arial" w:cs="Arial" w:eastAsia="Arial" w:hAnsi="Arial"/>
                <w:sz w:val="22"/>
                <w:szCs w:val="22"/>
                <w:color w:val="008000"/>
                <w:w w:val="93"/>
                <w:vertAlign w:val="superscript"/>
              </w:rPr>
              <w:t>(2)</w:t>
            </w: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36"/>
              <w:spacing w:after="0"/>
              <w:rPr>
                <w:sz w:val="20"/>
                <w:szCs w:val="20"/>
                <w:color w:val="auto"/>
              </w:rPr>
            </w:pPr>
            <w:r>
              <w:rPr>
                <w:rFonts w:ascii="Arial" w:cs="Arial" w:eastAsia="Arial" w:hAnsi="Arial"/>
                <w:sz w:val="18"/>
                <w:szCs w:val="18"/>
                <w:color w:val="0000FF"/>
                <w:w w:val="9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3"/>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4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5.25</w:t>
            </w:r>
          </w:p>
        </w:tc>
        <w:tc>
          <w:tcPr>
            <w:tcW w:w="1140" w:type="dxa"/>
            <w:vAlign w:val="bottom"/>
          </w:tcPr>
          <w:p>
            <w:pPr>
              <w:jc w:val="right"/>
              <w:ind w:right="192"/>
              <w:spacing w:after="0"/>
              <w:rPr>
                <w:sz w:val="20"/>
                <w:szCs w:val="20"/>
                <w:color w:val="auto"/>
              </w:rPr>
            </w:pPr>
            <w:r>
              <w:rPr>
                <w:rFonts w:ascii="Arial" w:cs="Arial" w:eastAsia="Arial" w:hAnsi="Arial"/>
                <w:sz w:val="14"/>
                <w:szCs w:val="14"/>
                <w:color w:val="0000FF"/>
              </w:rPr>
              <w:t>06/20/2018</w:t>
            </w:r>
          </w:p>
        </w:tc>
        <w:tc>
          <w:tcPr>
            <w:tcW w:w="1140" w:type="dxa"/>
            <w:vAlign w:val="bottom"/>
          </w:tcPr>
          <w:p>
            <w:pPr>
              <w:spacing w:after="0"/>
              <w:rPr>
                <w:sz w:val="17"/>
                <w:szCs w:val="17"/>
                <w:color w:val="auto"/>
              </w:rPr>
            </w:pPr>
          </w:p>
        </w:tc>
        <w:tc>
          <w:tcPr>
            <w:tcW w:w="60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6,219</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20" w:type="dxa"/>
            <w:vAlign w:val="bottom"/>
          </w:tcPr>
          <w:p>
            <w:pPr>
              <w:ind w:left="40"/>
              <w:spacing w:after="0"/>
              <w:rPr>
                <w:sz w:val="20"/>
                <w:szCs w:val="20"/>
                <w:color w:val="auto"/>
              </w:rPr>
            </w:pPr>
            <w:r>
              <w:rPr>
                <w:rFonts w:ascii="Arial" w:cs="Arial" w:eastAsia="Arial" w:hAnsi="Arial"/>
                <w:sz w:val="14"/>
                <w:szCs w:val="14"/>
                <w:color w:val="0000FF"/>
                <w:w w:val="94"/>
              </w:rPr>
              <w:t>09/01/2025</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6,219</w:t>
            </w:r>
          </w:p>
        </w:tc>
        <w:tc>
          <w:tcPr>
            <w:tcW w:w="6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4"/>
                <w:szCs w:val="14"/>
                <w:color w:val="0000FF"/>
                <w:w w:val="88"/>
              </w:rPr>
              <w:t>42,604</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jc w:val="right"/>
              <w:ind w:right="154"/>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Rule 10b5-1 trading plan established by the reporting person on May 22, 2018</w:t>
      </w:r>
    </w:p>
    <w:p>
      <w:pPr>
        <w:spacing w:after="0" w:line="41"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Price represents the weighted average sales price. The shares were sold pursuant to a single order in multiple transactions as prices ranging from $38.71 to $39.10. Upon request by the SEC staff, the issuer or a security holder of the issuer, the reporting person will provide full information regarding the number of shares sold at each separate price.</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Of these 48,823 stock options, 12,205 are vested and the remaining 36,618 stock options will vest in three equal annual installments on September 1, 2018, 2019 and 2020. An additional 91,543 stock options which remain subject to liquidity-event performance-based vesting conditions are not included in the table above.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Jared Brandman, as</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06/21/2018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9312"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2019-12-08T16:56:21Z</dcterms:created>
  <dcterms:modified xsi:type="dcterms:W3CDTF">2019-12-08T16:56:21Z</dcterms:modified>
</cp:coreProperties>
</file>