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1"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8"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9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6300" w:type="dxa"/>
            <w:vAlign w:val="bottom"/>
            <w:vMerge w:val="restart"/>
          </w:tcPr>
          <w:p>
            <w:pPr>
              <w:jc w:val="center"/>
              <w:ind w:right="19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-625475</wp:posOffset>
            </wp:positionV>
            <wp:extent cx="58420" cy="638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881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-625475</wp:posOffset>
            </wp:positionV>
            <wp:extent cx="58420" cy="638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881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15240</wp:posOffset>
            </wp:positionV>
            <wp:extent cx="6993890" cy="54235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5423535"/>
                    </a:xfrm>
                    <a:prstGeom prst="rect">
                      <a:avLst/>
                    </a:prstGeom>
                    <a:noFill/>
                  </pic:spPr>
                </pic:pic>
              </a:graphicData>
            </a:graphic>
          </wp:anchor>
        </w:drawing>
      </w:r>
    </w:p>
    <w:p>
      <w:pPr>
        <w:spacing w:after="0" w:line="93"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Clark Bill</w:t>
        </w:r>
      </w:hyperlink>
    </w:p>
    <w:p>
      <w:pPr>
        <w:spacing w:after="0" w:line="30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1" w:lineRule="exact"/>
        <w:rPr>
          <w:sz w:val="24"/>
          <w:szCs w:val="24"/>
          <w:color w:val="auto"/>
        </w:rPr>
      </w:pPr>
    </w:p>
    <w:p>
      <w:pPr>
        <w:ind w:left="120" w:right="560"/>
        <w:spacing w:after="0" w:line="374" w:lineRule="auto"/>
        <w:rPr>
          <w:sz w:val="20"/>
          <w:szCs w:val="20"/>
          <w:color w:val="auto"/>
        </w:rPr>
      </w:pPr>
      <w:r>
        <w:rPr>
          <w:rFonts w:ascii="Arial" w:cs="Arial" w:eastAsia="Arial" w:hAnsi="Arial"/>
          <w:sz w:val="16"/>
          <w:szCs w:val="16"/>
          <w:color w:val="0000FF"/>
        </w:rPr>
        <w:t>C/O NATIONAL VISION HOLDINGS, INC. 2435 COMMERCE AVENUE, BLDG. 2200</w:t>
      </w:r>
    </w:p>
    <w:p>
      <w:pPr>
        <w:spacing w:after="0" w:line="169"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980" w:type="dxa"/>
            <w:vAlign w:val="bottom"/>
          </w:tcPr>
          <w:p>
            <w:pPr>
              <w:ind w:left="20"/>
              <w:spacing w:after="0"/>
              <w:rPr>
                <w:sz w:val="20"/>
                <w:szCs w:val="20"/>
                <w:color w:val="auto"/>
              </w:rPr>
            </w:pPr>
            <w:r>
              <w:rPr>
                <w:rFonts w:ascii="Arial" w:cs="Arial" w:eastAsia="Arial" w:hAnsi="Arial"/>
                <w:sz w:val="17"/>
                <w:szCs w:val="17"/>
                <w:color w:val="0000FF"/>
              </w:rPr>
              <w:t>DULUTH</w:t>
            </w:r>
          </w:p>
        </w:tc>
        <w:tc>
          <w:tcPr>
            <w:tcW w:w="1060" w:type="dxa"/>
            <w:vAlign w:val="bottom"/>
          </w:tcPr>
          <w:p>
            <w:pPr>
              <w:ind w:left="260"/>
              <w:spacing w:after="0"/>
              <w:rPr>
                <w:sz w:val="20"/>
                <w:szCs w:val="20"/>
                <w:color w:val="auto"/>
              </w:rPr>
            </w:pPr>
            <w:r>
              <w:rPr>
                <w:rFonts w:ascii="Arial" w:cs="Arial" w:eastAsia="Arial" w:hAnsi="Arial"/>
                <w:sz w:val="17"/>
                <w:szCs w:val="17"/>
                <w:color w:val="0000FF"/>
              </w:rPr>
              <w:t>GA</w:t>
            </w:r>
          </w:p>
        </w:tc>
        <w:tc>
          <w:tcPr>
            <w:tcW w:w="1620" w:type="dxa"/>
            <w:vAlign w:val="bottom"/>
          </w:tcPr>
          <w:p>
            <w:pPr>
              <w:ind w:left="420"/>
              <w:spacing w:after="0"/>
              <w:rPr>
                <w:sz w:val="20"/>
                <w:szCs w:val="20"/>
                <w:color w:val="auto"/>
              </w:rPr>
            </w:pPr>
            <w:r>
              <w:rPr>
                <w:rFonts w:ascii="Arial" w:cs="Arial" w:eastAsia="Arial" w:hAnsi="Arial"/>
                <w:sz w:val="17"/>
                <w:szCs w:val="17"/>
                <w:color w:val="0000FF"/>
              </w:rPr>
              <w:t>30096-4980</w:t>
            </w:r>
          </w:p>
        </w:tc>
      </w:tr>
      <w:tr>
        <w:trPr>
          <w:trHeight w:val="149"/>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7"/>
        </w:trPr>
        <w:tc>
          <w:tcPr>
            <w:tcW w:w="60" w:type="dxa"/>
            <w:vAlign w:val="bottom"/>
          </w:tcPr>
          <w:p>
            <w:pPr>
              <w:spacing w:after="0"/>
              <w:rPr>
                <w:sz w:val="11"/>
                <w:szCs w:val="11"/>
                <w:color w:val="auto"/>
              </w:rPr>
            </w:pPr>
          </w:p>
        </w:tc>
        <w:tc>
          <w:tcPr>
            <w:tcW w:w="3760" w:type="dxa"/>
            <w:vAlign w:val="bottom"/>
            <w:gridSpan w:val="3"/>
          </w:tcPr>
          <w:p>
            <w:pPr>
              <w:spacing w:after="0" w:line="137" w:lineRule="exact"/>
              <w:rPr>
                <w:rFonts w:ascii="Arial" w:cs="Arial" w:eastAsia="Arial" w:hAnsi="Arial"/>
                <w:sz w:val="15"/>
                <w:szCs w:val="15"/>
                <w:color w:val="0000EE"/>
              </w:rPr>
            </w:pPr>
            <w:hyperlink r:id="rId13">
              <w:r>
                <w:rPr>
                  <w:rFonts w:ascii="Arial" w:cs="Arial" w:eastAsia="Arial" w:hAnsi="Arial"/>
                  <w:sz w:val="15"/>
                  <w:szCs w:val="15"/>
                  <w:color w:val="0000EE"/>
                </w:rPr>
                <w:t xml:space="preserve">National Vision Holdings,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EYE</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4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3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380" w:type="dxa"/>
            <w:vAlign w:val="bottom"/>
            <w:tcBorders>
              <w:bottom w:val="single" w:sz="8" w:color="0000EE"/>
            </w:tcBorders>
          </w:tcPr>
          <w:p>
            <w:pPr>
              <w:spacing w:after="0"/>
              <w:rPr>
                <w:sz w:val="3"/>
                <w:szCs w:val="3"/>
                <w:color w:val="auto"/>
              </w:rPr>
            </w:pPr>
          </w:p>
        </w:tc>
        <w:tc>
          <w:tcPr>
            <w:tcW w:w="1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1"/>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60" w:type="dxa"/>
            <w:vAlign w:val="bottom"/>
            <w:tcBorders>
              <w:bottom w:val="single" w:sz="8" w:color="2C2C2C"/>
            </w:tcBorders>
          </w:tcPr>
          <w:p>
            <w:pPr>
              <w:spacing w:after="0"/>
              <w:rPr>
                <w:sz w:val="16"/>
                <w:szCs w:val="16"/>
                <w:color w:val="auto"/>
              </w:rPr>
            </w:pPr>
          </w:p>
        </w:tc>
        <w:tc>
          <w:tcPr>
            <w:tcW w:w="140" w:type="dxa"/>
            <w:vAlign w:val="bottom"/>
            <w:tcBorders>
              <w:bottom w:val="single" w:sz="8" w:color="2C2C2C"/>
            </w:tcBorders>
          </w:tcPr>
          <w:p>
            <w:pPr>
              <w:spacing w:after="0"/>
              <w:rPr>
                <w:sz w:val="16"/>
                <w:szCs w:val="16"/>
                <w:color w:val="auto"/>
              </w:rPr>
            </w:pPr>
          </w:p>
        </w:tc>
        <w:tc>
          <w:tcPr>
            <w:tcW w:w="2380" w:type="dxa"/>
            <w:vAlign w:val="bottom"/>
            <w:tcBorders>
              <w:bottom w:val="single" w:sz="8" w:color="2C2C2C"/>
            </w:tcBorders>
          </w:tcPr>
          <w:p>
            <w:pPr>
              <w:spacing w:after="0"/>
              <w:rPr>
                <w:sz w:val="16"/>
                <w:szCs w:val="16"/>
                <w:color w:val="auto"/>
              </w:rPr>
            </w:pPr>
          </w:p>
        </w:tc>
        <w:tc>
          <w:tcPr>
            <w:tcW w:w="1240" w:type="dxa"/>
            <w:vAlign w:val="bottom"/>
            <w:tcBorders>
              <w:bottom w:val="single" w:sz="8" w:color="2C2C2C"/>
            </w:tcBorders>
          </w:tcPr>
          <w:p>
            <w:pPr>
              <w:spacing w:after="0"/>
              <w:rPr>
                <w:sz w:val="16"/>
                <w:szCs w:val="16"/>
                <w:color w:val="auto"/>
              </w:rPr>
            </w:pPr>
          </w:p>
        </w:tc>
        <w:tc>
          <w:tcPr>
            <w:tcW w:w="50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340" w:type="dxa"/>
            <w:vAlign w:val="bottom"/>
            <w:vMerge w:val="restart"/>
          </w:tcPr>
          <w:p>
            <w:pPr>
              <w:ind w:left="100"/>
              <w:spacing w:after="0" w:line="128"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2800" w:type="dxa"/>
            <w:vAlign w:val="bottom"/>
            <w:gridSpan w:val="2"/>
            <w:vMerge w:val="restart"/>
          </w:tcPr>
          <w:p>
            <w:pPr>
              <w:ind w:left="280"/>
              <w:spacing w:after="0"/>
              <w:rPr>
                <w:sz w:val="20"/>
                <w:szCs w:val="20"/>
                <w:color w:val="auto"/>
              </w:rPr>
            </w:pPr>
            <w:r>
              <w:rPr>
                <w:rFonts w:ascii="Arial" w:cs="Arial" w:eastAsia="Arial" w:hAnsi="Arial"/>
                <w:sz w:val="17"/>
                <w:szCs w:val="17"/>
                <w:color w:val="0000FF"/>
              </w:rPr>
              <w:t>SVP, Chief People Officer</w:t>
            </w:r>
          </w:p>
        </w:tc>
        <w:tc>
          <w:tcPr>
            <w:tcW w:w="0" w:type="dxa"/>
            <w:vAlign w:val="bottom"/>
          </w:tcPr>
          <w:p>
            <w:pPr>
              <w:spacing w:after="0"/>
              <w:rPr>
                <w:sz w:val="1"/>
                <w:szCs w:val="1"/>
                <w:color w:val="auto"/>
              </w:rPr>
            </w:pPr>
          </w:p>
        </w:tc>
      </w:tr>
      <w:tr>
        <w:trPr>
          <w:trHeight w:val="213"/>
        </w:trPr>
        <w:tc>
          <w:tcPr>
            <w:tcW w:w="2580" w:type="dxa"/>
            <w:vAlign w:val="bottom"/>
            <w:gridSpan w:val="3"/>
          </w:tcPr>
          <w:p>
            <w:pPr>
              <w:ind w:left="60"/>
              <w:spacing w:after="0"/>
              <w:rPr>
                <w:sz w:val="20"/>
                <w:szCs w:val="20"/>
                <w:color w:val="auto"/>
              </w:rPr>
            </w:pPr>
            <w:r>
              <w:rPr>
                <w:rFonts w:ascii="Arial" w:cs="Arial" w:eastAsia="Arial" w:hAnsi="Arial"/>
                <w:sz w:val="17"/>
                <w:szCs w:val="17"/>
                <w:color w:val="0000FF"/>
              </w:rPr>
              <w:t>03/03/2023</w:t>
            </w:r>
          </w:p>
        </w:tc>
        <w:tc>
          <w:tcPr>
            <w:tcW w:w="1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38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080"/>
        <w:spacing w:after="0" w:line="217"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88" w:lineRule="exact"/>
        <w:rPr>
          <w:sz w:val="24"/>
          <w:szCs w:val="24"/>
          <w:color w:val="auto"/>
        </w:rPr>
      </w:pPr>
    </w:p>
    <w:p>
      <w:pPr>
        <w:sectPr>
          <w:pgSz w:w="11900" w:h="16838" w:orient="portrait"/>
          <w:cols w:equalWidth="0" w:num="2">
            <w:col w:w="3760" w:space="80"/>
            <w:col w:w="724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3"/>
          </w:tcPr>
          <w:p>
            <w:pPr>
              <w:ind w:left="40"/>
              <w:spacing w:after="0" w:line="126"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jc w:val="right"/>
              <w:ind w:right="78"/>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Arial" w:cs="Arial" w:eastAsia="Arial" w:hAnsi="Arial"/>
                <w:sz w:val="17"/>
                <w:szCs w:val="17"/>
                <w:color w:val="0000FF"/>
              </w:rPr>
              <w:t>03/03/2023</w:t>
            </w:r>
          </w:p>
        </w:tc>
        <w:tc>
          <w:tcPr>
            <w:tcW w:w="6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9"/>
              <w:spacing w:after="0"/>
              <w:rPr>
                <w:sz w:val="20"/>
                <w:szCs w:val="20"/>
                <w:color w:val="auto"/>
              </w:rPr>
            </w:pPr>
            <w:r>
              <w:rPr>
                <w:rFonts w:ascii="Arial" w:cs="Arial" w:eastAsia="Arial" w:hAnsi="Arial"/>
                <w:sz w:val="13"/>
                <w:szCs w:val="13"/>
                <w:color w:val="0000FF"/>
              </w:rPr>
              <w:t>M</w:t>
            </w:r>
          </w:p>
        </w:tc>
        <w:tc>
          <w:tcPr>
            <w:tcW w:w="1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w w:val="98"/>
              </w:rPr>
              <w:t>639</w:t>
            </w:r>
          </w:p>
        </w:tc>
        <w:tc>
          <w:tcPr>
            <w:tcW w:w="66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right"/>
              <w:spacing w:after="0" w:line="309" w:lineRule="exact"/>
              <w:rPr>
                <w:sz w:val="20"/>
                <w:szCs w:val="20"/>
                <w:color w:val="auto"/>
              </w:rPr>
            </w:pPr>
            <w:r>
              <w:rPr>
                <w:rFonts w:ascii="Arial" w:cs="Arial" w:eastAsia="Arial" w:hAnsi="Arial"/>
                <w:sz w:val="33"/>
                <w:szCs w:val="33"/>
                <w:color w:val="000000"/>
                <w:vertAlign w:val="subscript"/>
              </w:rPr>
              <w:t>$</w:t>
            </w:r>
            <w:r>
              <w:rPr>
                <w:rFonts w:ascii="Arial" w:cs="Arial" w:eastAsia="Arial" w:hAnsi="Arial"/>
                <w:sz w:val="33"/>
                <w:szCs w:val="33"/>
                <w:color w:val="0000FF"/>
                <w:vertAlign w:val="subscript"/>
              </w:rPr>
              <w:t>0</w:t>
            </w:r>
            <w:r>
              <w:rPr>
                <w:rFonts w:ascii="Arial" w:cs="Arial" w:eastAsia="Arial" w:hAnsi="Arial"/>
                <w:sz w:val="11"/>
                <w:szCs w:val="11"/>
                <w:color w:val="008000"/>
              </w:rPr>
              <w:t>(1)</w:t>
            </w:r>
          </w:p>
        </w:tc>
        <w:tc>
          <w:tcPr>
            <w:tcW w:w="1340" w:type="dxa"/>
            <w:vAlign w:val="bottom"/>
            <w:tcBorders>
              <w:bottom w:val="single" w:sz="8" w:color="2C2C2C"/>
            </w:tcBorders>
            <w:gridSpan w:val="3"/>
          </w:tcPr>
          <w:p>
            <w:pPr>
              <w:ind w:left="480"/>
              <w:spacing w:after="0"/>
              <w:rPr>
                <w:sz w:val="20"/>
                <w:szCs w:val="20"/>
                <w:color w:val="auto"/>
              </w:rPr>
            </w:pPr>
            <w:r>
              <w:rPr>
                <w:rFonts w:ascii="Arial" w:cs="Arial" w:eastAsia="Arial" w:hAnsi="Arial"/>
                <w:sz w:val="17"/>
                <w:szCs w:val="17"/>
                <w:color w:val="0000FF"/>
              </w:rPr>
              <w:t>22,518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22"/>
                <w:szCs w:val="22"/>
                <w:color w:val="auto"/>
              </w:rPr>
            </w:pPr>
          </w:p>
        </w:tc>
        <w:tc>
          <w:tcPr>
            <w:tcW w:w="1860" w:type="dxa"/>
            <w:vAlign w:val="bottom"/>
            <w:gridSpan w:val="2"/>
          </w:tcPr>
          <w:p>
            <w:pPr>
              <w:ind w:left="900"/>
              <w:spacing w:after="0"/>
              <w:rPr>
                <w:sz w:val="20"/>
                <w:szCs w:val="20"/>
                <w:color w:val="auto"/>
              </w:rPr>
            </w:pPr>
            <w:r>
              <w:rPr>
                <w:rFonts w:ascii="Arial" w:cs="Arial" w:eastAsia="Arial" w:hAnsi="Arial"/>
                <w:sz w:val="17"/>
                <w:szCs w:val="17"/>
                <w:color w:val="0000FF"/>
              </w:rPr>
              <w:t>03/03/2023</w:t>
            </w:r>
          </w:p>
        </w:tc>
        <w:tc>
          <w:tcPr>
            <w:tcW w:w="6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9"/>
              <w:spacing w:after="0"/>
              <w:rPr>
                <w:sz w:val="20"/>
                <w:szCs w:val="20"/>
                <w:color w:val="auto"/>
              </w:rPr>
            </w:pPr>
            <w:r>
              <w:rPr>
                <w:rFonts w:ascii="Arial" w:cs="Arial" w:eastAsia="Arial" w:hAnsi="Arial"/>
                <w:sz w:val="13"/>
                <w:szCs w:val="13"/>
                <w:color w:val="0000FF"/>
              </w:rPr>
              <w:t>F</w:t>
            </w:r>
          </w:p>
        </w:tc>
        <w:tc>
          <w:tcPr>
            <w:tcW w:w="160" w:type="dxa"/>
            <w:vAlign w:val="bottom"/>
          </w:tcPr>
          <w:p>
            <w:pPr>
              <w:spacing w:after="0"/>
              <w:rPr>
                <w:sz w:val="22"/>
                <w:szCs w:val="22"/>
                <w:color w:val="auto"/>
              </w:rPr>
            </w:pPr>
          </w:p>
        </w:tc>
        <w:tc>
          <w:tcPr>
            <w:tcW w:w="560" w:type="dxa"/>
            <w:vAlign w:val="bottom"/>
          </w:tcPr>
          <w:p>
            <w:pPr>
              <w:ind w:left="260"/>
              <w:spacing w:after="0"/>
              <w:rPr>
                <w:sz w:val="20"/>
                <w:szCs w:val="20"/>
                <w:color w:val="auto"/>
              </w:rPr>
            </w:pPr>
            <w:r>
              <w:rPr>
                <w:rFonts w:ascii="Arial" w:cs="Arial" w:eastAsia="Arial" w:hAnsi="Arial"/>
                <w:sz w:val="17"/>
                <w:szCs w:val="17"/>
                <w:color w:val="0000FF"/>
                <w:w w:val="98"/>
              </w:rPr>
              <w:t>227</w:t>
            </w:r>
          </w:p>
        </w:tc>
        <w:tc>
          <w:tcPr>
            <w:tcW w:w="660" w:type="dxa"/>
            <w:vAlign w:val="bottom"/>
          </w:tcPr>
          <w:p>
            <w:pPr>
              <w:ind w:left="420"/>
              <w:spacing w:after="0"/>
              <w:rPr>
                <w:sz w:val="20"/>
                <w:szCs w:val="20"/>
                <w:color w:val="auto"/>
              </w:rPr>
            </w:pPr>
            <w:r>
              <w:rPr>
                <w:rFonts w:ascii="Arial" w:cs="Arial" w:eastAsia="Arial" w:hAnsi="Arial"/>
                <w:sz w:val="17"/>
                <w:szCs w:val="17"/>
                <w:color w:val="0000FF"/>
              </w:rPr>
              <w:t>D</w:t>
            </w:r>
          </w:p>
        </w:tc>
        <w:tc>
          <w:tcPr>
            <w:tcW w:w="540" w:type="dxa"/>
            <w:vAlign w:val="bottom"/>
          </w:tcPr>
          <w:p>
            <w:pPr>
              <w:jc w:val="right"/>
              <w:ind w:right="38"/>
              <w:spacing w:after="0"/>
              <w:rPr>
                <w:sz w:val="20"/>
                <w:szCs w:val="20"/>
                <w:color w:val="auto"/>
              </w:rPr>
            </w:pPr>
            <w:r>
              <w:rPr>
                <w:rFonts w:ascii="Arial" w:cs="Arial" w:eastAsia="Arial" w:hAnsi="Arial"/>
                <w:sz w:val="11"/>
                <w:szCs w:val="11"/>
                <w:color w:val="008000"/>
              </w:rPr>
              <w:t>(2)</w:t>
            </w:r>
          </w:p>
        </w:tc>
        <w:tc>
          <w:tcPr>
            <w:tcW w:w="1340" w:type="dxa"/>
            <w:vAlign w:val="bottom"/>
            <w:gridSpan w:val="3"/>
          </w:tcPr>
          <w:p>
            <w:pPr>
              <w:ind w:left="480"/>
              <w:spacing w:after="0"/>
              <w:rPr>
                <w:sz w:val="20"/>
                <w:szCs w:val="20"/>
                <w:color w:val="auto"/>
              </w:rPr>
            </w:pPr>
            <w:r>
              <w:rPr>
                <w:rFonts w:ascii="Arial" w:cs="Arial" w:eastAsia="Arial" w:hAnsi="Arial"/>
                <w:sz w:val="17"/>
                <w:szCs w:val="17"/>
                <w:color w:val="0000FF"/>
              </w:rPr>
              <w:t>22,291</w:t>
            </w:r>
          </w:p>
        </w:tc>
        <w:tc>
          <w:tcPr>
            <w:tcW w:w="28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5"/>
          </w:tcPr>
          <w:p>
            <w:pPr>
              <w:spacing w:after="0"/>
              <w:rPr>
                <w:sz w:val="8"/>
                <w:szCs w:val="8"/>
                <w:color w:val="auto"/>
              </w:rPr>
            </w:pPr>
          </w:p>
        </w:tc>
        <w:tc>
          <w:tcPr>
            <w:tcW w:w="2700" w:type="dxa"/>
            <w:vAlign w:val="bottom"/>
            <w:tcBorders>
              <w:bottom w:val="single" w:sz="8" w:color="2C2C2C"/>
            </w:tcBorders>
            <w:gridSpan w:val="6"/>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0"/>
          </w:tcPr>
          <w:p>
            <w:pPr>
              <w:jc w:val="right"/>
              <w:ind w:right="78"/>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6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9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7"/>
              </w:rPr>
              <w:t>Expiration Date</w:t>
            </w:r>
          </w:p>
        </w:tc>
        <w:tc>
          <w:tcPr>
            <w:tcW w:w="560" w:type="dxa"/>
            <w:vAlign w:val="bottom"/>
          </w:tcPr>
          <w:p>
            <w:pPr>
              <w:spacing w:after="0"/>
              <w:rPr>
                <w:sz w:val="11"/>
                <w:szCs w:val="11"/>
                <w:color w:val="auto"/>
              </w:rPr>
            </w:pPr>
          </w:p>
        </w:tc>
        <w:tc>
          <w:tcPr>
            <w:tcW w:w="12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 of</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 (Instr. 3,</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0" w:type="dxa"/>
            <w:vAlign w:val="bottom"/>
          </w:tcPr>
          <w:p>
            <w:pPr>
              <w:ind w:left="140"/>
              <w:spacing w:after="0"/>
              <w:rPr>
                <w:sz w:val="20"/>
                <w:szCs w:val="20"/>
                <w:color w:val="auto"/>
              </w:rPr>
            </w:pPr>
            <w:r>
              <w:rPr>
                <w:rFonts w:ascii="Arial" w:cs="Arial" w:eastAsia="Arial" w:hAnsi="Arial"/>
                <w:sz w:val="12"/>
                <w:szCs w:val="12"/>
                <w:b w:val="1"/>
                <w:bCs w:val="1"/>
                <w:color w:val="auto"/>
                <w:w w:val="96"/>
              </w:rPr>
              <w:t>4 and 5)</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0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gridSpan w:val="2"/>
            <w:vMerge w:val="restart"/>
          </w:tcPr>
          <w:p>
            <w:pPr>
              <w:jc w:val="center"/>
              <w:spacing w:after="0"/>
              <w:rPr>
                <w:sz w:val="20"/>
                <w:szCs w:val="20"/>
                <w:color w:val="auto"/>
              </w:rPr>
            </w:pPr>
            <w:r>
              <w:rPr>
                <w:rFonts w:ascii="Arial" w:cs="Arial" w:eastAsia="Arial" w:hAnsi="Arial"/>
                <w:sz w:val="11"/>
                <w:szCs w:val="11"/>
                <w:color w:val="008000"/>
                <w:w w:val="88"/>
              </w:rPr>
              <w:t>(3)</w:t>
            </w:r>
          </w:p>
        </w:tc>
        <w:tc>
          <w:tcPr>
            <w:tcW w:w="160" w:type="dxa"/>
            <w:vAlign w:val="bottom"/>
          </w:tcPr>
          <w:p>
            <w:pPr>
              <w:spacing w:after="0"/>
              <w:rPr>
                <w:sz w:val="16"/>
                <w:szCs w:val="16"/>
                <w:color w:val="auto"/>
              </w:rPr>
            </w:pPr>
          </w:p>
        </w:tc>
        <w:tc>
          <w:tcPr>
            <w:tcW w:w="560" w:type="dxa"/>
            <w:vAlign w:val="bottom"/>
            <w:vMerge w:val="restart"/>
          </w:tcPr>
          <w:p>
            <w:pPr>
              <w:ind w:left="120"/>
              <w:spacing w:after="0"/>
              <w:rPr>
                <w:sz w:val="20"/>
                <w:szCs w:val="20"/>
                <w:color w:val="auto"/>
              </w:rPr>
            </w:pPr>
            <w:r>
              <w:rPr>
                <w:rFonts w:ascii="Arial" w:cs="Arial" w:eastAsia="Arial" w:hAnsi="Arial"/>
                <w:sz w:val="11"/>
                <w:szCs w:val="11"/>
                <w:color w:val="008000"/>
              </w:rPr>
              <w:t>(3)</w:t>
            </w:r>
          </w:p>
        </w:tc>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right"/>
              <w:ind w:right="118"/>
              <w:spacing w:after="0"/>
              <w:rPr>
                <w:sz w:val="20"/>
                <w:szCs w:val="20"/>
                <w:color w:val="auto"/>
              </w:rPr>
            </w:pPr>
            <w:r>
              <w:rPr>
                <w:rFonts w:ascii="Arial" w:cs="Arial" w:eastAsia="Arial" w:hAnsi="Arial"/>
                <w:sz w:val="17"/>
                <w:szCs w:val="17"/>
                <w:color w:val="0000FF"/>
              </w:rPr>
              <w:t>639</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39"/>
              <w:spacing w:after="0" w:line="142" w:lineRule="exact"/>
              <w:rPr>
                <w:sz w:val="20"/>
                <w:szCs w:val="20"/>
                <w:color w:val="auto"/>
              </w:rPr>
            </w:pPr>
            <w:r>
              <w:rPr>
                <w:rFonts w:ascii="Arial" w:cs="Arial" w:eastAsia="Arial" w:hAnsi="Arial"/>
                <w:sz w:val="13"/>
                <w:szCs w:val="13"/>
                <w:color w:val="0000FF"/>
              </w:rPr>
              <w:t>03/03/2023</w:t>
            </w:r>
          </w:p>
        </w:tc>
        <w:tc>
          <w:tcPr>
            <w:tcW w:w="1120" w:type="dxa"/>
            <w:vAlign w:val="bottom"/>
          </w:tcPr>
          <w:p>
            <w:pPr>
              <w:spacing w:after="0"/>
              <w:rPr>
                <w:sz w:val="5"/>
                <w:szCs w:val="5"/>
                <w:color w:val="auto"/>
              </w:rPr>
            </w:pPr>
          </w:p>
        </w:tc>
        <w:tc>
          <w:tcPr>
            <w:tcW w:w="740" w:type="dxa"/>
            <w:vAlign w:val="bottom"/>
            <w:vMerge w:val="restart"/>
          </w:tcPr>
          <w:p>
            <w:pPr>
              <w:ind w:left="160"/>
              <w:spacing w:after="0" w:line="142" w:lineRule="exact"/>
              <w:rPr>
                <w:sz w:val="20"/>
                <w:szCs w:val="20"/>
                <w:color w:val="auto"/>
              </w:rPr>
            </w:pPr>
            <w:r>
              <w:rPr>
                <w:rFonts w:ascii="Arial" w:cs="Arial" w:eastAsia="Arial" w:hAnsi="Arial"/>
                <w:sz w:val="13"/>
                <w:szCs w:val="13"/>
                <w:color w:val="0000FF"/>
              </w:rPr>
              <w:t>M</w:t>
            </w:r>
          </w:p>
        </w:tc>
        <w:tc>
          <w:tcPr>
            <w:tcW w:w="600" w:type="dxa"/>
            <w:vAlign w:val="bottom"/>
          </w:tcPr>
          <w:p>
            <w:pPr>
              <w:spacing w:after="0"/>
              <w:rPr>
                <w:sz w:val="5"/>
                <w:szCs w:val="5"/>
                <w:color w:val="auto"/>
              </w:rPr>
            </w:pPr>
          </w:p>
        </w:tc>
        <w:tc>
          <w:tcPr>
            <w:tcW w:w="320" w:type="dxa"/>
            <w:vAlign w:val="bottom"/>
            <w:vMerge w:val="restart"/>
          </w:tcPr>
          <w:p>
            <w:pPr>
              <w:ind w:left="40"/>
              <w:spacing w:after="0" w:line="142" w:lineRule="exact"/>
              <w:rPr>
                <w:sz w:val="20"/>
                <w:szCs w:val="20"/>
                <w:color w:val="auto"/>
              </w:rPr>
            </w:pPr>
            <w:r>
              <w:rPr>
                <w:rFonts w:ascii="Arial" w:cs="Arial" w:eastAsia="Arial" w:hAnsi="Arial"/>
                <w:sz w:val="13"/>
                <w:szCs w:val="13"/>
                <w:color w:val="0000FF"/>
              </w:rPr>
              <w:t>639</w:t>
            </w: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vMerge w:val="restart"/>
          </w:tcPr>
          <w:p>
            <w:pPr>
              <w:jc w:val="right"/>
              <w:spacing w:after="0" w:line="142" w:lineRule="exact"/>
              <w:rPr>
                <w:sz w:val="20"/>
                <w:szCs w:val="20"/>
                <w:color w:val="auto"/>
              </w:rPr>
            </w:pPr>
            <w:r>
              <w:rPr>
                <w:rFonts w:ascii="Arial" w:cs="Arial" w:eastAsia="Arial" w:hAnsi="Arial"/>
                <w:sz w:val="13"/>
                <w:szCs w:val="13"/>
                <w:color w:val="0000FF"/>
              </w:rPr>
              <w:t>7,540</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0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gridSpan w:val="2"/>
            <w:vMerge w:val="restart"/>
          </w:tcPr>
          <w:p>
            <w:pPr>
              <w:jc w:val="center"/>
              <w:spacing w:after="0"/>
              <w:rPr>
                <w:sz w:val="20"/>
                <w:szCs w:val="20"/>
                <w:color w:val="auto"/>
              </w:rPr>
            </w:pPr>
            <w:r>
              <w:rPr>
                <w:rFonts w:ascii="Arial" w:cs="Arial" w:eastAsia="Arial" w:hAnsi="Arial"/>
                <w:sz w:val="11"/>
                <w:szCs w:val="11"/>
                <w:color w:val="008000"/>
                <w:w w:val="88"/>
              </w:rPr>
              <w:t>(4)</w:t>
            </w:r>
          </w:p>
        </w:tc>
        <w:tc>
          <w:tcPr>
            <w:tcW w:w="160" w:type="dxa"/>
            <w:vAlign w:val="bottom"/>
          </w:tcPr>
          <w:p>
            <w:pPr>
              <w:spacing w:after="0"/>
              <w:rPr>
                <w:sz w:val="16"/>
                <w:szCs w:val="16"/>
                <w:color w:val="auto"/>
              </w:rPr>
            </w:pPr>
          </w:p>
        </w:tc>
        <w:tc>
          <w:tcPr>
            <w:tcW w:w="560" w:type="dxa"/>
            <w:vAlign w:val="bottom"/>
            <w:vMerge w:val="restart"/>
          </w:tcPr>
          <w:p>
            <w:pPr>
              <w:ind w:left="120"/>
              <w:spacing w:after="0"/>
              <w:rPr>
                <w:sz w:val="20"/>
                <w:szCs w:val="20"/>
                <w:color w:val="auto"/>
              </w:rPr>
            </w:pPr>
            <w:r>
              <w:rPr>
                <w:rFonts w:ascii="Arial" w:cs="Arial" w:eastAsia="Arial" w:hAnsi="Arial"/>
                <w:sz w:val="11"/>
                <w:szCs w:val="11"/>
                <w:color w:val="008000"/>
              </w:rPr>
              <w:t>(4)</w:t>
            </w:r>
          </w:p>
        </w:tc>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right"/>
              <w:ind w:right="18"/>
              <w:spacing w:after="0"/>
              <w:rPr>
                <w:sz w:val="20"/>
                <w:szCs w:val="20"/>
                <w:color w:val="auto"/>
              </w:rPr>
            </w:pPr>
            <w:r>
              <w:rPr>
                <w:rFonts w:ascii="Arial" w:cs="Arial" w:eastAsia="Arial" w:hAnsi="Arial"/>
                <w:sz w:val="17"/>
                <w:szCs w:val="17"/>
                <w:color w:val="0000FF"/>
                <w:w w:val="84"/>
              </w:rPr>
              <w:t>19,050</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0"/>
                <w:szCs w:val="10"/>
                <w:color w:val="auto"/>
              </w:rPr>
            </w:pPr>
          </w:p>
        </w:tc>
        <w:tc>
          <w:tcPr>
            <w:tcW w:w="1040" w:type="dxa"/>
            <w:vAlign w:val="bottom"/>
          </w:tcPr>
          <w:p>
            <w:pPr>
              <w:jc w:val="right"/>
              <w:ind w:right="139"/>
              <w:spacing w:after="0" w:line="125" w:lineRule="exact"/>
              <w:rPr>
                <w:sz w:val="20"/>
                <w:szCs w:val="20"/>
                <w:color w:val="auto"/>
              </w:rPr>
            </w:pPr>
            <w:r>
              <w:rPr>
                <w:rFonts w:ascii="Arial" w:cs="Arial" w:eastAsia="Arial" w:hAnsi="Arial"/>
                <w:sz w:val="13"/>
                <w:szCs w:val="13"/>
                <w:color w:val="0000FF"/>
              </w:rPr>
              <w:t>03/03/2023</w:t>
            </w:r>
          </w:p>
        </w:tc>
        <w:tc>
          <w:tcPr>
            <w:tcW w:w="1120" w:type="dxa"/>
            <w:vAlign w:val="bottom"/>
          </w:tcPr>
          <w:p>
            <w:pPr>
              <w:spacing w:after="0"/>
              <w:rPr>
                <w:sz w:val="10"/>
                <w:szCs w:val="10"/>
                <w:color w:val="auto"/>
              </w:rPr>
            </w:pPr>
          </w:p>
        </w:tc>
        <w:tc>
          <w:tcPr>
            <w:tcW w:w="740" w:type="dxa"/>
            <w:vAlign w:val="bottom"/>
          </w:tcPr>
          <w:p>
            <w:pPr>
              <w:ind w:left="180"/>
              <w:spacing w:after="0" w:line="125" w:lineRule="exact"/>
              <w:rPr>
                <w:sz w:val="20"/>
                <w:szCs w:val="20"/>
                <w:color w:val="auto"/>
              </w:rPr>
            </w:pPr>
            <w:r>
              <w:rPr>
                <w:rFonts w:ascii="Arial" w:cs="Arial" w:eastAsia="Arial" w:hAnsi="Arial"/>
                <w:sz w:val="13"/>
                <w:szCs w:val="13"/>
                <w:color w:val="0000FF"/>
              </w:rPr>
              <w:t>A</w:t>
            </w:r>
          </w:p>
        </w:tc>
        <w:tc>
          <w:tcPr>
            <w:tcW w:w="600" w:type="dxa"/>
            <w:vAlign w:val="bottom"/>
          </w:tcPr>
          <w:p>
            <w:pPr>
              <w:ind w:left="140"/>
              <w:spacing w:after="0" w:line="125" w:lineRule="exact"/>
              <w:rPr>
                <w:sz w:val="20"/>
                <w:szCs w:val="20"/>
                <w:color w:val="auto"/>
              </w:rPr>
            </w:pPr>
            <w:r>
              <w:rPr>
                <w:rFonts w:ascii="Arial" w:cs="Arial" w:eastAsia="Arial" w:hAnsi="Arial"/>
                <w:sz w:val="13"/>
                <w:szCs w:val="13"/>
                <w:color w:val="0000FF"/>
              </w:rPr>
              <w:t>19,050</w:t>
            </w:r>
          </w:p>
        </w:tc>
        <w:tc>
          <w:tcPr>
            <w:tcW w:w="32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760" w:type="dxa"/>
            <w:vAlign w:val="bottom"/>
            <w:gridSpan w:val="2"/>
          </w:tcPr>
          <w:p>
            <w:pPr>
              <w:ind w:left="280"/>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tcPr>
          <w:p>
            <w:pPr>
              <w:jc w:val="right"/>
              <w:spacing w:after="0" w:line="125" w:lineRule="exact"/>
              <w:rPr>
                <w:sz w:val="20"/>
                <w:szCs w:val="20"/>
                <w:color w:val="auto"/>
              </w:rPr>
            </w:pPr>
            <w:r>
              <w:rPr>
                <w:rFonts w:ascii="Arial" w:cs="Arial" w:eastAsia="Arial" w:hAnsi="Arial"/>
                <w:sz w:val="13"/>
                <w:szCs w:val="13"/>
                <w:color w:val="0000FF"/>
              </w:rPr>
              <w:t>26,590</w:t>
            </w:r>
          </w:p>
        </w:tc>
        <w:tc>
          <w:tcPr>
            <w:tcW w:w="280" w:type="dxa"/>
            <w:vAlign w:val="bottom"/>
          </w:tcPr>
          <w:p>
            <w:pPr>
              <w:spacing w:after="0"/>
              <w:rPr>
                <w:sz w:val="10"/>
                <w:szCs w:val="10"/>
                <w:color w:val="auto"/>
              </w:rPr>
            </w:pPr>
          </w:p>
        </w:tc>
        <w:tc>
          <w:tcPr>
            <w:tcW w:w="660" w:type="dxa"/>
            <w:vAlign w:val="bottom"/>
          </w:tcPr>
          <w:p>
            <w:pPr>
              <w:ind w:left="320"/>
              <w:spacing w:after="0" w:line="125"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ind w:left="140"/>
              <w:spacing w:after="0" w:line="142" w:lineRule="exact"/>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-2359660</wp:posOffset>
            </wp:positionV>
            <wp:extent cx="29210" cy="23647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36474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NVHI common stock.</w:t>
      </w:r>
    </w:p>
    <w:p>
      <w:pPr>
        <w:spacing w:after="0" w:line="43" w:lineRule="exact"/>
        <w:rPr>
          <w:rFonts w:ascii="Arial" w:cs="Arial" w:eastAsia="Arial" w:hAnsi="Arial"/>
          <w:sz w:val="13"/>
          <w:szCs w:val="13"/>
          <w:color w:val="008000"/>
        </w:rPr>
      </w:pPr>
    </w:p>
    <w:p>
      <w:pPr>
        <w:ind w:left="40" w:right="160" w:firstLine="2"/>
        <w:spacing w:after="0" w:line="248"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March 3, 2023, 639 restricted stock units vested and 227 shares of the Company's common stock were withheld to satisfy tax withholding obligations. The closing price on March 3, 2023 of the Company's common stock on NASDAQ was $22.31 per share.</w:t>
      </w:r>
    </w:p>
    <w:p>
      <w:pPr>
        <w:spacing w:after="0" w:line="25"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March 5, 2021, the reporting person was granted 1,917 restricted stock units, vesting in three equal annual installments beginning on the first anniversary of the grant date.</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restricted stock units will vest in three equal annual installments beginning on the first anniversary of the grant date.</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5"/>
              </w:rPr>
              <w:t>/s/ Jared Brandman, as</w:t>
            </w:r>
          </w:p>
        </w:tc>
        <w:tc>
          <w:tcPr>
            <w:tcW w:w="520" w:type="dxa"/>
            <w:vAlign w:val="bottom"/>
          </w:tcPr>
          <w:p>
            <w:pPr>
              <w:spacing w:after="0"/>
              <w:rPr>
                <w:sz w:val="16"/>
                <w:szCs w:val="16"/>
                <w:color w:val="auto"/>
              </w:rPr>
            </w:pPr>
          </w:p>
        </w:tc>
        <w:tc>
          <w:tcPr>
            <w:tcW w:w="920" w:type="dxa"/>
            <w:vAlign w:val="bottom"/>
            <w:gridSpan w:val="2"/>
            <w:vMerge w:val="restart"/>
          </w:tcPr>
          <w:p>
            <w:pPr>
              <w:ind w:left="160"/>
              <w:spacing w:after="0"/>
              <w:rPr>
                <w:sz w:val="20"/>
                <w:szCs w:val="20"/>
                <w:color w:val="auto"/>
              </w:rPr>
            </w:pPr>
            <w:r>
              <w:rPr>
                <w:rFonts w:ascii="Arial" w:cs="Arial" w:eastAsia="Arial" w:hAnsi="Arial"/>
                <w:sz w:val="17"/>
                <w:szCs w:val="17"/>
                <w:color w:val="0000FF"/>
                <w:w w:val="86"/>
              </w:rPr>
              <w:t>03/07/2023</w:t>
            </w:r>
          </w:p>
        </w:tc>
        <w:tc>
          <w:tcPr>
            <w:tcW w:w="0" w:type="dxa"/>
            <w:vAlign w:val="bottom"/>
          </w:tcPr>
          <w:p>
            <w:pPr>
              <w:spacing w:after="0"/>
              <w:rPr>
                <w:sz w:val="1"/>
                <w:szCs w:val="1"/>
                <w:color w:val="auto"/>
              </w:rPr>
            </w:pPr>
          </w:p>
        </w:tc>
      </w:tr>
      <w:tr>
        <w:trPr>
          <w:trHeight w:val="83"/>
        </w:trPr>
        <w:tc>
          <w:tcPr>
            <w:tcW w:w="2040" w:type="dxa"/>
            <w:vAlign w:val="bottom"/>
            <w:gridSpan w:val="3"/>
            <w:vMerge w:val="restart"/>
          </w:tcPr>
          <w:p>
            <w:pPr>
              <w:spacing w:after="0" w:line="186" w:lineRule="exact"/>
              <w:rPr>
                <w:sz w:val="20"/>
                <w:szCs w:val="20"/>
                <w:color w:val="auto"/>
              </w:rPr>
            </w:pPr>
            <w:r>
              <w:rPr>
                <w:rFonts w:ascii="Arial" w:cs="Arial" w:eastAsia="Arial" w:hAnsi="Arial"/>
                <w:sz w:val="17"/>
                <w:szCs w:val="17"/>
                <w:color w:val="0000FF"/>
              </w:rPr>
              <w:t>Attorney-in-Fact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04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8111" TargetMode="External"/><Relationship Id="rId13" Type="http://schemas.openxmlformats.org/officeDocument/2006/relationships/hyperlink" Target="http://www.sec.gov/cgi-bin/browse-edgar?action=getcompany&amp;CIK=00017101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2023-03-07T16:00:07Z</dcterms:created>
  <dcterms:modified xsi:type="dcterms:W3CDTF">2023-03-07T16:00:07Z</dcterms:modified>
</cp:coreProperties>
</file>