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8"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55"/>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4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-632460</wp:posOffset>
            </wp:positionV>
            <wp:extent cx="58420" cy="645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17145</wp:posOffset>
            </wp:positionV>
            <wp:extent cx="6992620" cy="5213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213350"/>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Rasmussen Melissa</w:t>
        </w:r>
      </w:hyperlink>
    </w:p>
    <w:p>
      <w:pPr>
        <w:spacing w:after="0" w:line="308"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right="520"/>
        <w:spacing w:after="0" w:line="380" w:lineRule="auto"/>
        <w:rPr>
          <w:sz w:val="20"/>
          <w:szCs w:val="20"/>
          <w:color w:val="auto"/>
        </w:rPr>
      </w:pPr>
      <w:r>
        <w:rPr>
          <w:rFonts w:ascii="Arial" w:cs="Arial" w:eastAsia="Arial" w:hAnsi="Arial"/>
          <w:sz w:val="16"/>
          <w:szCs w:val="16"/>
          <w:color w:val="0000FF"/>
        </w:rPr>
        <w:t>C/O NATIONAL VISION HOLDINGS, INC. 2435 COMMERCE AVENUE, BLDG. 2200</w:t>
      </w:r>
    </w:p>
    <w:p>
      <w:pPr>
        <w:spacing w:after="0" w:line="168"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4"/>
        </w:trPr>
        <w:tc>
          <w:tcPr>
            <w:tcW w:w="20" w:type="dxa"/>
            <w:vAlign w:val="bottom"/>
          </w:tcPr>
          <w:p>
            <w:pPr>
              <w:spacing w:after="0"/>
              <w:rPr>
                <w:sz w:val="20"/>
                <w:szCs w:val="20"/>
                <w:color w:val="auto"/>
              </w:rPr>
            </w:pPr>
          </w:p>
        </w:tc>
        <w:tc>
          <w:tcPr>
            <w:tcW w:w="980" w:type="dxa"/>
            <w:vAlign w:val="bottom"/>
          </w:tcPr>
          <w:p>
            <w:pPr>
              <w:ind w:left="20"/>
              <w:spacing w:after="0"/>
              <w:rPr>
                <w:sz w:val="20"/>
                <w:szCs w:val="20"/>
                <w:color w:val="auto"/>
              </w:rPr>
            </w:pPr>
            <w:r>
              <w:rPr>
                <w:rFonts w:ascii="Arial" w:cs="Arial" w:eastAsia="Arial" w:hAnsi="Arial"/>
                <w:sz w:val="17"/>
                <w:szCs w:val="17"/>
                <w:color w:val="0000FF"/>
              </w:rPr>
              <w:t>DULUTH</w:t>
            </w:r>
          </w:p>
        </w:tc>
        <w:tc>
          <w:tcPr>
            <w:tcW w:w="1080" w:type="dxa"/>
            <w:vAlign w:val="bottom"/>
          </w:tcPr>
          <w:p>
            <w:pPr>
              <w:ind w:left="260"/>
              <w:spacing w:after="0"/>
              <w:rPr>
                <w:sz w:val="20"/>
                <w:szCs w:val="20"/>
                <w:color w:val="auto"/>
              </w:rPr>
            </w:pPr>
            <w:r>
              <w:rPr>
                <w:rFonts w:ascii="Arial" w:cs="Arial" w:eastAsia="Arial" w:hAnsi="Arial"/>
                <w:sz w:val="17"/>
                <w:szCs w:val="17"/>
                <w:color w:val="0000FF"/>
              </w:rPr>
              <w:t>GA</w:t>
            </w:r>
          </w:p>
        </w:tc>
        <w:tc>
          <w:tcPr>
            <w:tcW w:w="1600" w:type="dxa"/>
            <w:vAlign w:val="bottom"/>
          </w:tcPr>
          <w:p>
            <w:pPr>
              <w:ind w:left="420"/>
              <w:spacing w:after="0"/>
              <w:rPr>
                <w:sz w:val="20"/>
                <w:szCs w:val="20"/>
                <w:color w:val="auto"/>
              </w:rPr>
            </w:pPr>
            <w:r>
              <w:rPr>
                <w:rFonts w:ascii="Arial" w:cs="Arial" w:eastAsia="Arial" w:hAnsi="Arial"/>
                <w:sz w:val="17"/>
                <w:szCs w:val="17"/>
                <w:color w:val="0000FF"/>
              </w:rPr>
              <w:t>30096-4980</w:t>
            </w:r>
          </w:p>
        </w:tc>
      </w:tr>
      <w:tr>
        <w:trPr>
          <w:trHeight w:val="152"/>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9"/>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9"/>
        </w:trPr>
        <w:tc>
          <w:tcPr>
            <w:tcW w:w="8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National Vision Holdings,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EYE</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420" w:type="dxa"/>
            <w:vAlign w:val="bottom"/>
            <w:tcBorders>
              <w:bottom w:val="single" w:sz="8" w:color="0000EE"/>
            </w:tcBorders>
          </w:tcPr>
          <w:p>
            <w:pPr>
              <w:spacing w:after="0"/>
              <w:rPr>
                <w:sz w:val="3"/>
                <w:szCs w:val="3"/>
                <w:color w:val="auto"/>
              </w:rPr>
            </w:pPr>
          </w:p>
        </w:tc>
        <w:tc>
          <w:tcPr>
            <w:tcW w:w="1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420" w:type="dxa"/>
            <w:vAlign w:val="bottom"/>
            <w:tcBorders>
              <w:bottom w:val="single" w:sz="8" w:color="2C2C2C"/>
            </w:tcBorders>
          </w:tcPr>
          <w:p>
            <w:pPr>
              <w:spacing w:after="0"/>
              <w:rPr>
                <w:sz w:val="16"/>
                <w:szCs w:val="16"/>
                <w:color w:val="auto"/>
              </w:rPr>
            </w:pPr>
          </w:p>
        </w:tc>
        <w:tc>
          <w:tcPr>
            <w:tcW w:w="1220" w:type="dxa"/>
            <w:vAlign w:val="bottom"/>
            <w:tcBorders>
              <w:bottom w:val="single" w:sz="8" w:color="2C2C2C"/>
            </w:tcBorders>
          </w:tcPr>
          <w:p>
            <w:pPr>
              <w:spacing w:after="0"/>
              <w:rPr>
                <w:sz w:val="16"/>
                <w:szCs w:val="16"/>
                <w:color w:val="auto"/>
              </w:rPr>
            </w:pPr>
          </w:p>
        </w:tc>
        <w:tc>
          <w:tcPr>
            <w:tcW w:w="48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6"/>
                <w:szCs w:val="6"/>
                <w:color w:val="auto"/>
              </w:rPr>
            </w:pPr>
          </w:p>
        </w:tc>
        <w:tc>
          <w:tcPr>
            <w:tcW w:w="1360" w:type="dxa"/>
            <w:vAlign w:val="bottom"/>
            <w:vMerge w:val="restart"/>
          </w:tcPr>
          <w:p>
            <w:pPr>
              <w:ind w:left="100"/>
              <w:spacing w:after="0" w:line="129"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0" w:type="dxa"/>
            <w:vAlign w:val="bottom"/>
            <w:gridSpan w:val="2"/>
            <w:vMerge w:val="continue"/>
          </w:tcPr>
          <w:p>
            <w:pPr>
              <w:spacing w:after="0"/>
              <w:rPr>
                <w:sz w:val="5"/>
                <w:szCs w:val="5"/>
                <w:color w:val="auto"/>
              </w:rPr>
            </w:pPr>
          </w:p>
        </w:tc>
        <w:tc>
          <w:tcPr>
            <w:tcW w:w="3640" w:type="dxa"/>
            <w:vAlign w:val="bottom"/>
            <w:gridSpan w:val="2"/>
            <w:vMerge w:val="continue"/>
          </w:tcPr>
          <w:p>
            <w:pPr>
              <w:spacing w:after="0"/>
              <w:rPr>
                <w:sz w:val="5"/>
                <w:szCs w:val="5"/>
                <w:color w:val="auto"/>
              </w:rPr>
            </w:pPr>
          </w:p>
        </w:tc>
        <w:tc>
          <w:tcPr>
            <w:tcW w:w="480" w:type="dxa"/>
            <w:vAlign w:val="bottom"/>
          </w:tcPr>
          <w:p>
            <w:pPr>
              <w:spacing w:after="0"/>
              <w:rPr>
                <w:sz w:val="5"/>
                <w:szCs w:val="5"/>
                <w:color w:val="auto"/>
              </w:rPr>
            </w:pPr>
          </w:p>
        </w:tc>
        <w:tc>
          <w:tcPr>
            <w:tcW w:w="2800" w:type="dxa"/>
            <w:vAlign w:val="bottom"/>
            <w:gridSpan w:val="2"/>
            <w:vMerge w:val="restart"/>
          </w:tcPr>
          <w:p>
            <w:pPr>
              <w:ind w:left="100"/>
              <w:spacing w:after="0"/>
              <w:rPr>
                <w:sz w:val="20"/>
                <w:szCs w:val="20"/>
                <w:color w:val="auto"/>
              </w:rPr>
            </w:pPr>
            <w:r>
              <w:rPr>
                <w:rFonts w:ascii="Arial" w:cs="Arial" w:eastAsia="Arial" w:hAnsi="Arial"/>
                <w:sz w:val="17"/>
                <w:szCs w:val="17"/>
                <w:color w:val="0000FF"/>
              </w:rPr>
              <w:t>SVP, Chief Accounting Officer</w:t>
            </w:r>
          </w:p>
        </w:tc>
        <w:tc>
          <w:tcPr>
            <w:tcW w:w="0" w:type="dxa"/>
            <w:vAlign w:val="bottom"/>
          </w:tcPr>
          <w:p>
            <w:pPr>
              <w:spacing w:after="0"/>
              <w:rPr>
                <w:sz w:val="1"/>
                <w:szCs w:val="1"/>
                <w:color w:val="auto"/>
              </w:rPr>
            </w:pPr>
          </w:p>
        </w:tc>
      </w:tr>
      <w:tr>
        <w:trPr>
          <w:trHeight w:val="215"/>
        </w:trPr>
        <w:tc>
          <w:tcPr>
            <w:tcW w:w="2620" w:type="dxa"/>
            <w:vAlign w:val="bottom"/>
            <w:gridSpan w:val="3"/>
          </w:tcPr>
          <w:p>
            <w:pPr>
              <w:ind w:left="80"/>
              <w:spacing w:after="0"/>
              <w:rPr>
                <w:sz w:val="20"/>
                <w:szCs w:val="20"/>
                <w:color w:val="auto"/>
              </w:rPr>
            </w:pPr>
            <w:r>
              <w:rPr>
                <w:rFonts w:ascii="Arial" w:cs="Arial" w:eastAsia="Arial" w:hAnsi="Arial"/>
                <w:sz w:val="17"/>
                <w:szCs w:val="17"/>
                <w:color w:val="0000FF"/>
              </w:rPr>
              <w:t>02/28/2022</w:t>
            </w:r>
          </w:p>
        </w:tc>
        <w:tc>
          <w:tcPr>
            <w:tcW w:w="1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1"/>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42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tcPr>
          <w:p>
            <w:pPr>
              <w:spacing w:after="0"/>
              <w:rPr>
                <w:sz w:val="24"/>
                <w:szCs w:val="24"/>
                <w:color w:val="auto"/>
              </w:rPr>
            </w:pPr>
          </w:p>
        </w:tc>
        <w:tc>
          <w:tcPr>
            <w:tcW w:w="328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2" w:lineRule="auto"/>
        <w:tabs>
          <w:tab w:leader="none" w:pos="44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ind w:left="4440"/>
        <w:spacing w:after="0"/>
        <w:rPr>
          <w:sz w:val="20"/>
          <w:szCs w:val="20"/>
          <w:color w:val="auto"/>
        </w:rPr>
      </w:pPr>
      <w:r>
        <w:rPr>
          <w:rFonts w:ascii="Arial" w:cs="Arial" w:eastAsia="Arial" w:hAnsi="Arial"/>
          <w:sz w:val="13"/>
          <w:szCs w:val="13"/>
          <w:color w:val="auto"/>
        </w:rPr>
        <w:t>Person</w:t>
      </w:r>
    </w:p>
    <w:p>
      <w:pPr>
        <w:spacing w:after="0" w:line="394" w:lineRule="exact"/>
        <w:rPr>
          <w:sz w:val="24"/>
          <w:szCs w:val="24"/>
          <w:color w:val="auto"/>
        </w:rPr>
      </w:pPr>
    </w:p>
    <w:p>
      <w:pPr>
        <w:sectPr>
          <w:pgSz w:w="11900" w:h="16838" w:orient="portrait"/>
          <w:cols w:equalWidth="0" w:num="2">
            <w:col w:w="3760" w:space="8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680"/>
              <w:spacing w:after="0" w:line="128"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9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ind w:left="68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0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80"/>
              <w:spacing w:after="0"/>
              <w:rPr>
                <w:sz w:val="20"/>
                <w:szCs w:val="20"/>
                <w:color w:val="auto"/>
              </w:rPr>
            </w:pPr>
            <w:r>
              <w:rPr>
                <w:rFonts w:ascii="Arial" w:cs="Arial" w:eastAsia="Arial" w:hAnsi="Arial"/>
                <w:sz w:val="17"/>
                <w:szCs w:val="17"/>
                <w:color w:val="0000FF"/>
              </w:rPr>
              <w:t>02/28/2022</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19"/>
              <w:spacing w:after="0"/>
              <w:rPr>
                <w:sz w:val="20"/>
                <w:szCs w:val="20"/>
                <w:color w:val="auto"/>
              </w:rPr>
            </w:pPr>
            <w:r>
              <w:rPr>
                <w:rFonts w:ascii="Arial" w:cs="Arial" w:eastAsia="Arial" w:hAnsi="Arial"/>
                <w:sz w:val="13"/>
                <w:szCs w:val="13"/>
                <w:color w:val="0000FF"/>
              </w:rPr>
              <w:t>M</w:t>
            </w: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w w:val="91"/>
              </w:rPr>
              <w:t>383</w:t>
            </w:r>
          </w:p>
        </w:tc>
        <w:tc>
          <w:tcPr>
            <w:tcW w:w="66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2"/>
          </w:tcPr>
          <w:p>
            <w:pPr>
              <w:jc w:val="right"/>
              <w:ind w:right="20"/>
              <w:spacing w:after="0" w:line="312" w:lineRule="exact"/>
              <w:rPr>
                <w:sz w:val="20"/>
                <w:szCs w:val="20"/>
                <w:color w:val="auto"/>
              </w:rPr>
            </w:pPr>
            <w:r>
              <w:rPr>
                <w:rFonts w:ascii="Arial" w:cs="Arial" w:eastAsia="Arial" w:hAnsi="Arial"/>
                <w:sz w:val="33"/>
                <w:szCs w:val="33"/>
                <w:color w:val="000000"/>
                <w:vertAlign w:val="subscript"/>
              </w:rPr>
              <w:t>$</w:t>
            </w:r>
            <w:r>
              <w:rPr>
                <w:rFonts w:ascii="Arial" w:cs="Arial" w:eastAsia="Arial" w:hAnsi="Arial"/>
                <w:sz w:val="33"/>
                <w:szCs w:val="33"/>
                <w:color w:val="0000FF"/>
                <w:vertAlign w:val="subscript"/>
              </w:rPr>
              <w:t>0</w:t>
            </w:r>
            <w:r>
              <w:rPr>
                <w:rFonts w:ascii="Arial" w:cs="Arial" w:eastAsia="Arial" w:hAnsi="Arial"/>
                <w:sz w:val="11"/>
                <w:szCs w:val="11"/>
                <w:color w:val="008000"/>
              </w:rPr>
              <w:t>(1)</w:t>
            </w:r>
          </w:p>
        </w:tc>
        <w:tc>
          <w:tcPr>
            <w:tcW w:w="1320" w:type="dxa"/>
            <w:vAlign w:val="bottom"/>
            <w:tcBorders>
              <w:bottom w:val="single" w:sz="8" w:color="2C2C2C"/>
            </w:tcBorders>
            <w:gridSpan w:val="3"/>
          </w:tcPr>
          <w:p>
            <w:pPr>
              <w:jc w:val="center"/>
              <w:ind w:right="281"/>
              <w:spacing w:after="0"/>
              <w:rPr>
                <w:sz w:val="20"/>
                <w:szCs w:val="20"/>
                <w:color w:val="auto"/>
              </w:rPr>
            </w:pPr>
            <w:r>
              <w:rPr>
                <w:rFonts w:ascii="Arial" w:cs="Arial" w:eastAsia="Arial" w:hAnsi="Arial"/>
                <w:sz w:val="17"/>
                <w:szCs w:val="17"/>
                <w:color w:val="0000FF"/>
              </w:rPr>
              <w:t>7,223</w:t>
            </w:r>
            <w:r>
              <w:rPr>
                <w:rFonts w:ascii="Arial" w:cs="Arial" w:eastAsia="Arial" w:hAnsi="Arial"/>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720" w:type="dxa"/>
            <w:vAlign w:val="bottom"/>
            <w:gridSpan w:val="2"/>
          </w:tcPr>
          <w:p>
            <w:pPr>
              <w:ind w:left="780"/>
              <w:spacing w:after="0"/>
              <w:rPr>
                <w:sz w:val="20"/>
                <w:szCs w:val="20"/>
                <w:color w:val="auto"/>
              </w:rPr>
            </w:pPr>
            <w:r>
              <w:rPr>
                <w:rFonts w:ascii="Arial" w:cs="Arial" w:eastAsia="Arial" w:hAnsi="Arial"/>
                <w:sz w:val="17"/>
                <w:szCs w:val="17"/>
                <w:color w:val="0000FF"/>
              </w:rPr>
              <w:t>02/28/2022</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39"/>
              <w:spacing w:after="0"/>
              <w:rPr>
                <w:sz w:val="20"/>
                <w:szCs w:val="20"/>
                <w:color w:val="auto"/>
              </w:rPr>
            </w:pPr>
            <w:r>
              <w:rPr>
                <w:rFonts w:ascii="Arial" w:cs="Arial" w:eastAsia="Arial" w:hAnsi="Arial"/>
                <w:sz w:val="13"/>
                <w:szCs w:val="13"/>
                <w:color w:val="0000FF"/>
                <w:w w:val="74"/>
              </w:rPr>
              <w:t>F</w:t>
            </w:r>
          </w:p>
        </w:tc>
        <w:tc>
          <w:tcPr>
            <w:tcW w:w="200" w:type="dxa"/>
            <w:vAlign w:val="bottom"/>
          </w:tcPr>
          <w:p>
            <w:pPr>
              <w:spacing w:after="0"/>
              <w:rPr>
                <w:sz w:val="22"/>
                <w:szCs w:val="22"/>
                <w:color w:val="auto"/>
              </w:rPr>
            </w:pPr>
          </w:p>
        </w:tc>
        <w:tc>
          <w:tcPr>
            <w:tcW w:w="520" w:type="dxa"/>
            <w:vAlign w:val="bottom"/>
          </w:tcPr>
          <w:p>
            <w:pPr>
              <w:ind w:left="240"/>
              <w:spacing w:after="0"/>
              <w:rPr>
                <w:sz w:val="20"/>
                <w:szCs w:val="20"/>
                <w:color w:val="auto"/>
              </w:rPr>
            </w:pPr>
            <w:r>
              <w:rPr>
                <w:rFonts w:ascii="Arial" w:cs="Arial" w:eastAsia="Arial" w:hAnsi="Arial"/>
                <w:sz w:val="17"/>
                <w:szCs w:val="17"/>
                <w:color w:val="0000FF"/>
                <w:w w:val="91"/>
              </w:rPr>
              <w:t>112</w:t>
            </w:r>
          </w:p>
        </w:tc>
        <w:tc>
          <w:tcPr>
            <w:tcW w:w="660" w:type="dxa"/>
            <w:vAlign w:val="bottom"/>
          </w:tcPr>
          <w:p>
            <w:pPr>
              <w:ind w:left="420"/>
              <w:spacing w:after="0"/>
              <w:rPr>
                <w:sz w:val="20"/>
                <w:szCs w:val="20"/>
                <w:color w:val="auto"/>
              </w:rPr>
            </w:pPr>
            <w:r>
              <w:rPr>
                <w:rFonts w:ascii="Arial" w:cs="Arial" w:eastAsia="Arial" w:hAnsi="Arial"/>
                <w:sz w:val="17"/>
                <w:szCs w:val="17"/>
                <w:color w:val="0000FF"/>
              </w:rPr>
              <w:t>D</w:t>
            </w:r>
          </w:p>
        </w:tc>
        <w:tc>
          <w:tcPr>
            <w:tcW w:w="520" w:type="dxa"/>
            <w:vAlign w:val="bottom"/>
          </w:tcPr>
          <w:p>
            <w:pPr>
              <w:jc w:val="right"/>
              <w:ind w:right="19"/>
              <w:spacing w:after="0"/>
              <w:rPr>
                <w:sz w:val="20"/>
                <w:szCs w:val="20"/>
                <w:color w:val="auto"/>
              </w:rPr>
            </w:pPr>
            <w:r>
              <w:rPr>
                <w:rFonts w:ascii="Arial" w:cs="Arial" w:eastAsia="Arial" w:hAnsi="Arial"/>
                <w:sz w:val="11"/>
                <w:szCs w:val="11"/>
                <w:color w:val="008000"/>
              </w:rPr>
              <w:t>(3)</w:t>
            </w:r>
          </w:p>
        </w:tc>
        <w:tc>
          <w:tcPr>
            <w:tcW w:w="40" w:type="dxa"/>
            <w:vAlign w:val="bottom"/>
          </w:tcPr>
          <w:p>
            <w:pPr>
              <w:spacing w:after="0"/>
              <w:rPr>
                <w:sz w:val="22"/>
                <w:szCs w:val="22"/>
                <w:color w:val="auto"/>
              </w:rPr>
            </w:pPr>
          </w:p>
        </w:tc>
        <w:tc>
          <w:tcPr>
            <w:tcW w:w="1320" w:type="dxa"/>
            <w:vAlign w:val="bottom"/>
            <w:gridSpan w:val="3"/>
          </w:tcPr>
          <w:p>
            <w:pPr>
              <w:jc w:val="right"/>
              <w:ind w:right="381"/>
              <w:spacing w:after="0"/>
              <w:rPr>
                <w:sz w:val="20"/>
                <w:szCs w:val="20"/>
                <w:color w:val="auto"/>
              </w:rPr>
            </w:pPr>
            <w:r>
              <w:rPr>
                <w:rFonts w:ascii="Arial" w:cs="Arial" w:eastAsia="Arial" w:hAnsi="Arial"/>
                <w:sz w:val="17"/>
                <w:szCs w:val="17"/>
                <w:color w:val="0000FF"/>
              </w:rPr>
              <w:t>7,111</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6"/>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380" w:type="dxa"/>
            <w:vAlign w:val="bottom"/>
            <w:gridSpan w:val="11"/>
          </w:tcPr>
          <w:p>
            <w:pPr>
              <w:ind w:left="6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(4)</w:t>
            </w:r>
          </w:p>
        </w:tc>
        <w:tc>
          <w:tcPr>
            <w:tcW w:w="200" w:type="dxa"/>
            <w:vAlign w:val="bottom"/>
          </w:tcPr>
          <w:p>
            <w:pPr>
              <w:spacing w:after="0"/>
              <w:rPr>
                <w:sz w:val="16"/>
                <w:szCs w:val="16"/>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(4)</w:t>
            </w:r>
          </w:p>
        </w:tc>
        <w:tc>
          <w:tcPr>
            <w:tcW w:w="66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ind w:left="100"/>
              <w:spacing w:after="0"/>
              <w:rPr>
                <w:sz w:val="20"/>
                <w:szCs w:val="20"/>
                <w:color w:val="auto"/>
              </w:rPr>
            </w:pPr>
            <w:r>
              <w:rPr>
                <w:rFonts w:ascii="Arial" w:cs="Arial" w:eastAsia="Arial" w:hAnsi="Arial"/>
                <w:sz w:val="17"/>
                <w:szCs w:val="17"/>
                <w:color w:val="0000FF"/>
              </w:rPr>
              <w:t>383</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4"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5"/>
                <w:szCs w:val="5"/>
                <w:color w:val="auto"/>
              </w:rPr>
            </w:pPr>
          </w:p>
        </w:tc>
        <w:tc>
          <w:tcPr>
            <w:tcW w:w="1100" w:type="dxa"/>
            <w:vAlign w:val="bottom"/>
            <w:vMerge w:val="restart"/>
          </w:tcPr>
          <w:p>
            <w:pPr>
              <w:ind w:left="260"/>
              <w:spacing w:after="0" w:line="144" w:lineRule="exact"/>
              <w:rPr>
                <w:sz w:val="20"/>
                <w:szCs w:val="20"/>
                <w:color w:val="auto"/>
              </w:rPr>
            </w:pPr>
            <w:r>
              <w:rPr>
                <w:rFonts w:ascii="Arial" w:cs="Arial" w:eastAsia="Arial" w:hAnsi="Arial"/>
                <w:sz w:val="13"/>
                <w:szCs w:val="13"/>
                <w:color w:val="0000FF"/>
              </w:rPr>
              <w:t>02/28/2022</w:t>
            </w:r>
          </w:p>
        </w:tc>
        <w:tc>
          <w:tcPr>
            <w:tcW w:w="1100" w:type="dxa"/>
            <w:vAlign w:val="bottom"/>
          </w:tcPr>
          <w:p>
            <w:pPr>
              <w:spacing w:after="0"/>
              <w:rPr>
                <w:sz w:val="5"/>
                <w:szCs w:val="5"/>
                <w:color w:val="auto"/>
              </w:rPr>
            </w:pPr>
          </w:p>
        </w:tc>
        <w:tc>
          <w:tcPr>
            <w:tcW w:w="620" w:type="dxa"/>
            <w:vAlign w:val="bottom"/>
            <w:vMerge w:val="restart"/>
          </w:tcPr>
          <w:p>
            <w:pPr>
              <w:ind w:left="140"/>
              <w:spacing w:after="0" w:line="144" w:lineRule="exact"/>
              <w:rPr>
                <w:sz w:val="20"/>
                <w:szCs w:val="20"/>
                <w:color w:val="auto"/>
              </w:rPr>
            </w:pPr>
            <w:r>
              <w:rPr>
                <w:rFonts w:ascii="Arial" w:cs="Arial" w:eastAsia="Arial" w:hAnsi="Arial"/>
                <w:sz w:val="13"/>
                <w:szCs w:val="13"/>
                <w:color w:val="0000FF"/>
              </w:rPr>
              <w:t>M</w:t>
            </w:r>
          </w:p>
        </w:tc>
        <w:tc>
          <w:tcPr>
            <w:tcW w:w="180" w:type="dxa"/>
            <w:vAlign w:val="bottom"/>
          </w:tcPr>
          <w:p>
            <w:pPr>
              <w:spacing w:after="0"/>
              <w:rPr>
                <w:sz w:val="5"/>
                <w:szCs w:val="5"/>
                <w:color w:val="auto"/>
              </w:rPr>
            </w:pPr>
          </w:p>
        </w:tc>
        <w:tc>
          <w:tcPr>
            <w:tcW w:w="780" w:type="dxa"/>
            <w:vAlign w:val="bottom"/>
            <w:vMerge w:val="restart"/>
          </w:tcPr>
          <w:p>
            <w:pPr>
              <w:ind w:left="440"/>
              <w:spacing w:after="0" w:line="144" w:lineRule="exact"/>
              <w:rPr>
                <w:sz w:val="20"/>
                <w:szCs w:val="20"/>
                <w:color w:val="auto"/>
              </w:rPr>
            </w:pPr>
            <w:r>
              <w:rPr>
                <w:rFonts w:ascii="Arial" w:cs="Arial" w:eastAsia="Arial" w:hAnsi="Arial"/>
                <w:sz w:val="13"/>
                <w:szCs w:val="13"/>
                <w:color w:val="0000FF"/>
              </w:rPr>
              <w:t>383</w:t>
            </w:r>
          </w:p>
        </w:tc>
        <w:tc>
          <w:tcPr>
            <w:tcW w:w="7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restart"/>
          </w:tcPr>
          <w:p>
            <w:pPr>
              <w:ind w:left="24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vMerge w:val="restart"/>
          </w:tcPr>
          <w:p>
            <w:pPr>
              <w:ind w:left="260"/>
              <w:spacing w:after="0" w:line="144" w:lineRule="exact"/>
              <w:rPr>
                <w:sz w:val="20"/>
                <w:szCs w:val="20"/>
                <w:color w:val="auto"/>
              </w:rPr>
            </w:pPr>
            <w:r>
              <w:rPr>
                <w:rFonts w:ascii="Arial" w:cs="Arial" w:eastAsia="Arial" w:hAnsi="Arial"/>
                <w:sz w:val="13"/>
                <w:szCs w:val="13"/>
                <w:color w:val="0000FF"/>
                <w:w w:val="98"/>
              </w:rPr>
              <w:t>6,831</w:t>
            </w:r>
          </w:p>
        </w:tc>
        <w:tc>
          <w:tcPr>
            <w:tcW w:w="280" w:type="dxa"/>
            <w:vAlign w:val="bottom"/>
          </w:tcPr>
          <w:p>
            <w:pPr>
              <w:spacing w:after="0"/>
              <w:rPr>
                <w:sz w:val="5"/>
                <w:szCs w:val="5"/>
                <w:color w:val="auto"/>
              </w:rPr>
            </w:pPr>
          </w:p>
        </w:tc>
        <w:tc>
          <w:tcPr>
            <w:tcW w:w="680" w:type="dxa"/>
            <w:vAlign w:val="bottom"/>
            <w:vMerge w:val="restart"/>
          </w:tcPr>
          <w:p>
            <w:pPr>
              <w:ind w:left="320"/>
              <w:spacing w:after="0" w:line="144"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660" w:type="dxa"/>
            <w:vAlign w:val="bottom"/>
            <w:vMerge w:val="restart"/>
          </w:tcPr>
          <w:p>
            <w:pPr>
              <w:ind w:left="140"/>
              <w:spacing w:after="0"/>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-2113915</wp:posOffset>
            </wp:positionV>
            <wp:extent cx="29210" cy="21189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899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NVHI common stock.</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shares include 213 shares that were acquired pursuant to the employee stock purchase plan, which acquisitions are exempt from Section 16.</w:t>
      </w:r>
    </w:p>
    <w:p>
      <w:pPr>
        <w:spacing w:after="0" w:line="45" w:lineRule="exact"/>
        <w:rPr>
          <w:rFonts w:ascii="Arial" w:cs="Arial" w:eastAsia="Arial" w:hAnsi="Arial"/>
          <w:sz w:val="13"/>
          <w:szCs w:val="13"/>
          <w:color w:val="008000"/>
        </w:rPr>
      </w:pPr>
    </w:p>
    <w:p>
      <w:pPr>
        <w:ind w:left="40" w:right="260" w:firstLine="3"/>
        <w:spacing w:after="0" w:line="253"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February 28, 2022, 383 restricted stock units vested and 112 shares of the Company's common stock were withheld to satisfy tax withholding obligations. The closing price on February 28, 2022 of the Company's common stock on NASDAQ was $36.67 per share.</w:t>
      </w:r>
    </w:p>
    <w:p>
      <w:pPr>
        <w:spacing w:after="0" w:line="23"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February 28, 2020, the reporting person was granted 1,149 restricted stock units, vesting in three equal annual installments beginning on the first anniversary of the grant date.</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1"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6"/>
              </w:rPr>
              <w:t>/s/ Jared Brandman, as</w:t>
            </w:r>
          </w:p>
        </w:tc>
        <w:tc>
          <w:tcPr>
            <w:tcW w:w="500" w:type="dxa"/>
            <w:vAlign w:val="bottom"/>
          </w:tcPr>
          <w:p>
            <w:pPr>
              <w:spacing w:after="0"/>
              <w:rPr>
                <w:sz w:val="16"/>
                <w:szCs w:val="16"/>
                <w:color w:val="auto"/>
              </w:rPr>
            </w:pPr>
          </w:p>
        </w:tc>
        <w:tc>
          <w:tcPr>
            <w:tcW w:w="940" w:type="dxa"/>
            <w:vAlign w:val="bottom"/>
            <w:gridSpan w:val="2"/>
            <w:vMerge w:val="restart"/>
          </w:tcPr>
          <w:p>
            <w:pPr>
              <w:ind w:left="160"/>
              <w:spacing w:after="0"/>
              <w:rPr>
                <w:sz w:val="20"/>
                <w:szCs w:val="20"/>
                <w:color w:val="auto"/>
              </w:rPr>
            </w:pPr>
            <w:r>
              <w:rPr>
                <w:rFonts w:ascii="Arial" w:cs="Arial" w:eastAsia="Arial" w:hAnsi="Arial"/>
                <w:sz w:val="17"/>
                <w:szCs w:val="17"/>
                <w:color w:val="0000FF"/>
                <w:w w:val="89"/>
              </w:rPr>
              <w:t>03/02/2022</w:t>
            </w:r>
          </w:p>
        </w:tc>
        <w:tc>
          <w:tcPr>
            <w:tcW w:w="0" w:type="dxa"/>
            <w:vAlign w:val="bottom"/>
          </w:tcPr>
          <w:p>
            <w:pPr>
              <w:spacing w:after="0"/>
              <w:rPr>
                <w:sz w:val="1"/>
                <w:szCs w:val="1"/>
                <w:color w:val="auto"/>
              </w:rPr>
            </w:pPr>
          </w:p>
        </w:tc>
      </w:tr>
      <w:tr>
        <w:trPr>
          <w:trHeight w:val="84"/>
        </w:trPr>
        <w:tc>
          <w:tcPr>
            <w:tcW w:w="1140" w:type="dxa"/>
            <w:vAlign w:val="bottom"/>
            <w:vMerge w:val="restart"/>
          </w:tcPr>
          <w:p>
            <w:pPr>
              <w:spacing w:after="0" w:line="189" w:lineRule="exact"/>
              <w:rPr>
                <w:sz w:val="20"/>
                <w:szCs w:val="20"/>
                <w:color w:val="auto"/>
              </w:rPr>
            </w:pPr>
            <w:r>
              <w:rPr>
                <w:rFonts w:ascii="Arial" w:cs="Arial" w:eastAsia="Arial" w:hAnsi="Arial"/>
                <w:sz w:val="17"/>
                <w:szCs w:val="17"/>
                <w:color w:val="0000FF"/>
                <w:w w:val="92"/>
              </w:rPr>
              <w:t>Attorney-in-Fact</w:t>
            </w:r>
          </w:p>
        </w:tc>
        <w:tc>
          <w:tcPr>
            <w:tcW w:w="900" w:type="dxa"/>
            <w:vAlign w:val="bottom"/>
            <w:gridSpan w:val="2"/>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14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2"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82487" TargetMode="External"/><Relationship Id="rId13" Type="http://schemas.openxmlformats.org/officeDocument/2006/relationships/hyperlink" Target="http://www.sec.gov/cgi-bin/browse-edgar?action=getcompany&amp;CIK=00017101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2022-03-02T15:54:46Z</dcterms:created>
  <dcterms:modified xsi:type="dcterms:W3CDTF">2022-03-02T15:54:46Z</dcterms:modified>
</cp:coreProperties>
</file>