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March 6, 2019</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616"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616"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7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8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237" w:lineRule="exact"/>
        <w:rPr>
          <w:sz w:val="24"/>
          <w:szCs w:val="24"/>
          <w:color w:val="auto"/>
        </w:rPr>
      </w:pPr>
    </w:p>
    <w:p>
      <w:pPr>
        <w:ind w:firstLine="648"/>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80"/>
          </w:cols>
          <w:pgMar w:left="240" w:top="616"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disclosed in the Annual Report on Form 10-K for the fiscal year ended December 29, 2018, filed with the Securities and Exchange Commission on February 27, 2019 (the “Form 10-K”), during the fourth quarter of 2018, National Vision Holdings, Inc. (the “Company”) identified and corrected immaterial errors related to lease accounting for all periods presented in the consolidated financial statements included in the Form 10-K. For further details, refer to Note 1. “Business and Significant Accounting Policies: Correction of Errors in Previously Issued Financial Statements” to our consolidated financial statements included in Part II. Item 8. of the Form 10-K.</w:t>
      </w:r>
    </w:p>
    <w:p>
      <w:pPr>
        <w:spacing w:after="0" w:line="188"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In order to facilitate comparability of quarterly results, the Company is making available certain supplemental financial information (the “Supplemental Financial Information”) revising the statement of operations and reconciliations of non-GAAP measures for the first three quarters of 2017 and 2018 to correct the effect of these errors for the corresponding periods. The Supplemental Financial Information is furnished as Exhibit 99.1 hereto.</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included in this Current Report on Form 8-K is being furnished under Item 7.01, “Regulation FD Disclosure” of Form 8-K. As such, the information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364" w:right="23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No.</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2"/>
              </w:rPr>
              <w:t>Supplemental Financial Information</w:t>
            </w:r>
          </w:p>
        </w:tc>
      </w:tr>
    </w:tbl>
    <w:p>
      <w:pPr>
        <w:sectPr>
          <w:pgSz w:w="11900" w:h="16838" w:orient="portrait"/>
          <w:cols w:equalWidth="0" w:num="1">
            <w:col w:w="10179"/>
          </w:cols>
          <w:pgMar w:left="280" w:top="58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594"/>
        </w:trPr>
        <w:tc>
          <w:tcPr>
            <w:tcW w:w="3660" w:type="dxa"/>
            <w:vAlign w:val="bottom"/>
          </w:tcPr>
          <w:p>
            <w:pPr>
              <w:spacing w:after="0"/>
              <w:rPr>
                <w:sz w:val="20"/>
                <w:szCs w:val="20"/>
                <w:color w:val="auto"/>
              </w:rPr>
            </w:pPr>
            <w:r>
              <w:rPr>
                <w:rFonts w:ascii="Arial" w:cs="Arial" w:eastAsia="Arial" w:hAnsi="Arial"/>
                <w:sz w:val="18"/>
                <w:szCs w:val="18"/>
                <w:color w:val="auto"/>
              </w:rPr>
              <w:t>Date: March 6, 2019</w:t>
            </w:r>
          </w:p>
        </w:tc>
        <w:tc>
          <w:tcPr>
            <w:tcW w:w="2820" w:type="dxa"/>
            <w:vAlign w:val="bottom"/>
          </w:tcPr>
          <w:p>
            <w:pPr>
              <w:ind w:left="21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36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820" w:type="dxa"/>
            <w:vAlign w:val="bottom"/>
          </w:tcPr>
          <w:p>
            <w:pPr>
              <w:ind w:left="2160"/>
              <w:spacing w:after="0"/>
              <w:rPr>
                <w:sz w:val="20"/>
                <w:szCs w:val="20"/>
                <w:color w:val="auto"/>
              </w:rPr>
            </w:pPr>
            <w:r>
              <w:rPr>
                <w:rFonts w:ascii="Arial" w:cs="Arial" w:eastAsia="Arial" w:hAnsi="Arial"/>
                <w:sz w:val="18"/>
                <w:szCs w:val="18"/>
                <w:color w:val="auto"/>
              </w:rPr>
              <w:t>Name:</w:t>
            </w:r>
          </w:p>
        </w:tc>
        <w:tc>
          <w:tcPr>
            <w:tcW w:w="490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3660" w:type="dxa"/>
            <w:vAlign w:val="bottom"/>
          </w:tcPr>
          <w:p>
            <w:pPr>
              <w:spacing w:after="0"/>
              <w:rPr>
                <w:sz w:val="23"/>
                <w:szCs w:val="23"/>
                <w:color w:val="auto"/>
              </w:rPr>
            </w:pPr>
          </w:p>
        </w:tc>
        <w:tc>
          <w:tcPr>
            <w:tcW w:w="2820" w:type="dxa"/>
            <w:vAlign w:val="bottom"/>
          </w:tcPr>
          <w:p>
            <w:pPr>
              <w:ind w:left="2160"/>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29, 2019 (Audited), the Three Months Ended December 29, 2018, September 29, 2018, June 30, 2018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Fourth</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Quarter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Fiscal Year</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December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49"/>
              <w:spacing w:after="0"/>
              <w:rPr>
                <w:sz w:val="20"/>
                <w:szCs w:val="20"/>
                <w:color w:val="auto"/>
              </w:rPr>
            </w:pPr>
            <w:r>
              <w:rPr>
                <w:rFonts w:ascii="Arial" w:cs="Arial" w:eastAsia="Arial" w:hAnsi="Arial"/>
                <w:sz w:val="14"/>
                <w:szCs w:val="14"/>
                <w:color w:val="auto"/>
                <w:w w:val="91"/>
              </w:rPr>
              <w:t>29, 2018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8"/>
          </w:tcPr>
          <w:p>
            <w:pPr>
              <w:jc w:val="right"/>
              <w:ind w:right="220"/>
              <w:spacing w:after="0"/>
              <w:rPr>
                <w:sz w:val="20"/>
                <w:szCs w:val="20"/>
                <w:color w:val="auto"/>
              </w:rPr>
            </w:pPr>
            <w:r>
              <w:rPr>
                <w:rFonts w:ascii="Arial" w:cs="Arial" w:eastAsia="Arial" w:hAnsi="Arial"/>
                <w:sz w:val="14"/>
                <w:szCs w:val="14"/>
                <w:color w:val="auto"/>
                <w:w w:val="93"/>
              </w:rPr>
              <w:t>Third Quarter Ended September 29, 2018</w:t>
            </w:r>
          </w:p>
        </w:tc>
        <w:tc>
          <w:tcPr>
            <w:tcW w:w="120" w:type="dxa"/>
            <w:vAlign w:val="bottom"/>
          </w:tcPr>
          <w:p>
            <w:pPr>
              <w:spacing w:after="0"/>
              <w:rPr>
                <w:sz w:val="16"/>
                <w:szCs w:val="16"/>
                <w:color w:val="auto"/>
              </w:rPr>
            </w:pPr>
          </w:p>
        </w:tc>
        <w:tc>
          <w:tcPr>
            <w:tcW w:w="2560" w:type="dxa"/>
            <w:vAlign w:val="bottom"/>
            <w:gridSpan w:val="8"/>
          </w:tcPr>
          <w:p>
            <w:pPr>
              <w:ind w:left="100"/>
              <w:spacing w:after="0"/>
              <w:rPr>
                <w:sz w:val="20"/>
                <w:szCs w:val="20"/>
                <w:color w:val="auto"/>
              </w:rPr>
            </w:pPr>
            <w:r>
              <w:rPr>
                <w:rFonts w:ascii="Arial" w:cs="Arial" w:eastAsia="Arial" w:hAnsi="Arial"/>
                <w:sz w:val="14"/>
                <w:szCs w:val="14"/>
                <w:color w:val="auto"/>
              </w:rPr>
              <w:t>Second Quarter Ended June 30, 2018</w:t>
            </w:r>
          </w:p>
        </w:tc>
        <w:tc>
          <w:tcPr>
            <w:tcW w:w="120" w:type="dxa"/>
            <w:vAlign w:val="bottom"/>
          </w:tcPr>
          <w:p>
            <w:pPr>
              <w:spacing w:after="0"/>
              <w:rPr>
                <w:sz w:val="16"/>
                <w:szCs w:val="16"/>
                <w:color w:val="auto"/>
              </w:rPr>
            </w:pPr>
          </w:p>
        </w:tc>
        <w:tc>
          <w:tcPr>
            <w:tcW w:w="2440" w:type="dxa"/>
            <w:vAlign w:val="bottom"/>
            <w:gridSpan w:val="7"/>
          </w:tcPr>
          <w:p>
            <w:pPr>
              <w:jc w:val="right"/>
              <w:ind w:right="148"/>
              <w:spacing w:after="0"/>
              <w:rPr>
                <w:sz w:val="20"/>
                <w:szCs w:val="20"/>
                <w:color w:val="auto"/>
              </w:rPr>
            </w:pPr>
            <w:r>
              <w:rPr>
                <w:rFonts w:ascii="Arial" w:cs="Arial" w:eastAsia="Arial" w:hAnsi="Arial"/>
                <w:sz w:val="14"/>
                <w:szCs w:val="14"/>
                <w:color w:val="auto"/>
                <w:w w:val="98"/>
              </w:rPr>
              <w:t>First Quarter Ended March 31, 2018</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color w:val="auto"/>
                <w:w w:val="97"/>
              </w:rPr>
              <w:t>As</w:t>
            </w: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3"/>
              </w:rPr>
              <w:t>As reported</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As reported</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previously</w:t>
            </w: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As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previously</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previously</w:t>
            </w: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5"/>
                <w:szCs w:val="15"/>
                <w:color w:val="auto"/>
              </w:rPr>
            </w:pP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As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9"/>
                <w:szCs w:val="9"/>
                <w:color w:val="auto"/>
                <w:w w:val="90"/>
              </w:rPr>
              <w:t>(a)</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reported</w:t>
            </w: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corrected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reported</w:t>
            </w: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corrected</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reported</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w w:val="92"/>
              </w:rPr>
              <w:t>corrected</w:t>
            </w:r>
          </w:p>
        </w:tc>
        <w:tc>
          <w:tcPr>
            <w:tcW w:w="0" w:type="dxa"/>
            <w:vAlign w:val="bottom"/>
          </w:tcPr>
          <w:p>
            <w:pPr>
              <w:spacing w:after="0"/>
              <w:rPr>
                <w:sz w:val="1"/>
                <w:szCs w:val="1"/>
                <w:color w:val="auto"/>
              </w:rPr>
            </w:pPr>
          </w:p>
        </w:tc>
      </w:tr>
      <w:tr>
        <w:trPr>
          <w:trHeight w:val="264"/>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Net product sales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1,269,612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292,115</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319,312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319,312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319,408</w:t>
            </w:r>
          </w:p>
        </w:tc>
        <w:tc>
          <w:tcPr>
            <w:tcW w:w="1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319,408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338,777</w:t>
            </w:r>
          </w:p>
        </w:tc>
        <w:tc>
          <w:tcPr>
            <w:tcW w:w="10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338,777</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sales of services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plans</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267,242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63,807</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68,113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68,113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66,124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66,124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69,198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69,198</w:t>
            </w:r>
          </w:p>
        </w:tc>
        <w:tc>
          <w:tcPr>
            <w:tcW w:w="0" w:type="dxa"/>
            <w:vAlign w:val="bottom"/>
          </w:tcPr>
          <w:p>
            <w:pPr>
              <w:spacing w:after="0"/>
              <w:rPr>
                <w:sz w:val="1"/>
                <w:szCs w:val="1"/>
                <w:color w:val="auto"/>
              </w:rPr>
            </w:pPr>
          </w:p>
        </w:tc>
      </w:tr>
      <w:tr>
        <w:trPr>
          <w:trHeight w:val="250"/>
        </w:trPr>
        <w:tc>
          <w:tcPr>
            <w:tcW w:w="1500" w:type="dxa"/>
            <w:vAlign w:val="bottom"/>
          </w:tcPr>
          <w:p>
            <w:pPr>
              <w:ind w:left="280"/>
              <w:spacing w:after="0"/>
              <w:rPr>
                <w:sz w:val="20"/>
                <w:szCs w:val="20"/>
                <w:color w:val="auto"/>
              </w:rPr>
            </w:pPr>
            <w:r>
              <w:rPr>
                <w:rFonts w:ascii="Arial" w:cs="Arial" w:eastAsia="Arial" w:hAnsi="Arial"/>
                <w:sz w:val="14"/>
                <w:szCs w:val="14"/>
                <w:color w:val="auto"/>
              </w:rPr>
              <w:t>Total net revenue</w:t>
            </w:r>
          </w:p>
        </w:tc>
        <w:tc>
          <w:tcPr>
            <w:tcW w:w="1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1,536,854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355,922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387,425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387,425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385,532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385,532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407,975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407,975</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applicable to</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Products</w:t>
            </w: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511,406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121,846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130,951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130,951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127,731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127,731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130,878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130,878</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 and plans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202,165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51,624</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49,576</w:t>
            </w:r>
          </w:p>
        </w:tc>
        <w:tc>
          <w:tcPr>
            <w:tcW w:w="0" w:type="dxa"/>
            <w:vAlign w:val="bottom"/>
          </w:tcPr>
          <w:p>
            <w:pPr>
              <w:spacing w:after="0"/>
              <w:rPr>
                <w:sz w:val="1"/>
                <w:szCs w:val="1"/>
                <w:color w:val="auto"/>
              </w:rPr>
            </w:pPr>
          </w:p>
        </w:tc>
      </w:tr>
      <w:tr>
        <w:trPr>
          <w:trHeight w:val="137"/>
        </w:trPr>
        <w:tc>
          <w:tcPr>
            <w:tcW w:w="1500" w:type="dxa"/>
            <w:vAlign w:val="bottom"/>
          </w:tcPr>
          <w:p>
            <w:pPr>
              <w:ind w:left="280"/>
              <w:spacing w:after="0" w:line="137" w:lineRule="exact"/>
              <w:rPr>
                <w:sz w:val="20"/>
                <w:szCs w:val="20"/>
                <w:color w:val="auto"/>
              </w:rPr>
            </w:pPr>
            <w:r>
              <w:rPr>
                <w:rFonts w:ascii="Arial" w:cs="Arial" w:eastAsia="Arial" w:hAnsi="Arial"/>
                <w:sz w:val="14"/>
                <w:szCs w:val="14"/>
                <w:color w:val="auto"/>
              </w:rPr>
              <w:t>Total cost</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280"/>
              <w:spacing w:after="0" w:line="149" w:lineRule="exact"/>
              <w:rPr>
                <w:sz w:val="20"/>
                <w:szCs w:val="20"/>
                <w:color w:val="auto"/>
              </w:rPr>
            </w:pPr>
            <w:r>
              <w:rPr>
                <w:rFonts w:ascii="Arial" w:cs="Arial" w:eastAsia="Arial" w:hAnsi="Arial"/>
                <w:sz w:val="14"/>
                <w:szCs w:val="14"/>
                <w:color w:val="auto"/>
              </w:rPr>
              <w:t>applicable to</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28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713,571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173,470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182,588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182,588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177,059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177,059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180,454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180,454</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00" w:type="dxa"/>
            <w:vAlign w:val="bottom"/>
          </w:tcPr>
          <w:p>
            <w:pPr>
              <w:ind w:left="180"/>
              <w:spacing w:after="0" w:line="157" w:lineRule="exact"/>
              <w:rPr>
                <w:sz w:val="20"/>
                <w:szCs w:val="20"/>
                <w:color w:val="auto"/>
              </w:rPr>
            </w:pPr>
            <w:r>
              <w:rPr>
                <w:rFonts w:ascii="Arial" w:cs="Arial" w:eastAsia="Arial" w:hAnsi="Arial"/>
                <w:sz w:val="14"/>
                <w:szCs w:val="14"/>
                <w:color w:val="auto"/>
              </w:rPr>
              <w:t>Selling, general and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180"/>
              <w:spacing w:after="0"/>
              <w:rPr>
                <w:sz w:val="20"/>
                <w:szCs w:val="20"/>
                <w:color w:val="auto"/>
              </w:rPr>
            </w:pPr>
            <w:r>
              <w:rPr>
                <w:rFonts w:ascii="Arial" w:cs="Arial" w:eastAsia="Arial" w:hAnsi="Arial"/>
                <w:sz w:val="14"/>
                <w:szCs w:val="14"/>
                <w:color w:val="auto"/>
              </w:rPr>
              <w:t>administrative</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687,476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166,132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184,424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185,028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165,038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165,627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170,102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170,689</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19,556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17,346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17,862</w:t>
            </w: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Asset impairment</w:t>
            </w: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17,630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15,493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expenses, net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37"/>
        </w:trPr>
        <w:tc>
          <w:tcPr>
            <w:tcW w:w="1500" w:type="dxa"/>
            <w:vAlign w:val="bottom"/>
          </w:tcPr>
          <w:p>
            <w:pPr>
              <w:ind w:left="280"/>
              <w:spacing w:after="0" w:line="137" w:lineRule="exact"/>
              <w:rPr>
                <w:sz w:val="20"/>
                <w:szCs w:val="20"/>
                <w:color w:val="auto"/>
              </w:rPr>
            </w:pPr>
            <w:r>
              <w:rPr>
                <w:rFonts w:ascii="Arial" w:cs="Arial" w:eastAsia="Arial" w:hAnsi="Arial"/>
                <w:sz w:val="14"/>
                <w:szCs w:val="14"/>
                <w:color w:val="auto"/>
              </w:rPr>
              <w:t>Total operating</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expenses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780,932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201,839</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206,052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206,920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182,680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183,500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187,878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188,673</w:t>
            </w:r>
          </w:p>
        </w:tc>
        <w:tc>
          <w:tcPr>
            <w:tcW w:w="0" w:type="dxa"/>
            <w:vAlign w:val="bottom"/>
          </w:tcPr>
          <w:p>
            <w:pPr>
              <w:spacing w:after="0"/>
              <w:rPr>
                <w:sz w:val="1"/>
                <w:szCs w:val="1"/>
                <w:color w:val="auto"/>
              </w:rPr>
            </w:pPr>
          </w:p>
        </w:tc>
      </w:tr>
      <w:tr>
        <w:trPr>
          <w:trHeight w:val="143"/>
        </w:trPr>
        <w:tc>
          <w:tcPr>
            <w:tcW w:w="15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Income (loss) from</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operations</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25,793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38,848</w:t>
            </w: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w w:val="99"/>
              </w:rPr>
              <w:t>Interest expense, net</w:t>
            </w: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37,283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9,139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9,407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9,407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9,313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9,313</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500" w:type="dxa"/>
            <w:vAlign w:val="bottom"/>
          </w:tcPr>
          <w:p>
            <w:pPr>
              <w:ind w:left="40"/>
              <w:spacing w:after="0" w:line="137" w:lineRule="exact"/>
              <w:rPr>
                <w:sz w:val="20"/>
                <w:szCs w:val="20"/>
                <w:color w:val="auto"/>
              </w:rPr>
            </w:pPr>
            <w:r>
              <w:rPr>
                <w:rFonts w:ascii="Arial" w:cs="Arial" w:eastAsia="Arial" w:hAnsi="Arial"/>
                <w:sz w:val="14"/>
                <w:szCs w:val="14"/>
                <w:color w:val="auto"/>
              </w:rPr>
              <w:t>Earnings (loss) before</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(28,726)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(10,622)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16,369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15,549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30,330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29,535</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(10,286)</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(16,438)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(16,661)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5,283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283"/>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23,653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(18,440)</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5,816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13,077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12,467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25,047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24,455</w:t>
            </w:r>
          </w:p>
        </w:tc>
        <w:tc>
          <w:tcPr>
            <w:tcW w:w="0" w:type="dxa"/>
            <w:vAlign w:val="bottom"/>
          </w:tcPr>
          <w:p>
            <w:pPr>
              <w:spacing w:after="0"/>
              <w:rPr>
                <w:sz w:val="1"/>
                <w:szCs w:val="1"/>
                <w:color w:val="auto"/>
              </w:rPr>
            </w:pPr>
          </w:p>
        </w:tc>
      </w:tr>
      <w:tr>
        <w:trPr>
          <w:trHeight w:val="224"/>
        </w:trPr>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(0.24)</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Weighted average</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shares outstanding:</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75,899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77,526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76,118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76,118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75,249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75,249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74,714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74,714</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77,526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77,837</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 As reported in Exhibit 99.1 of Form 8-K filed on February 27, 2019</w:t>
      </w:r>
    </w:p>
    <w:p>
      <w:pPr>
        <w:sectPr>
          <w:pgSz w:w="11900" w:h="16838" w:orient="portrait"/>
          <w:cols w:equalWidth="0" w:num="1">
            <w:col w:w="11420"/>
          </w:cols>
          <w:pgMar w:left="240" w:top="10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30, 2017 (Audited), the Three Months Ended December 30, 2017, September 30, 2017, July 1, 2017 and April 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Fourth</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Quarter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Ended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Fiscal Year</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December30,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9"/>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8"/>
          </w:tcPr>
          <w:p>
            <w:pPr>
              <w:ind w:left="40"/>
              <w:spacing w:after="0"/>
              <w:rPr>
                <w:sz w:val="20"/>
                <w:szCs w:val="20"/>
                <w:color w:val="auto"/>
              </w:rPr>
            </w:pPr>
            <w:r>
              <w:rPr>
                <w:rFonts w:ascii="Arial" w:cs="Arial" w:eastAsia="Arial" w:hAnsi="Arial"/>
                <w:sz w:val="14"/>
                <w:szCs w:val="14"/>
                <w:color w:val="auto"/>
                <w:w w:val="99"/>
              </w:rPr>
              <w:t>Third Quarter Ended September 30, 2017</w:t>
            </w:r>
          </w:p>
        </w:tc>
        <w:tc>
          <w:tcPr>
            <w:tcW w:w="120" w:type="dxa"/>
            <w:vAlign w:val="bottom"/>
          </w:tcPr>
          <w:p>
            <w:pPr>
              <w:spacing w:after="0"/>
              <w:rPr>
                <w:sz w:val="16"/>
                <w:szCs w:val="16"/>
                <w:color w:val="auto"/>
              </w:rPr>
            </w:pPr>
          </w:p>
        </w:tc>
        <w:tc>
          <w:tcPr>
            <w:tcW w:w="2560" w:type="dxa"/>
            <w:vAlign w:val="bottom"/>
            <w:gridSpan w:val="8"/>
          </w:tcPr>
          <w:p>
            <w:pPr>
              <w:ind w:left="160"/>
              <w:spacing w:after="0"/>
              <w:rPr>
                <w:sz w:val="20"/>
                <w:szCs w:val="20"/>
                <w:color w:val="auto"/>
              </w:rPr>
            </w:pPr>
            <w:r>
              <w:rPr>
                <w:rFonts w:ascii="Arial" w:cs="Arial" w:eastAsia="Arial" w:hAnsi="Arial"/>
                <w:sz w:val="14"/>
                <w:szCs w:val="14"/>
                <w:color w:val="auto"/>
              </w:rPr>
              <w:t>Second Quarter Ended July 1, 2017</w:t>
            </w:r>
          </w:p>
        </w:tc>
        <w:tc>
          <w:tcPr>
            <w:tcW w:w="120" w:type="dxa"/>
            <w:vAlign w:val="bottom"/>
          </w:tcPr>
          <w:p>
            <w:pPr>
              <w:spacing w:after="0"/>
              <w:rPr>
                <w:sz w:val="16"/>
                <w:szCs w:val="16"/>
                <w:color w:val="auto"/>
              </w:rPr>
            </w:pPr>
          </w:p>
        </w:tc>
        <w:tc>
          <w:tcPr>
            <w:tcW w:w="2440" w:type="dxa"/>
            <w:vAlign w:val="bottom"/>
            <w:gridSpan w:val="7"/>
          </w:tcPr>
          <w:p>
            <w:pPr>
              <w:jc w:val="right"/>
              <w:ind w:right="228"/>
              <w:spacing w:after="0"/>
              <w:rPr>
                <w:sz w:val="20"/>
                <w:szCs w:val="20"/>
                <w:color w:val="auto"/>
              </w:rPr>
            </w:pPr>
            <w:r>
              <w:rPr>
                <w:rFonts w:ascii="Arial" w:cs="Arial" w:eastAsia="Arial" w:hAnsi="Arial"/>
                <w:sz w:val="14"/>
                <w:szCs w:val="14"/>
                <w:color w:val="auto"/>
              </w:rPr>
              <w:t>First Quarter Ended April 1, 2017</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00"/>
              <w:spacing w:after="0" w:line="157" w:lineRule="exact"/>
              <w:rPr>
                <w:sz w:val="20"/>
                <w:szCs w:val="20"/>
                <w:color w:val="auto"/>
              </w:rPr>
            </w:pPr>
            <w:r>
              <w:rPr>
                <w:rFonts w:ascii="Arial" w:cs="Arial" w:eastAsia="Arial" w:hAnsi="Arial"/>
                <w:sz w:val="14"/>
                <w:szCs w:val="14"/>
                <w:color w:val="auto"/>
                <w:w w:val="97"/>
              </w:rPr>
              <w:t>As</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color w:val="auto"/>
                <w:w w:val="97"/>
              </w:rPr>
              <w:t>As</w:t>
            </w: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3"/>
              </w:rPr>
              <w:t>As reported</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As reported</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previously</w:t>
            </w: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previously</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previously</w:t>
            </w: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5"/>
                <w:szCs w:val="15"/>
                <w:color w:val="auto"/>
              </w:rPr>
            </w:pP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As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9"/>
                <w:szCs w:val="9"/>
                <w:color w:val="auto"/>
                <w:w w:val="90"/>
              </w:rPr>
              <w:t>(a)</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reported</w:t>
            </w: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corrected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reported</w:t>
            </w: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corrected</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reported</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w w:val="92"/>
              </w:rPr>
              <w:t>corrected</w:t>
            </w:r>
          </w:p>
        </w:tc>
        <w:tc>
          <w:tcPr>
            <w:tcW w:w="0" w:type="dxa"/>
            <w:vAlign w:val="bottom"/>
          </w:tcPr>
          <w:p>
            <w:pPr>
              <w:spacing w:after="0"/>
              <w:rPr>
                <w:sz w:val="1"/>
                <w:szCs w:val="1"/>
                <w:color w:val="auto"/>
              </w:rPr>
            </w:pPr>
          </w:p>
        </w:tc>
      </w:tr>
      <w:tr>
        <w:trPr>
          <w:trHeight w:val="264"/>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Net product sales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1,129,313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262,121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283,648</w:t>
            </w:r>
          </w:p>
        </w:tc>
        <w:tc>
          <w:tcPr>
            <w:tcW w:w="1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283,648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276,960</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276,960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306,584</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306,584</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sales of services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plans</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245,995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59,698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62,441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62,441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60,581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60,581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63,275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63,275</w:t>
            </w:r>
          </w:p>
        </w:tc>
        <w:tc>
          <w:tcPr>
            <w:tcW w:w="0" w:type="dxa"/>
            <w:vAlign w:val="bottom"/>
          </w:tcPr>
          <w:p>
            <w:pPr>
              <w:spacing w:after="0"/>
              <w:rPr>
                <w:sz w:val="1"/>
                <w:szCs w:val="1"/>
                <w:color w:val="auto"/>
              </w:rPr>
            </w:pPr>
          </w:p>
        </w:tc>
      </w:tr>
      <w:tr>
        <w:trPr>
          <w:trHeight w:val="250"/>
        </w:trPr>
        <w:tc>
          <w:tcPr>
            <w:tcW w:w="1500" w:type="dxa"/>
            <w:vAlign w:val="bottom"/>
          </w:tcPr>
          <w:p>
            <w:pPr>
              <w:ind w:left="280"/>
              <w:spacing w:after="0"/>
              <w:rPr>
                <w:sz w:val="20"/>
                <w:szCs w:val="20"/>
                <w:color w:val="auto"/>
              </w:rPr>
            </w:pPr>
            <w:r>
              <w:rPr>
                <w:rFonts w:ascii="Arial" w:cs="Arial" w:eastAsia="Arial" w:hAnsi="Arial"/>
                <w:sz w:val="14"/>
                <w:szCs w:val="14"/>
                <w:color w:val="auto"/>
              </w:rPr>
              <w:t>Total net revenue</w:t>
            </w:r>
          </w:p>
        </w:tc>
        <w:tc>
          <w:tcPr>
            <w:tcW w:w="1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1,375,308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321,819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346,089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346,089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337,541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337,541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369,859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369,859</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applicable to</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Products</w:t>
            </w: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456,078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106,979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115,752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115,752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112,314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112,314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121,033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121,033</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 and plans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180,888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45,413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44,775</w:t>
            </w:r>
          </w:p>
        </w:tc>
        <w:tc>
          <w:tcPr>
            <w:tcW w:w="0" w:type="dxa"/>
            <w:vAlign w:val="bottom"/>
          </w:tcPr>
          <w:p>
            <w:pPr>
              <w:spacing w:after="0"/>
              <w:rPr>
                <w:sz w:val="1"/>
                <w:szCs w:val="1"/>
                <w:color w:val="auto"/>
              </w:rPr>
            </w:pPr>
          </w:p>
        </w:tc>
      </w:tr>
      <w:tr>
        <w:trPr>
          <w:trHeight w:val="137"/>
        </w:trPr>
        <w:tc>
          <w:tcPr>
            <w:tcW w:w="1500" w:type="dxa"/>
            <w:vAlign w:val="bottom"/>
          </w:tcPr>
          <w:p>
            <w:pPr>
              <w:ind w:left="280"/>
              <w:spacing w:after="0" w:line="137" w:lineRule="exact"/>
              <w:rPr>
                <w:sz w:val="20"/>
                <w:szCs w:val="20"/>
                <w:color w:val="auto"/>
              </w:rPr>
            </w:pPr>
            <w:r>
              <w:rPr>
                <w:rFonts w:ascii="Arial" w:cs="Arial" w:eastAsia="Arial" w:hAnsi="Arial"/>
                <w:sz w:val="14"/>
                <w:szCs w:val="14"/>
                <w:color w:val="auto"/>
              </w:rPr>
              <w:t>Total cost</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280"/>
              <w:spacing w:after="0" w:line="149" w:lineRule="exact"/>
              <w:rPr>
                <w:sz w:val="20"/>
                <w:szCs w:val="20"/>
                <w:color w:val="auto"/>
              </w:rPr>
            </w:pPr>
            <w:r>
              <w:rPr>
                <w:rFonts w:ascii="Arial" w:cs="Arial" w:eastAsia="Arial" w:hAnsi="Arial"/>
                <w:sz w:val="14"/>
                <w:szCs w:val="14"/>
                <w:color w:val="auto"/>
              </w:rPr>
              <w:t>applicable to</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28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636,966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152,392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162,358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162,358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156,408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156,408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165,808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165,808</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00" w:type="dxa"/>
            <w:vAlign w:val="bottom"/>
          </w:tcPr>
          <w:p>
            <w:pPr>
              <w:ind w:left="180"/>
              <w:spacing w:after="0" w:line="157" w:lineRule="exact"/>
              <w:rPr>
                <w:sz w:val="20"/>
                <w:szCs w:val="20"/>
                <w:color w:val="auto"/>
              </w:rPr>
            </w:pPr>
            <w:r>
              <w:rPr>
                <w:rFonts w:ascii="Arial" w:cs="Arial" w:eastAsia="Arial" w:hAnsi="Arial"/>
                <w:sz w:val="14"/>
                <w:szCs w:val="14"/>
                <w:color w:val="auto"/>
              </w:rPr>
              <w:t>Selling, general and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180"/>
              <w:spacing w:after="0"/>
              <w:rPr>
                <w:sz w:val="20"/>
                <w:szCs w:val="20"/>
                <w:color w:val="auto"/>
              </w:rPr>
            </w:pPr>
            <w:r>
              <w:rPr>
                <w:rFonts w:ascii="Arial" w:cs="Arial" w:eastAsia="Arial" w:hAnsi="Arial"/>
                <w:sz w:val="14"/>
                <w:szCs w:val="14"/>
                <w:color w:val="auto"/>
              </w:rPr>
              <w:t>administrative</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600,010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152,760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151,251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151,776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144,655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145,163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149,804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150,311</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16,953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14,616</w:t>
            </w: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Asset impairment</w:t>
            </w: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3,117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Litigation</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settlement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Other expenses, net</w:t>
            </w: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3"/>
        </w:trPr>
        <w:tc>
          <w:tcPr>
            <w:tcW w:w="1500" w:type="dxa"/>
            <w:vAlign w:val="bottom"/>
            <w:tcBorders>
              <w:top w:val="single" w:sz="8" w:color="CCEEFF"/>
            </w:tcBorders>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operating</w:t>
            </w: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expenses</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674,051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173,033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167,171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167,915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167,361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168,074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164,329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165,029</w:t>
            </w:r>
          </w:p>
        </w:tc>
        <w:tc>
          <w:tcPr>
            <w:tcW w:w="0" w:type="dxa"/>
            <w:vAlign w:val="bottom"/>
          </w:tcPr>
          <w:p>
            <w:pPr>
              <w:spacing w:after="0"/>
              <w:rPr>
                <w:sz w:val="1"/>
                <w:szCs w:val="1"/>
                <w:color w:val="auto"/>
              </w:rPr>
            </w:pPr>
          </w:p>
        </w:tc>
      </w:tr>
      <w:tr>
        <w:trPr>
          <w:trHeight w:val="137"/>
        </w:trPr>
        <w:tc>
          <w:tcPr>
            <w:tcW w:w="1500" w:type="dxa"/>
            <w:vAlign w:val="bottom"/>
          </w:tcPr>
          <w:p>
            <w:pPr>
              <w:ind w:left="40"/>
              <w:spacing w:after="0" w:line="137" w:lineRule="exact"/>
              <w:rPr>
                <w:sz w:val="20"/>
                <w:szCs w:val="20"/>
                <w:color w:val="auto"/>
              </w:rPr>
            </w:pPr>
            <w:r>
              <w:rPr>
                <w:rFonts w:ascii="Arial" w:cs="Arial" w:eastAsia="Arial" w:hAnsi="Arial"/>
                <w:sz w:val="14"/>
                <w:szCs w:val="14"/>
                <w:color w:val="auto"/>
              </w:rPr>
              <w:t>Income (loss) from</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64,291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(3,606)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16,560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15,816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13,772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13,059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39,722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39,022</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Interest expense, net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14,571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11,492</w:t>
            </w: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1,825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2,702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2,702</w:t>
            </w:r>
          </w:p>
        </w:tc>
        <w:tc>
          <w:tcPr>
            <w:tcW w:w="0" w:type="dxa"/>
            <w:vAlign w:val="bottom"/>
          </w:tcPr>
          <w:p>
            <w:pPr>
              <w:spacing w:after="0"/>
              <w:rPr>
                <w:sz w:val="1"/>
                <w:szCs w:val="1"/>
                <w:color w:val="auto"/>
              </w:rPr>
            </w:pPr>
          </w:p>
        </w:tc>
      </w:tr>
      <w:tr>
        <w:trPr>
          <w:trHeight w:val="143"/>
        </w:trPr>
        <w:tc>
          <w:tcPr>
            <w:tcW w:w="15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Earnings (loss) before</w:t>
            </w: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(20,002)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24,828</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Income tax provision</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(47,343)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8,458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8,187</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27,341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16,641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b w:val="1"/>
                <w:bCs w:val="1"/>
                <w:color w:val="auto"/>
              </w:rPr>
              <w:t>Earnings per share:</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64"/>
        </w:trPr>
        <w:tc>
          <w:tcPr>
            <w:tcW w:w="1500" w:type="dxa"/>
            <w:vAlign w:val="bottom"/>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49"/>
        </w:trPr>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5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500" w:type="dxa"/>
            <w:vAlign w:val="bottom"/>
          </w:tcPr>
          <w:p>
            <w:pPr>
              <w:ind w:left="40"/>
              <w:spacing w:after="0"/>
              <w:rPr>
                <w:sz w:val="20"/>
                <w:szCs w:val="20"/>
                <w:color w:val="auto"/>
              </w:rPr>
            </w:pPr>
            <w:r>
              <w:rPr>
                <w:rFonts w:ascii="Arial" w:cs="Arial" w:eastAsia="Arial" w:hAnsi="Arial"/>
                <w:sz w:val="14"/>
                <w:szCs w:val="14"/>
                <w:b w:val="1"/>
                <w:bCs w:val="1"/>
                <w:color w:val="auto"/>
              </w:rPr>
              <w:t>shares outstanding:</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70,454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56,261</w:t>
            </w:r>
          </w:p>
        </w:tc>
        <w:tc>
          <w:tcPr>
            <w:tcW w:w="0" w:type="dxa"/>
            <w:vAlign w:val="bottom"/>
          </w:tcPr>
          <w:p>
            <w:pPr>
              <w:spacing w:after="0"/>
              <w:rPr>
                <w:sz w:val="1"/>
                <w:szCs w:val="1"/>
                <w:color w:val="auto"/>
              </w:rPr>
            </w:pPr>
          </w:p>
        </w:tc>
      </w:tr>
      <w:tr>
        <w:trPr>
          <w:trHeight w:val="258"/>
        </w:trPr>
        <w:tc>
          <w:tcPr>
            <w:tcW w:w="1500" w:type="dxa"/>
            <w:vAlign w:val="bottom"/>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62,035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73,256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58,459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58,459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56,414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56,414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57,934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57,934</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 As reported in Exhibit 99.1 of Form 8-K filed on February 27, 2019</w:t>
      </w:r>
    </w:p>
    <w:p>
      <w:pPr>
        <w:sectPr>
          <w:pgSz w:w="11900" w:h="16838" w:orient="portrait"/>
          <w:cols w:equalWidth="0" w:num="1">
            <w:col w:w="11420"/>
          </w:cols>
          <w:pgMar w:left="240" w:top="122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following tables reconcile our net income to EBITDA, Adjusted EBITDA, and Adjusted Net Income for the periods presented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Fourth</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Quarter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Fiscal Year</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December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center"/>
              <w:ind w:right="108"/>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w w:val="91"/>
              </w:rPr>
              <w:t>29, 2018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8"/>
          </w:tcPr>
          <w:p>
            <w:pPr>
              <w:jc w:val="right"/>
              <w:ind w:right="240"/>
              <w:spacing w:after="0"/>
              <w:rPr>
                <w:sz w:val="20"/>
                <w:szCs w:val="20"/>
                <w:color w:val="auto"/>
              </w:rPr>
            </w:pPr>
            <w:r>
              <w:rPr>
                <w:rFonts w:ascii="Arial" w:cs="Arial" w:eastAsia="Arial" w:hAnsi="Arial"/>
                <w:sz w:val="14"/>
                <w:szCs w:val="14"/>
                <w:color w:val="auto"/>
                <w:w w:val="93"/>
              </w:rPr>
              <w:t>Third Quarter Ended September 29, 2018</w:t>
            </w:r>
          </w:p>
        </w:tc>
        <w:tc>
          <w:tcPr>
            <w:tcW w:w="120" w:type="dxa"/>
            <w:vAlign w:val="bottom"/>
          </w:tcPr>
          <w:p>
            <w:pPr>
              <w:spacing w:after="0"/>
              <w:rPr>
                <w:sz w:val="16"/>
                <w:szCs w:val="16"/>
                <w:color w:val="auto"/>
              </w:rPr>
            </w:pPr>
          </w:p>
        </w:tc>
        <w:tc>
          <w:tcPr>
            <w:tcW w:w="2560" w:type="dxa"/>
            <w:vAlign w:val="bottom"/>
            <w:gridSpan w:val="8"/>
          </w:tcPr>
          <w:p>
            <w:pPr>
              <w:ind w:left="100"/>
              <w:spacing w:after="0"/>
              <w:rPr>
                <w:sz w:val="20"/>
                <w:szCs w:val="20"/>
                <w:color w:val="auto"/>
              </w:rPr>
            </w:pPr>
            <w:r>
              <w:rPr>
                <w:rFonts w:ascii="Arial" w:cs="Arial" w:eastAsia="Arial" w:hAnsi="Arial"/>
                <w:sz w:val="14"/>
                <w:szCs w:val="14"/>
                <w:color w:val="auto"/>
              </w:rPr>
              <w:t>Second Quarter Ended June 30, 2018</w:t>
            </w:r>
          </w:p>
        </w:tc>
        <w:tc>
          <w:tcPr>
            <w:tcW w:w="120" w:type="dxa"/>
            <w:vAlign w:val="bottom"/>
          </w:tcPr>
          <w:p>
            <w:pPr>
              <w:spacing w:after="0"/>
              <w:rPr>
                <w:sz w:val="16"/>
                <w:szCs w:val="16"/>
                <w:color w:val="auto"/>
              </w:rPr>
            </w:pPr>
          </w:p>
        </w:tc>
        <w:tc>
          <w:tcPr>
            <w:tcW w:w="2440" w:type="dxa"/>
            <w:vAlign w:val="bottom"/>
            <w:gridSpan w:val="7"/>
          </w:tcPr>
          <w:p>
            <w:pPr>
              <w:jc w:val="right"/>
              <w:ind w:right="148"/>
              <w:spacing w:after="0"/>
              <w:rPr>
                <w:sz w:val="20"/>
                <w:szCs w:val="20"/>
                <w:color w:val="auto"/>
              </w:rPr>
            </w:pPr>
            <w:r>
              <w:rPr>
                <w:rFonts w:ascii="Arial" w:cs="Arial" w:eastAsia="Arial" w:hAnsi="Arial"/>
                <w:sz w:val="14"/>
                <w:szCs w:val="14"/>
                <w:color w:val="auto"/>
                <w:w w:val="98"/>
              </w:rPr>
              <w:t>First Quarter Ended March 31, 2018</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color w:val="auto"/>
                <w:w w:val="97"/>
              </w:rPr>
              <w:t>As</w:t>
            </w: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3"/>
              </w:rPr>
              <w:t>As reported</w:t>
            </w:r>
          </w:p>
        </w:tc>
        <w:tc>
          <w:tcPr>
            <w:tcW w:w="9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As reported</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previously</w:t>
            </w: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As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previously</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previously</w:t>
            </w: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7"/>
              </w:rPr>
              <w:t>As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9"/>
                <w:szCs w:val="9"/>
                <w:color w:val="auto"/>
                <w:w w:val="90"/>
              </w:rPr>
              <w:t>(a)</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reported</w:t>
            </w: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corrected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reported</w:t>
            </w: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corrected</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reported</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color w:val="auto"/>
                <w:w w:val="92"/>
              </w:rPr>
              <w:t>corrected</w:t>
            </w: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23,653</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(18,440)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5,816</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5,171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13,077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12,467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25,047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24,455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37,283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9,139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9,407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9,407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9,313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9,313</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(18,785)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(10,286)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(16,438)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Depreciation and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amortization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74,339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19,556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19,080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19,344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17,346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17,577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17,654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17,862</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EBITDA</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8"/>
              </w:rPr>
              <w:t>116,490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56,710</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expense </w:t>
            </w:r>
            <w:r>
              <w:rPr>
                <w:rFonts w:ascii="Arial" w:cs="Arial" w:eastAsia="Arial" w:hAnsi="Arial"/>
                <w:sz w:val="8"/>
                <w:szCs w:val="8"/>
                <w:color w:val="auto"/>
              </w:rPr>
              <w:t>(b)</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1,596</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Debt issuance costs </w:t>
            </w:r>
            <w:r>
              <w:rPr>
                <w:rFonts w:ascii="Arial" w:cs="Arial" w:eastAsia="Arial" w:hAnsi="Arial"/>
                <w:sz w:val="8"/>
                <w:szCs w:val="8"/>
                <w:color w:val="auto"/>
              </w:rPr>
              <w:t>(c)</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Asset impairment </w:t>
            </w:r>
            <w:r>
              <w:rPr>
                <w:rFonts w:ascii="Arial" w:cs="Arial" w:eastAsia="Arial" w:hAnsi="Arial"/>
                <w:sz w:val="8"/>
                <w:szCs w:val="8"/>
                <w:color w:val="auto"/>
              </w:rPr>
              <w:t>(d)</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15,493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New store pre-opening</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expense </w:t>
            </w:r>
            <w:r>
              <w:rPr>
                <w:rFonts w:ascii="Arial" w:cs="Arial" w:eastAsia="Arial" w:hAnsi="Arial"/>
                <w:sz w:val="8"/>
                <w:szCs w:val="8"/>
                <w:color w:val="auto"/>
              </w:rPr>
              <w:t>(e)</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2,229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Non-cash rent </w:t>
            </w:r>
            <w:r>
              <w:rPr>
                <w:rFonts w:ascii="Arial" w:cs="Arial" w:eastAsia="Arial" w:hAnsi="Arial"/>
                <w:sz w:val="8"/>
                <w:szCs w:val="8"/>
                <w:color w:val="auto"/>
              </w:rPr>
              <w:t>(f)</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Secondary offering</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expenses </w:t>
            </w:r>
            <w:r>
              <w:rPr>
                <w:rFonts w:ascii="Arial" w:cs="Arial" w:eastAsia="Arial" w:hAnsi="Arial"/>
                <w:sz w:val="8"/>
                <w:szCs w:val="8"/>
                <w:color w:val="auto"/>
              </w:rPr>
              <w:t>(g)</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2,451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incentive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plan </w:t>
            </w:r>
            <w:r>
              <w:rPr>
                <w:rFonts w:ascii="Arial" w:cs="Arial" w:eastAsia="Arial" w:hAnsi="Arial"/>
                <w:sz w:val="8"/>
                <w:szCs w:val="8"/>
                <w:color w:val="auto"/>
              </w:rPr>
              <w:t>(h)</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7,040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(i)</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4,585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1,473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1,927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43"/>
        </w:trPr>
        <w:tc>
          <w:tcPr>
            <w:tcW w:w="1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174,365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38,803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46,830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60,730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Fourth</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Quarter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Fiscal Year</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December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center"/>
              <w:ind w:right="108"/>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w w:val="91"/>
              </w:rPr>
              <w:t>29, 2018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8"/>
          </w:tcPr>
          <w:p>
            <w:pPr>
              <w:jc w:val="right"/>
              <w:ind w:right="240"/>
              <w:spacing w:after="0"/>
              <w:rPr>
                <w:sz w:val="20"/>
                <w:szCs w:val="20"/>
                <w:color w:val="auto"/>
              </w:rPr>
            </w:pPr>
            <w:r>
              <w:rPr>
                <w:rFonts w:ascii="Arial" w:cs="Arial" w:eastAsia="Arial" w:hAnsi="Arial"/>
                <w:sz w:val="14"/>
                <w:szCs w:val="14"/>
                <w:color w:val="auto"/>
                <w:w w:val="93"/>
              </w:rPr>
              <w:t>Third Quarter Ended September 29, 2018</w:t>
            </w:r>
          </w:p>
        </w:tc>
        <w:tc>
          <w:tcPr>
            <w:tcW w:w="120" w:type="dxa"/>
            <w:vAlign w:val="bottom"/>
          </w:tcPr>
          <w:p>
            <w:pPr>
              <w:spacing w:after="0"/>
              <w:rPr>
                <w:sz w:val="16"/>
                <w:szCs w:val="16"/>
                <w:color w:val="auto"/>
              </w:rPr>
            </w:pPr>
          </w:p>
        </w:tc>
        <w:tc>
          <w:tcPr>
            <w:tcW w:w="2560" w:type="dxa"/>
            <w:vAlign w:val="bottom"/>
            <w:gridSpan w:val="8"/>
          </w:tcPr>
          <w:p>
            <w:pPr>
              <w:ind w:left="100"/>
              <w:spacing w:after="0"/>
              <w:rPr>
                <w:sz w:val="20"/>
                <w:szCs w:val="20"/>
                <w:color w:val="auto"/>
              </w:rPr>
            </w:pPr>
            <w:r>
              <w:rPr>
                <w:rFonts w:ascii="Arial" w:cs="Arial" w:eastAsia="Arial" w:hAnsi="Arial"/>
                <w:sz w:val="14"/>
                <w:szCs w:val="14"/>
                <w:color w:val="auto"/>
              </w:rPr>
              <w:t>Second Quarter Ended June 30, 2018</w:t>
            </w:r>
          </w:p>
        </w:tc>
        <w:tc>
          <w:tcPr>
            <w:tcW w:w="120" w:type="dxa"/>
            <w:vAlign w:val="bottom"/>
          </w:tcPr>
          <w:p>
            <w:pPr>
              <w:spacing w:after="0"/>
              <w:rPr>
                <w:sz w:val="16"/>
                <w:szCs w:val="16"/>
                <w:color w:val="auto"/>
              </w:rPr>
            </w:pPr>
          </w:p>
        </w:tc>
        <w:tc>
          <w:tcPr>
            <w:tcW w:w="2440" w:type="dxa"/>
            <w:vAlign w:val="bottom"/>
            <w:gridSpan w:val="7"/>
          </w:tcPr>
          <w:p>
            <w:pPr>
              <w:jc w:val="right"/>
              <w:ind w:right="148"/>
              <w:spacing w:after="0"/>
              <w:rPr>
                <w:sz w:val="20"/>
                <w:szCs w:val="20"/>
                <w:color w:val="auto"/>
              </w:rPr>
            </w:pPr>
            <w:r>
              <w:rPr>
                <w:rFonts w:ascii="Arial" w:cs="Arial" w:eastAsia="Arial" w:hAnsi="Arial"/>
                <w:sz w:val="14"/>
                <w:szCs w:val="14"/>
                <w:color w:val="auto"/>
                <w:w w:val="98"/>
              </w:rPr>
              <w:t>First Quarter Ended March 31, 2018</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color w:val="auto"/>
                <w:w w:val="97"/>
              </w:rPr>
              <w:t>As</w:t>
            </w: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3"/>
              </w:rPr>
              <w:t>As reported</w:t>
            </w:r>
          </w:p>
        </w:tc>
        <w:tc>
          <w:tcPr>
            <w:tcW w:w="9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As reported</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previously</w:t>
            </w: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As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previously</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previously</w:t>
            </w: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7"/>
              </w:rPr>
              <w:t>As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9"/>
                <w:szCs w:val="9"/>
                <w:color w:val="auto"/>
                <w:w w:val="90"/>
              </w:rPr>
              <w:t>(a)</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reported</w:t>
            </w: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corrected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reported</w:t>
            </w: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corrected</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reported</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color w:val="auto"/>
                <w:w w:val="92"/>
              </w:rPr>
              <w:t>corrected</w:t>
            </w: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23,653</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(18,440)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5,816</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5,171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13,077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12,467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25,047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24,455</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expense </w:t>
            </w:r>
            <w:r>
              <w:rPr>
                <w:rFonts w:ascii="Arial" w:cs="Arial" w:eastAsia="Arial" w:hAnsi="Arial"/>
                <w:sz w:val="8"/>
                <w:szCs w:val="8"/>
                <w:color w:val="auto"/>
              </w:rPr>
              <w:t>(b)</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20,939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7,190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10,629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10,629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1,596</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Debt issuance costs </w:t>
            </w:r>
            <w:r>
              <w:rPr>
                <w:rFonts w:ascii="Arial" w:cs="Arial" w:eastAsia="Arial" w:hAnsi="Arial"/>
                <w:sz w:val="8"/>
                <w:szCs w:val="8"/>
                <w:color w:val="auto"/>
              </w:rPr>
              <w:t>(c)</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Asset impairment </w:t>
            </w:r>
            <w:r>
              <w:rPr>
                <w:rFonts w:ascii="Arial" w:cs="Arial" w:eastAsia="Arial" w:hAnsi="Arial"/>
                <w:sz w:val="8"/>
                <w:szCs w:val="8"/>
                <w:color w:val="auto"/>
              </w:rPr>
              <w:t>(d)</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17,630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15,493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store pre-opening</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expense </w:t>
            </w:r>
            <w:r>
              <w:rPr>
                <w:rFonts w:ascii="Arial" w:cs="Arial" w:eastAsia="Arial" w:hAnsi="Arial"/>
                <w:sz w:val="8"/>
                <w:szCs w:val="8"/>
                <w:color w:val="auto"/>
              </w:rPr>
              <w:t>(e)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Non-cash rent </w:t>
            </w:r>
            <w:r>
              <w:rPr>
                <w:rFonts w:ascii="Arial" w:cs="Arial" w:eastAsia="Arial" w:hAnsi="Arial"/>
                <w:sz w:val="8"/>
                <w:szCs w:val="8"/>
                <w:color w:val="auto"/>
              </w:rPr>
              <w:t>(f)</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2,801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Secondary offering</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expenses </w:t>
            </w:r>
            <w:r>
              <w:rPr>
                <w:rFonts w:ascii="Arial" w:cs="Arial" w:eastAsia="Arial" w:hAnsi="Arial"/>
                <w:sz w:val="8"/>
                <w:szCs w:val="8"/>
                <w:color w:val="auto"/>
              </w:rPr>
              <w:t>(g)</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Long-term incentive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plan </w:t>
            </w:r>
            <w:r>
              <w:rPr>
                <w:rFonts w:ascii="Arial" w:cs="Arial" w:eastAsia="Arial" w:hAnsi="Arial"/>
                <w:sz w:val="8"/>
                <w:szCs w:val="8"/>
                <w:color w:val="auto"/>
              </w:rPr>
              <w:t>(h)</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7,040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2,429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4,611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(i)</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Amortization of</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acquisition intangibles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and deferred financing</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costs </w:t>
            </w:r>
            <w:r>
              <w:rPr>
                <w:rFonts w:ascii="Arial" w:cs="Arial" w:eastAsia="Arial" w:hAnsi="Arial"/>
                <w:sz w:val="8"/>
                <w:szCs w:val="8"/>
                <w:color w:val="auto"/>
              </w:rPr>
              <w:t>(j)</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9,253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2,412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 of stock</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option exercises </w:t>
            </w:r>
            <w:r>
              <w:rPr>
                <w:rFonts w:ascii="Arial" w:cs="Arial" w:eastAsia="Arial" w:hAnsi="Arial"/>
                <w:sz w:val="8"/>
                <w:szCs w:val="8"/>
                <w:color w:val="auto"/>
              </w:rPr>
              <w:t>(k)</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(7,578)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Tax effect of total</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8"/>
                <w:szCs w:val="8"/>
                <w:color w:val="auto"/>
              </w:rPr>
              <w:t>(l)</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(13,309)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(4,102)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(5,943)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b w:val="1"/>
                <w:bCs w:val="1"/>
                <w:color w:val="auto"/>
              </w:rPr>
              <w:t>Adjusted Net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51,928</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1,040</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9,190</w:t>
            </w: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8,724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16,150</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15,716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26,870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26,448</w:t>
            </w:r>
          </w:p>
        </w:tc>
        <w:tc>
          <w:tcPr>
            <w:tcW w:w="0" w:type="dxa"/>
            <w:vAlign w:val="bottom"/>
          </w:tcPr>
          <w:p>
            <w:pPr>
              <w:spacing w:after="0"/>
              <w:rPr>
                <w:sz w:val="1"/>
                <w:szCs w:val="1"/>
                <w:color w:val="auto"/>
              </w:rPr>
            </w:pPr>
          </w:p>
        </w:tc>
      </w:tr>
      <w:tr>
        <w:trPr>
          <w:trHeight w:val="185"/>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8" w:right="239" w:bottom="1440" w:gutter="0" w:footer="0" w:header="0"/>
        </w:sectPr>
      </w:pPr>
    </w:p>
    <w:bookmarkStart w:id="7" w:name="page8"/>
    <w:bookmarkEnd w:id="7"/>
    <w:p>
      <w:pPr>
        <w:ind w:left="412" w:hanging="412"/>
        <w:spacing w:after="0"/>
        <w:tabs>
          <w:tab w:leader="none" w:pos="412"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reported in Exhibit 99.1 of Form 8-K filed on February 27, 2019</w:t>
      </w:r>
    </w:p>
    <w:p>
      <w:pPr>
        <w:spacing w:after="0" w:line="13" w:lineRule="exact"/>
        <w:rPr>
          <w:rFonts w:ascii="Arial" w:cs="Arial" w:eastAsia="Arial" w:hAnsi="Arial"/>
          <w:sz w:val="14"/>
          <w:szCs w:val="14"/>
          <w:color w:val="auto"/>
        </w:rPr>
      </w:pPr>
    </w:p>
    <w:p>
      <w:pPr>
        <w:ind w:left="412" w:hanging="412"/>
        <w:spacing w:after="0"/>
        <w:tabs>
          <w:tab w:leader="none" w:pos="412"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 w:lineRule="exact"/>
        <w:rPr>
          <w:rFonts w:ascii="Arial" w:cs="Arial" w:eastAsia="Arial" w:hAnsi="Arial"/>
          <w:sz w:val="14"/>
          <w:szCs w:val="14"/>
          <w:color w:val="auto"/>
        </w:rPr>
      </w:pPr>
    </w:p>
    <w:p>
      <w:pPr>
        <w:ind w:left="412" w:hanging="412"/>
        <w:spacing w:after="0"/>
        <w:tabs>
          <w:tab w:leader="none" w:pos="412"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fiscal year 2018, fees associated with the issuance of new term loans during the fourth quarter of fiscal year 2018.</w:t>
      </w:r>
    </w:p>
    <w:p>
      <w:pPr>
        <w:spacing w:after="0" w:line="1" w:lineRule="exact"/>
        <w:rPr>
          <w:rFonts w:ascii="Arial" w:cs="Arial" w:eastAsia="Arial" w:hAnsi="Arial"/>
          <w:sz w:val="14"/>
          <w:szCs w:val="14"/>
          <w:color w:val="auto"/>
        </w:rPr>
      </w:pPr>
    </w:p>
    <w:p>
      <w:pPr>
        <w:ind w:left="412" w:hanging="412"/>
        <w:spacing w:after="0"/>
        <w:tabs>
          <w:tab w:leader="none" w:pos="412"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Military and Fred Meyer brands during fiscal year 2018</w:t>
      </w:r>
    </w:p>
    <w:p>
      <w:pPr>
        <w:spacing w:after="0" w:line="1" w:lineRule="exact"/>
        <w:rPr>
          <w:rFonts w:ascii="Arial" w:cs="Arial" w:eastAsia="Arial" w:hAnsi="Arial"/>
          <w:sz w:val="14"/>
          <w:szCs w:val="14"/>
          <w:color w:val="auto"/>
        </w:rPr>
      </w:pPr>
    </w:p>
    <w:p>
      <w:pPr>
        <w:jc w:val="both"/>
        <w:ind w:left="412" w:hanging="412"/>
        <w:spacing w:after="0" w:line="241" w:lineRule="auto"/>
        <w:tabs>
          <w:tab w:leader="none" w:pos="412"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are not indicative of ongoing core operating performance. We adjust for these costs to facilitate comparisons of store operating performance from period to period.</w:t>
      </w:r>
    </w:p>
    <w:p>
      <w:pPr>
        <w:spacing w:after="0" w:line="1" w:lineRule="exact"/>
        <w:rPr>
          <w:rFonts w:ascii="Arial" w:cs="Arial" w:eastAsia="Arial" w:hAnsi="Arial"/>
          <w:sz w:val="14"/>
          <w:szCs w:val="14"/>
          <w:color w:val="auto"/>
        </w:rPr>
      </w:pPr>
    </w:p>
    <w:p>
      <w:pPr>
        <w:ind w:left="412" w:hanging="412"/>
        <w:spacing w:after="0"/>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412" w:hanging="412"/>
        <w:spacing w:after="0"/>
        <w:tabs>
          <w:tab w:leader="none" w:pos="412" w:val="left"/>
        </w:tabs>
        <w:numPr>
          <w:ilvl w:val="0"/>
          <w:numId w:val="3"/>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during fiscal year 2018.</w:t>
      </w:r>
    </w:p>
    <w:p>
      <w:pPr>
        <w:spacing w:after="0" w:line="1" w:lineRule="exact"/>
        <w:rPr>
          <w:rFonts w:ascii="Arial" w:cs="Arial" w:eastAsia="Arial" w:hAnsi="Arial"/>
          <w:sz w:val="14"/>
          <w:szCs w:val="14"/>
          <w:color w:val="auto"/>
        </w:rPr>
      </w:pPr>
    </w:p>
    <w:p>
      <w:pPr>
        <w:jc w:val="both"/>
        <w:ind w:left="412" w:hanging="412"/>
        <w:spacing w:after="0" w:line="260"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Expenses pursuant to a long-term incentive plan for non-executive employees who were not participants in the management equity plan for fiscal year 2018. This plan was effective in 2014 following the acquisition of the Company by KKR Sponsor. During the third quarter of fiscal year 2018, $4.6 million cash payout was triggered as a result of the second secondary offering of common stock by KKR Sponsor and other selling shareholders. The remaining $2.4 million relates to the third secondary offering and is accrued but not paid as of fiscal year end 2018.</w:t>
      </w:r>
    </w:p>
    <w:p>
      <w:pPr>
        <w:jc w:val="both"/>
        <w:ind w:left="412" w:hanging="412"/>
        <w:spacing w:after="0" w:line="260"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$0.3 million, $0.4 million, $0.4 million, $0.2 million for the three months ended December 29, 2018, September 29, 2018, June 30, 2018 and March 31, 2018, respectively; the amortization impact of the KKR Acquisition-related adjustments (e.g., fair value of leasehold interests) of $0.1 million, $0.2 million, $52,000 million and $17 thousand for the three months ended December 29, 2018, September 29, 2018, June 30, 2018 and March 31, 2018, respectively; differences between the timing of expense versus cash payments related to contributions to charitable organizations of $(0.2) million, for the three months ended December 29, 2018, and $(0.3) million for each of the three months ended September 29, 2018, June 30, 2018 and March 31, 2018, respectively; costs of severance and relocation of $0.1 million, $0.3 million $0.3 million, and $0.2 million for the three months ended December 29, 2018, September 29, 2018, June 30, 2018 and March 31, 2018, respectively; excess payroll taxes related to stock option exercises of $0.6 million and $0.9 million for the three months ended December 29, 2018 and September 29, 2018, respectively; and other expenses and adjustments totaling $0.6 million, $0.4 million, $0.2 million and $0.3 million for the three months ended December 29, 2018, September 29, 2018, June 30, 2018 and March 31, 2018, respectively.</w:t>
      </w:r>
    </w:p>
    <w:p>
      <w:pPr>
        <w:jc w:val="both"/>
        <w:ind w:left="412" w:hanging="412"/>
        <w:spacing w:after="0" w:line="260"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Amortization of the increase in carrying values of definite-lived intangible assets resulting from the application of purchase accounting to the KKR Acquisition of $1.9 million for each of the fiscal quarters of 2018; and 2) Amortization of debt discounts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$0.5 million for the three months ended December 29, 2018, and $0.4 million for each of the three months ended September 29, 2018, June 30, 2018 and March 31, 2018.</w:t>
      </w:r>
    </w:p>
    <w:p>
      <w:pPr>
        <w:ind w:left="412" w:hanging="412"/>
        <w:spacing w:after="0" w:line="241" w:lineRule="auto"/>
        <w:tabs>
          <w:tab w:leader="none" w:pos="412" w:val="left"/>
        </w:tabs>
        <w:numPr>
          <w:ilvl w:val="0"/>
          <w:numId w:val="3"/>
        </w:numPr>
        <w:rPr>
          <w:rFonts w:ascii="Arial" w:cs="Arial" w:eastAsia="Arial" w:hAnsi="Arial"/>
          <w:sz w:val="14"/>
          <w:szCs w:val="14"/>
          <w:color w:val="auto"/>
        </w:rPr>
      </w:pPr>
      <w:r>
        <w:rPr>
          <w:rFonts w:ascii="Arial" w:cs="Arial" w:eastAsia="Arial" w:hAnsi="Arial"/>
          <w:sz w:val="14"/>
          <w:szCs w:val="14"/>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ind w:left="412" w:hanging="412"/>
        <w:spacing w:after="0"/>
        <w:tabs>
          <w:tab w:leader="none" w:pos="412"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ectPr>
          <w:pgSz w:w="11900" w:h="16838" w:orient="portrait"/>
          <w:cols w:equalWidth="0" w:num="1">
            <w:col w:w="11412"/>
          </w:cols>
          <w:pgMar w:left="248" w:top="74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tables reconcile our net income to EBITDA, Adjusted EBITDA, and Adjusted Net Income for the periods presented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Fourth</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Quarter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Fiscal Year</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December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center"/>
              <w:ind w:right="108"/>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w w:val="91"/>
              </w:rPr>
              <w:t>30, 2017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8"/>
          </w:tcPr>
          <w:p>
            <w:pPr>
              <w:jc w:val="right"/>
              <w:ind w:right="240"/>
              <w:spacing w:after="0"/>
              <w:rPr>
                <w:sz w:val="20"/>
                <w:szCs w:val="20"/>
                <w:color w:val="auto"/>
              </w:rPr>
            </w:pPr>
            <w:r>
              <w:rPr>
                <w:rFonts w:ascii="Arial" w:cs="Arial" w:eastAsia="Arial" w:hAnsi="Arial"/>
                <w:sz w:val="14"/>
                <w:szCs w:val="14"/>
                <w:color w:val="auto"/>
                <w:w w:val="93"/>
              </w:rPr>
              <w:t>Third Quarter Ended September 30, 2017</w:t>
            </w:r>
          </w:p>
        </w:tc>
        <w:tc>
          <w:tcPr>
            <w:tcW w:w="120" w:type="dxa"/>
            <w:vAlign w:val="bottom"/>
          </w:tcPr>
          <w:p>
            <w:pPr>
              <w:spacing w:after="0"/>
              <w:rPr>
                <w:sz w:val="16"/>
                <w:szCs w:val="16"/>
                <w:color w:val="auto"/>
              </w:rPr>
            </w:pPr>
          </w:p>
        </w:tc>
        <w:tc>
          <w:tcPr>
            <w:tcW w:w="2560" w:type="dxa"/>
            <w:vAlign w:val="bottom"/>
            <w:gridSpan w:val="8"/>
          </w:tcPr>
          <w:p>
            <w:pPr>
              <w:ind w:left="160"/>
              <w:spacing w:after="0"/>
              <w:rPr>
                <w:sz w:val="20"/>
                <w:szCs w:val="20"/>
                <w:color w:val="auto"/>
              </w:rPr>
            </w:pPr>
            <w:r>
              <w:rPr>
                <w:rFonts w:ascii="Arial" w:cs="Arial" w:eastAsia="Arial" w:hAnsi="Arial"/>
                <w:sz w:val="14"/>
                <w:szCs w:val="14"/>
                <w:color w:val="auto"/>
              </w:rPr>
              <w:t>Second Quarter Ended July 1, 2017</w:t>
            </w:r>
          </w:p>
        </w:tc>
        <w:tc>
          <w:tcPr>
            <w:tcW w:w="120" w:type="dxa"/>
            <w:vAlign w:val="bottom"/>
          </w:tcPr>
          <w:p>
            <w:pPr>
              <w:spacing w:after="0"/>
              <w:rPr>
                <w:sz w:val="16"/>
                <w:szCs w:val="16"/>
                <w:color w:val="auto"/>
              </w:rPr>
            </w:pPr>
          </w:p>
        </w:tc>
        <w:tc>
          <w:tcPr>
            <w:tcW w:w="2440" w:type="dxa"/>
            <w:vAlign w:val="bottom"/>
            <w:gridSpan w:val="7"/>
          </w:tcPr>
          <w:p>
            <w:pPr>
              <w:jc w:val="right"/>
              <w:ind w:right="228"/>
              <w:spacing w:after="0"/>
              <w:rPr>
                <w:sz w:val="20"/>
                <w:szCs w:val="20"/>
                <w:color w:val="auto"/>
              </w:rPr>
            </w:pPr>
            <w:r>
              <w:rPr>
                <w:rFonts w:ascii="Arial" w:cs="Arial" w:eastAsia="Arial" w:hAnsi="Arial"/>
                <w:sz w:val="14"/>
                <w:szCs w:val="14"/>
                <w:color w:val="auto"/>
              </w:rPr>
              <w:t>First Quarter Ended April 1, 2017</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color w:val="auto"/>
                <w:w w:val="97"/>
              </w:rPr>
              <w:t>As</w:t>
            </w: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3"/>
              </w:rPr>
              <w:t>As reported</w:t>
            </w:r>
          </w:p>
        </w:tc>
        <w:tc>
          <w:tcPr>
            <w:tcW w:w="9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As reported</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previously</w:t>
            </w: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As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previously</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previously</w:t>
            </w: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7"/>
              </w:rPr>
              <w:t>As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9"/>
                <w:szCs w:val="9"/>
                <w:color w:val="auto"/>
                <w:w w:val="90"/>
              </w:rPr>
              <w:t>(a)</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reported</w:t>
            </w: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corrected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reported</w:t>
            </w: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corrected</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reported</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color w:val="auto"/>
                <w:w w:val="92"/>
              </w:rPr>
              <w:t>corrected</w:t>
            </w: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43,138</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27,341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1,546</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17,070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16,641</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55,536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14,571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14,851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14,851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14,622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14,622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11,492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11,492</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(47,343)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8,187</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Depreciation and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61,974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16,953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15,352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15,571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14,629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14,834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14,423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14,616</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EBITDA</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8"/>
              </w:rPr>
              <w:t>121,738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11,522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50,936</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expense </w:t>
            </w:r>
            <w:r>
              <w:rPr>
                <w:rFonts w:ascii="Arial" w:cs="Arial" w:eastAsia="Arial" w:hAnsi="Arial"/>
                <w:sz w:val="8"/>
                <w:szCs w:val="8"/>
                <w:color w:val="auto"/>
              </w:rPr>
              <w:t>(a)</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Debt issuance costs </w:t>
            </w:r>
            <w:r>
              <w:rPr>
                <w:rFonts w:ascii="Arial" w:cs="Arial" w:eastAsia="Arial" w:hAnsi="Arial"/>
                <w:sz w:val="8"/>
                <w:szCs w:val="8"/>
                <w:color w:val="auto"/>
              </w:rPr>
              <w:t>(b)</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4,527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1,825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2,702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2,702</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Asset impairment </w:t>
            </w:r>
            <w:r>
              <w:rPr>
                <w:rFonts w:ascii="Arial" w:cs="Arial" w:eastAsia="Arial" w:hAnsi="Arial"/>
                <w:sz w:val="8"/>
                <w:szCs w:val="8"/>
                <w:color w:val="auto"/>
              </w:rPr>
              <w:t>(c)</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Non-cash inventory</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write-offs </w:t>
            </w:r>
            <w:r>
              <w:rPr>
                <w:rFonts w:ascii="Arial" w:cs="Arial" w:eastAsia="Arial" w:hAnsi="Arial"/>
                <w:sz w:val="8"/>
                <w:szCs w:val="8"/>
                <w:color w:val="auto"/>
              </w:rPr>
              <w:t>(d)</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2,271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Management fees </w:t>
            </w:r>
            <w:r>
              <w:rPr>
                <w:rFonts w:ascii="Arial" w:cs="Arial" w:eastAsia="Arial" w:hAnsi="Arial"/>
                <w:sz w:val="8"/>
                <w:szCs w:val="8"/>
                <w:color w:val="auto"/>
              </w:rPr>
              <w:t>(e)</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New store pre-opening</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expense </w:t>
            </w:r>
            <w:r>
              <w:rPr>
                <w:rFonts w:ascii="Arial" w:cs="Arial" w:eastAsia="Arial" w:hAnsi="Arial"/>
                <w:sz w:val="8"/>
                <w:szCs w:val="8"/>
                <w:color w:val="auto"/>
              </w:rPr>
              <w:t>(f)</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2,531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Non-cash rent </w:t>
            </w:r>
            <w:r>
              <w:rPr>
                <w:rFonts w:ascii="Arial" w:cs="Arial" w:eastAsia="Arial" w:hAnsi="Arial"/>
                <w:sz w:val="8"/>
                <w:szCs w:val="8"/>
                <w:color w:val="auto"/>
              </w:rPr>
              <w:t>(g)</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68"/>
        </w:trPr>
        <w:tc>
          <w:tcPr>
            <w:tcW w:w="1500" w:type="dxa"/>
            <w:vAlign w:val="bottom"/>
          </w:tcPr>
          <w:p>
            <w:pPr>
              <w:ind w:left="40"/>
              <w:spacing w:after="0"/>
              <w:rPr>
                <w:sz w:val="20"/>
                <w:szCs w:val="20"/>
                <w:color w:val="auto"/>
              </w:rPr>
            </w:pPr>
            <w:r>
              <w:rPr>
                <w:rFonts w:ascii="Arial" w:cs="Arial" w:eastAsia="Arial" w:hAnsi="Arial"/>
                <w:sz w:val="14"/>
                <w:szCs w:val="14"/>
                <w:color w:val="auto"/>
              </w:rPr>
              <w:t>Litigation settlement</w:t>
            </w:r>
          </w:p>
        </w:tc>
        <w:tc>
          <w:tcPr>
            <w:tcW w:w="180" w:type="dxa"/>
            <w:vAlign w:val="bottom"/>
          </w:tcPr>
          <w:p>
            <w:pPr>
              <w:spacing w:after="0"/>
              <w:rPr>
                <w:sz w:val="14"/>
                <w:szCs w:val="14"/>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1500" w:type="dxa"/>
            <w:vAlign w:val="bottom"/>
          </w:tcPr>
          <w:p>
            <w:pPr>
              <w:ind w:left="40"/>
              <w:spacing w:after="0"/>
              <w:rPr>
                <w:sz w:val="20"/>
                <w:szCs w:val="20"/>
                <w:color w:val="auto"/>
              </w:rPr>
            </w:pPr>
            <w:r>
              <w:rPr>
                <w:rFonts w:ascii="Arial" w:cs="Arial" w:eastAsia="Arial" w:hAnsi="Arial"/>
                <w:sz w:val="9"/>
                <w:szCs w:val="9"/>
                <w:color w:val="auto"/>
              </w:rPr>
              <w:t>(h)</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(i)</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3,924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43"/>
        </w:trPr>
        <w:tc>
          <w:tcPr>
            <w:tcW w:w="1500" w:type="dxa"/>
            <w:vAlign w:val="bottom"/>
          </w:tcPr>
          <w:p>
            <w:pPr>
              <w:ind w:left="18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8"/>
              </w:rPr>
              <w:t>158,442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24,701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36,161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35,841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39,619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39,310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58,906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58,590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Fourth</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Quarter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Fiscal Year</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December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center"/>
              <w:ind w:right="108"/>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29"/>
              <w:spacing w:after="0"/>
              <w:rPr>
                <w:sz w:val="20"/>
                <w:szCs w:val="20"/>
                <w:color w:val="auto"/>
              </w:rPr>
            </w:pPr>
            <w:r>
              <w:rPr>
                <w:rFonts w:ascii="Arial" w:cs="Arial" w:eastAsia="Arial" w:hAnsi="Arial"/>
                <w:sz w:val="14"/>
                <w:szCs w:val="14"/>
                <w:color w:val="auto"/>
                <w:w w:val="91"/>
              </w:rPr>
              <w:t>30, 2017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8"/>
          </w:tcPr>
          <w:p>
            <w:pPr>
              <w:jc w:val="right"/>
              <w:ind w:right="240"/>
              <w:spacing w:after="0"/>
              <w:rPr>
                <w:sz w:val="20"/>
                <w:szCs w:val="20"/>
                <w:color w:val="auto"/>
              </w:rPr>
            </w:pPr>
            <w:r>
              <w:rPr>
                <w:rFonts w:ascii="Arial" w:cs="Arial" w:eastAsia="Arial" w:hAnsi="Arial"/>
                <w:sz w:val="14"/>
                <w:szCs w:val="14"/>
                <w:color w:val="auto"/>
                <w:w w:val="93"/>
              </w:rPr>
              <w:t>Third Quarter Ended September 30, 2017</w:t>
            </w:r>
          </w:p>
        </w:tc>
        <w:tc>
          <w:tcPr>
            <w:tcW w:w="120" w:type="dxa"/>
            <w:vAlign w:val="bottom"/>
          </w:tcPr>
          <w:p>
            <w:pPr>
              <w:spacing w:after="0"/>
              <w:rPr>
                <w:sz w:val="16"/>
                <w:szCs w:val="16"/>
                <w:color w:val="auto"/>
              </w:rPr>
            </w:pPr>
          </w:p>
        </w:tc>
        <w:tc>
          <w:tcPr>
            <w:tcW w:w="2560" w:type="dxa"/>
            <w:vAlign w:val="bottom"/>
            <w:gridSpan w:val="8"/>
          </w:tcPr>
          <w:p>
            <w:pPr>
              <w:ind w:left="160"/>
              <w:spacing w:after="0"/>
              <w:rPr>
                <w:sz w:val="20"/>
                <w:szCs w:val="20"/>
                <w:color w:val="auto"/>
              </w:rPr>
            </w:pPr>
            <w:r>
              <w:rPr>
                <w:rFonts w:ascii="Arial" w:cs="Arial" w:eastAsia="Arial" w:hAnsi="Arial"/>
                <w:sz w:val="14"/>
                <w:szCs w:val="14"/>
                <w:color w:val="auto"/>
              </w:rPr>
              <w:t>Second Quarter Ended July 1, 2017</w:t>
            </w:r>
          </w:p>
        </w:tc>
        <w:tc>
          <w:tcPr>
            <w:tcW w:w="120" w:type="dxa"/>
            <w:vAlign w:val="bottom"/>
          </w:tcPr>
          <w:p>
            <w:pPr>
              <w:spacing w:after="0"/>
              <w:rPr>
                <w:sz w:val="16"/>
                <w:szCs w:val="16"/>
                <w:color w:val="auto"/>
              </w:rPr>
            </w:pPr>
          </w:p>
        </w:tc>
        <w:tc>
          <w:tcPr>
            <w:tcW w:w="2440" w:type="dxa"/>
            <w:vAlign w:val="bottom"/>
            <w:gridSpan w:val="7"/>
          </w:tcPr>
          <w:p>
            <w:pPr>
              <w:jc w:val="right"/>
              <w:ind w:right="228"/>
              <w:spacing w:after="0"/>
              <w:rPr>
                <w:sz w:val="20"/>
                <w:szCs w:val="20"/>
                <w:color w:val="auto"/>
              </w:rPr>
            </w:pPr>
            <w:r>
              <w:rPr>
                <w:rFonts w:ascii="Arial" w:cs="Arial" w:eastAsia="Arial" w:hAnsi="Arial"/>
                <w:sz w:val="14"/>
                <w:szCs w:val="14"/>
                <w:color w:val="auto"/>
              </w:rPr>
              <w:t>First Quarter Ended April 1, 2017</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color w:val="auto"/>
                <w:w w:val="97"/>
              </w:rPr>
              <w:t>As</w:t>
            </w: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7"/>
              </w:rPr>
              <w:t>As</w:t>
            </w: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3"/>
              </w:rPr>
              <w:t>As reported</w:t>
            </w:r>
          </w:p>
        </w:tc>
        <w:tc>
          <w:tcPr>
            <w:tcW w:w="9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As reported</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previously</w:t>
            </w: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As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previously</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previously</w:t>
            </w: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7"/>
              </w:rPr>
              <w:t>As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9"/>
                <w:szCs w:val="9"/>
                <w:color w:val="auto"/>
                <w:w w:val="90"/>
              </w:rPr>
              <w:t>(a)</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reported</w:t>
            </w: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corrected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reported</w:t>
            </w: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corrected</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reported</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color w:val="auto"/>
                <w:w w:val="92"/>
              </w:rPr>
              <w:t>corrected</w:t>
            </w: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43,138</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27,341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1,546</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17,070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16,641</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expense </w:t>
            </w:r>
            <w:r>
              <w:rPr>
                <w:rFonts w:ascii="Arial" w:cs="Arial" w:eastAsia="Arial" w:hAnsi="Arial"/>
                <w:sz w:val="8"/>
                <w:szCs w:val="8"/>
                <w:color w:val="auto"/>
              </w:rPr>
              <w:t>(b)</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5,152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Debt issuance costs </w:t>
            </w:r>
            <w:r>
              <w:rPr>
                <w:rFonts w:ascii="Arial" w:cs="Arial" w:eastAsia="Arial" w:hAnsi="Arial"/>
                <w:sz w:val="8"/>
                <w:szCs w:val="8"/>
                <w:color w:val="auto"/>
              </w:rPr>
              <w:t>(c)</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2,702</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Asset impairment </w:t>
            </w:r>
            <w:r>
              <w:rPr>
                <w:rFonts w:ascii="Arial" w:cs="Arial" w:eastAsia="Arial" w:hAnsi="Arial"/>
                <w:sz w:val="8"/>
                <w:szCs w:val="8"/>
                <w:color w:val="auto"/>
              </w:rPr>
              <w:t>(d)</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4,117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3,117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inventory</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write-offs </w:t>
            </w:r>
            <w:r>
              <w:rPr>
                <w:rFonts w:ascii="Arial" w:cs="Arial" w:eastAsia="Arial" w:hAnsi="Arial"/>
                <w:sz w:val="8"/>
                <w:szCs w:val="8"/>
                <w:color w:val="auto"/>
              </w:rPr>
              <w:t>(e)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Management fees </w:t>
            </w:r>
            <w:r>
              <w:rPr>
                <w:rFonts w:ascii="Arial" w:cs="Arial" w:eastAsia="Arial" w:hAnsi="Arial"/>
                <w:sz w:val="8"/>
                <w:szCs w:val="8"/>
                <w:color w:val="auto"/>
              </w:rPr>
              <w:t>(f)</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5,263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4,418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store pre-opening</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expenses </w:t>
            </w:r>
            <w:r>
              <w:rPr>
                <w:rFonts w:ascii="Arial" w:cs="Arial" w:eastAsia="Arial" w:hAnsi="Arial"/>
                <w:sz w:val="8"/>
                <w:szCs w:val="8"/>
                <w:color w:val="auto"/>
              </w:rPr>
              <w:t>(g)</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Non-cash rent </w:t>
            </w:r>
            <w:r>
              <w:rPr>
                <w:rFonts w:ascii="Arial" w:cs="Arial" w:eastAsia="Arial" w:hAnsi="Arial"/>
                <w:sz w:val="8"/>
                <w:szCs w:val="8"/>
                <w:color w:val="auto"/>
              </w:rPr>
              <w:t>(h)</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1,919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Litigation settlement </w:t>
            </w:r>
            <w:r>
              <w:rPr>
                <w:rFonts w:ascii="Arial" w:cs="Arial" w:eastAsia="Arial" w:hAnsi="Arial"/>
                <w:sz w:val="8"/>
                <w:szCs w:val="8"/>
                <w:color w:val="auto"/>
              </w:rPr>
              <w:t>(i)</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(j)</w:t>
            </w: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3,924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acquisition intangibles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and deferred financing</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costs </w:t>
            </w:r>
            <w:r>
              <w:rPr>
                <w:rFonts w:ascii="Arial" w:cs="Arial" w:eastAsia="Arial" w:hAnsi="Arial"/>
                <w:sz w:val="8"/>
                <w:szCs w:val="8"/>
                <w:color w:val="auto"/>
              </w:rPr>
              <w:t>(k)</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5,853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2,859</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Tax legislation</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 xml:space="preserve">adjustment </w:t>
            </w:r>
            <w:r>
              <w:rPr>
                <w:rFonts w:ascii="Arial" w:cs="Arial" w:eastAsia="Arial" w:hAnsi="Arial"/>
                <w:sz w:val="8"/>
                <w:szCs w:val="8"/>
                <w:color w:val="auto"/>
              </w:rPr>
              <w:t>(l)</w:t>
            </w: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(42,089)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(42,089)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effect of total</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8"/>
                <w:szCs w:val="8"/>
                <w:color w:val="auto"/>
              </w:rPr>
              <w:t>(m)</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(20,475)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(7,613)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(4,206)</w:t>
            </w:r>
          </w:p>
        </w:tc>
        <w:tc>
          <w:tcPr>
            <w:tcW w:w="0" w:type="dxa"/>
            <w:vAlign w:val="bottom"/>
          </w:tcPr>
          <w:p>
            <w:pPr>
              <w:spacing w:after="0"/>
              <w:rPr>
                <w:sz w:val="1"/>
                <w:szCs w:val="1"/>
                <w:color w:val="auto"/>
              </w:rPr>
            </w:pPr>
          </w:p>
        </w:tc>
      </w:tr>
      <w:tr>
        <w:trPr>
          <w:trHeight w:val="133"/>
        </w:trPr>
        <w:tc>
          <w:tcPr>
            <w:tcW w:w="150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Adjusted Net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31,759</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(3,329)</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5,826</w:t>
            </w:r>
          </w:p>
        </w:tc>
        <w:tc>
          <w:tcPr>
            <w:tcW w:w="12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5,492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6,966</w:t>
            </w:r>
          </w:p>
        </w:tc>
        <w:tc>
          <w:tcPr>
            <w:tcW w:w="12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6,648</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23,263</w:t>
            </w:r>
          </w:p>
        </w:tc>
        <w:tc>
          <w:tcPr>
            <w:tcW w:w="100" w:type="dxa"/>
            <w:vAlign w:val="bottom"/>
          </w:tcPr>
          <w:p>
            <w:pPr>
              <w:spacing w:after="0"/>
              <w:rPr>
                <w:sz w:val="11"/>
                <w:szCs w:val="11"/>
                <w:color w:val="auto"/>
              </w:rPr>
            </w:pP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22,948</w:t>
            </w:r>
          </w:p>
        </w:tc>
        <w:tc>
          <w:tcPr>
            <w:tcW w:w="0" w:type="dxa"/>
            <w:vAlign w:val="bottom"/>
          </w:tcPr>
          <w:p>
            <w:pPr>
              <w:spacing w:after="0"/>
              <w:rPr>
                <w:sz w:val="1"/>
                <w:szCs w:val="1"/>
                <w:color w:val="auto"/>
              </w:rPr>
            </w:pPr>
          </w:p>
        </w:tc>
      </w:tr>
      <w:tr>
        <w:trPr>
          <w:trHeight w:val="190"/>
        </w:trPr>
        <w:tc>
          <w:tcPr>
            <w:tcW w:w="1500" w:type="dxa"/>
            <w:vAlign w:val="bottom"/>
          </w:tcPr>
          <w:p>
            <w:pPr>
              <w:ind w:left="18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ind w:left="412" w:hanging="412"/>
        <w:spacing w:after="0"/>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reported in Exhibit 99.1 of Form 8-K filed on February 27, 2019</w:t>
      </w:r>
    </w:p>
    <w:p>
      <w:pPr>
        <w:spacing w:after="0" w:line="13" w:lineRule="exact"/>
        <w:rPr>
          <w:rFonts w:ascii="Arial" w:cs="Arial" w:eastAsia="Arial" w:hAnsi="Arial"/>
          <w:sz w:val="14"/>
          <w:szCs w:val="14"/>
          <w:color w:val="auto"/>
        </w:rPr>
      </w:pPr>
    </w:p>
    <w:p>
      <w:pPr>
        <w:ind w:left="412" w:hanging="412"/>
        <w:spacing w:after="0"/>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 w:lineRule="exact"/>
        <w:rPr>
          <w:rFonts w:ascii="Arial" w:cs="Arial" w:eastAsia="Arial" w:hAnsi="Arial"/>
          <w:sz w:val="14"/>
          <w:szCs w:val="14"/>
          <w:color w:val="auto"/>
        </w:rPr>
      </w:pPr>
    </w:p>
    <w:p>
      <w:pPr>
        <w:ind w:left="412" w:hanging="412"/>
        <w:spacing w:after="0" w:line="241" w:lineRule="auto"/>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fiscal year 2017, includes $2.7 million of fees associated with the borrowing of $175.0 million in additional principal under our first lien credit agreement during the first quarter of 2017 and $1.8 million of fees associated with the refinancing of our first lien credit agreement during the fourth quarter of 2017.</w:t>
      </w:r>
    </w:p>
    <w:p>
      <w:pPr>
        <w:ind w:left="412" w:right="20" w:hanging="412"/>
        <w:spacing w:after="0" w:line="241" w:lineRule="auto"/>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Non-cash charges related to impairment of cost basis investment during the second quarter of 2017 and write-off of capitalized software and property and equipment during the fourth quarter of 2017.</w:t>
      </w:r>
    </w:p>
    <w:p>
      <w:pPr>
        <w:ind w:left="412" w:hanging="412"/>
        <w:spacing w:after="0"/>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 that could not be sold and required disposal.</w:t>
      </w:r>
    </w:p>
    <w:p>
      <w:pPr>
        <w:spacing w:after="0" w:line="1" w:lineRule="exact"/>
        <w:rPr>
          <w:rFonts w:ascii="Arial" w:cs="Arial" w:eastAsia="Arial" w:hAnsi="Arial"/>
          <w:sz w:val="14"/>
          <w:szCs w:val="14"/>
          <w:color w:val="auto"/>
        </w:rPr>
      </w:pPr>
    </w:p>
    <w:p>
      <w:pPr>
        <w:ind w:left="412" w:hanging="412"/>
        <w:spacing w:after="0" w:line="241" w:lineRule="auto"/>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in October 2017.</w:t>
      </w:r>
    </w:p>
    <w:p>
      <w:pPr>
        <w:jc w:val="both"/>
        <w:ind w:left="412" w:hanging="412"/>
        <w:spacing w:after="0" w:line="241" w:lineRule="auto"/>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are not indicative of ongoing core operating performance. We adjust for these costs to facilitate comparisons of store operating performance from period to period.</w:t>
      </w:r>
    </w:p>
    <w:p>
      <w:pPr>
        <w:spacing w:after="0" w:line="1" w:lineRule="exact"/>
        <w:rPr>
          <w:rFonts w:ascii="Arial" w:cs="Arial" w:eastAsia="Arial" w:hAnsi="Arial"/>
          <w:sz w:val="14"/>
          <w:szCs w:val="14"/>
          <w:color w:val="auto"/>
        </w:rPr>
      </w:pPr>
    </w:p>
    <w:p>
      <w:pPr>
        <w:ind w:left="412" w:hanging="412"/>
        <w:spacing w:after="0"/>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412" w:hanging="412"/>
        <w:spacing w:after="0"/>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Expenses associated with settlement of litigation.</w:t>
      </w:r>
    </w:p>
    <w:p>
      <w:pPr>
        <w:spacing w:after="0" w:line="1" w:lineRule="exact"/>
        <w:rPr>
          <w:rFonts w:ascii="Arial" w:cs="Arial" w:eastAsia="Arial" w:hAnsi="Arial"/>
          <w:sz w:val="14"/>
          <w:szCs w:val="14"/>
          <w:color w:val="auto"/>
        </w:rPr>
      </w:pPr>
    </w:p>
    <w:p>
      <w:pPr>
        <w:jc w:val="both"/>
        <w:ind w:left="412" w:hanging="412"/>
        <w:spacing w:after="0" w:line="241" w:lineRule="auto"/>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$0.3 million, $0.4 million, $0.2 million and $0.1 million for the three months ended December 30, 2017, September 30, 2017, July 1, 2017 and April 1, 2017, respectively; the amortization impact of the KKR Acquisition-related adjustments (e.g., fair value of leasehold interests) of $(0.1) for each of the three months ended December 30, 2017, September 30, 2017, July 1, 2017 and April 1, 2017; expenses related to preparation for being an SEC registrant that were not directly attributable to our IPO and therefore not charged to equity of $0.6 million and $0.7 million and $0.5 million for the three months ended September 30, 2017, July 1, 2017 and April 1, 2017, respectively; differences between the timing of expense versus cash payments related to contributions to charitable organizations of $(0.3) million for each of the three months ended December 30, 2017, September 30, 2017, July 1, 2017 and April 1, 2017; costs of severance and relocation of $0.4 million, $0.7 million and $0.3 million for the three months ended December 30, 2017, September 30, 2017 and July 1, 2017, respectively; and other expenses and adjustments totaling $0.5 million, $0.4 million and $0.1 million for the three months ended December 30, 2017, September 30, 2017, and April 1, 2017, respectively.</w:t>
      </w:r>
    </w:p>
    <w:p>
      <w:pPr>
        <w:spacing w:after="0" w:line="3" w:lineRule="exact"/>
        <w:rPr>
          <w:rFonts w:ascii="Arial" w:cs="Arial" w:eastAsia="Arial" w:hAnsi="Arial"/>
          <w:sz w:val="14"/>
          <w:szCs w:val="14"/>
          <w:color w:val="auto"/>
        </w:rPr>
      </w:pPr>
    </w:p>
    <w:p>
      <w:pPr>
        <w:jc w:val="both"/>
        <w:ind w:left="412" w:hanging="412"/>
        <w:spacing w:after="0" w:line="260"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t>Amortization of the increase in carrying values of definite-lived intangible assets resulting from the application of purchase accounting to the KKR Acquisition of $1.9 million for each of the quarters of 2017; and 2) Amortization of debt discounts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$4.0 million for the quarter ended December 30, 2017, and $1.0 million for each of the three months ended September 30, 2017, July 1, 2017 and April 1, 2017. The additional amortization of debt discount in fourth quarter of 2017 includes a $3.3 million write-off of debt discounts associated with the repayment of the entire $125.0 million second lien term loan balance.</w:t>
      </w:r>
    </w:p>
    <w:p>
      <w:pPr>
        <w:ind w:left="412" w:hanging="412"/>
        <w:spacing w:after="0" w:line="241" w:lineRule="auto"/>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Part II. Item 8. of this Form 10-K for additional information regarding the Tax Legislation.</w:t>
      </w:r>
    </w:p>
    <w:p>
      <w:pPr>
        <w:ind w:left="412" w:hanging="412"/>
        <w:spacing w:after="0"/>
        <w:tabs>
          <w:tab w:leader="none" w:pos="412"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sectPr>
      <w:pgSz w:w="11900" w:h="16838" w:orient="portrait"/>
      <w:cols w:equalWidth="0" w:num="1">
        <w:col w:w="11412"/>
      </w:cols>
      <w:pgMar w:left="248"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2019-12-28T15:02:38Z</dcterms:created>
  <dcterms:modified xsi:type="dcterms:W3CDTF">2019-12-28T15:02:38Z</dcterms:modified>
</cp:coreProperties>
</file>