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165100</wp:posOffset>
            </wp:positionV>
            <wp:extent cx="18040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4035" cy="209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Vision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63845R107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060" w:firstLine="4"/>
        <w:spacing w:after="0" w:line="229" w:lineRule="exact"/>
        <w:tabs>
          <w:tab w:leader="none" w:pos="8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140335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654685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20"/>
          </w:cols>
          <w:pgMar w:left="980" w:top="543"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CUSIP No. 63845R107</w:t>
      </w:r>
    </w:p>
    <w:p>
      <w:pPr>
        <w:spacing w:after="0" w:line="239" w:lineRule="exact"/>
        <w:rPr>
          <w:sz w:val="20"/>
          <w:szCs w:val="20"/>
          <w:color w:val="auto"/>
        </w:rPr>
      </w:pPr>
    </w:p>
    <w:p>
      <w:pPr>
        <w:ind w:left="480" w:hanging="321"/>
        <w:spacing w:after="0"/>
        <w:tabs>
          <w:tab w:leader="none" w:pos="4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480" w:right="516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Durable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6283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ind w:left="480" w:hanging="321"/>
        <w:spacing w:after="0"/>
        <w:tabs>
          <w:tab w:leader="none" w:pos="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9160"/>
        <w:spacing w:after="0" w:line="207" w:lineRule="exact"/>
        <w:tabs>
          <w:tab w:leader="none" w:pos="96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9160"/>
        <w:spacing w:after="0" w:line="207" w:lineRule="exact"/>
        <w:tabs>
          <w:tab w:leader="none" w:pos="96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480" w:hanging="321"/>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480" w:right="7080" w:hanging="321"/>
        <w:spacing w:after="0" w:line="511" w:lineRule="auto"/>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3"/>
        </w:trPr>
        <w:tc>
          <w:tcPr>
            <w:tcW w:w="176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w:t>
            </w:r>
          </w:p>
        </w:tc>
        <w:tc>
          <w:tcPr>
            <w:tcW w:w="84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0"/>
        </w:trPr>
        <w:tc>
          <w:tcPr>
            <w:tcW w:w="17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2,951,602</w:t>
            </w: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80" w:type="dxa"/>
            <w:vAlign w:val="bottom"/>
            <w:tcBorders>
              <w:bottom w:val="single" w:sz="8" w:color="auto"/>
              <w:right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60" w:type="dxa"/>
            <w:vAlign w:val="bottom"/>
            <w:tcBorders>
              <w:right w:val="single" w:sz="8" w:color="auto"/>
            </w:tcBorders>
            <w:vMerge w:val="continue"/>
          </w:tcPr>
          <w:p>
            <w:pPr>
              <w:spacing w:after="0"/>
              <w:rPr>
                <w:sz w:val="16"/>
                <w:szCs w:val="16"/>
                <w:color w:val="auto"/>
              </w:rPr>
            </w:pPr>
          </w:p>
        </w:tc>
        <w:tc>
          <w:tcPr>
            <w:tcW w:w="1080" w:type="dxa"/>
            <w:vAlign w:val="bottom"/>
            <w:tcBorders>
              <w:right w:val="single" w:sz="8" w:color="auto"/>
            </w:tcBorders>
          </w:tcPr>
          <w:p>
            <w:pPr>
              <w:jc w:val="right"/>
              <w:ind w:right="41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4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080" w:type="dxa"/>
            <w:vAlign w:val="bottom"/>
            <w:tcBorders>
              <w:right w:val="single" w:sz="8" w:color="auto"/>
            </w:tcBorders>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080" w:type="dxa"/>
            <w:vAlign w:val="bottom"/>
            <w:tcBorders>
              <w:right w:val="single" w:sz="8" w:color="auto"/>
            </w:tcBorders>
          </w:tcPr>
          <w:p>
            <w:pPr>
              <w:spacing w:after="0"/>
              <w:rPr>
                <w:sz w:val="18"/>
                <w:szCs w:val="18"/>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08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080" w:type="dxa"/>
            <w:vAlign w:val="bottom"/>
            <w:tcBorders>
              <w:right w:val="single" w:sz="8" w:color="auto"/>
            </w:tcBorders>
          </w:tcPr>
          <w:p>
            <w:pPr>
              <w:jc w:val="right"/>
              <w:ind w:right="4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80" w:type="dxa"/>
            <w:vAlign w:val="bottom"/>
            <w:tcBorders>
              <w:right w:val="single" w:sz="8" w:color="auto"/>
            </w:tcBorders>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1080" w:type="dxa"/>
            <w:vAlign w:val="bottom"/>
            <w:tcBorders>
              <w:right w:val="single" w:sz="8" w:color="auto"/>
            </w:tcBorders>
          </w:tcPr>
          <w:p>
            <w:pPr>
              <w:spacing w:after="0"/>
              <w:rPr>
                <w:sz w:val="18"/>
                <w:szCs w:val="18"/>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2,951,602</w:t>
            </w:r>
          </w:p>
        </w:tc>
        <w:tc>
          <w:tcPr>
            <w:tcW w:w="0" w:type="dxa"/>
            <w:vAlign w:val="bottom"/>
          </w:tcPr>
          <w:p>
            <w:pPr>
              <w:spacing w:after="0"/>
              <w:rPr>
                <w:sz w:val="1"/>
                <w:szCs w:val="1"/>
                <w:color w:val="auto"/>
              </w:rPr>
            </w:pPr>
          </w:p>
        </w:tc>
      </w:tr>
      <w:tr>
        <w:trPr>
          <w:trHeight w:val="241"/>
        </w:trPr>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08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6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17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480" w:right="4200" w:hanging="321"/>
        <w:spacing w:after="0" w:line="481" w:lineRule="auto"/>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2,951,602</w:t>
      </w:r>
    </w:p>
    <w:p>
      <w:pPr>
        <w:spacing w:after="0" w:line="1" w:lineRule="exact"/>
        <w:rPr>
          <w:sz w:val="20"/>
          <w:szCs w:val="20"/>
          <w:color w:val="auto"/>
        </w:rPr>
      </w:pPr>
    </w:p>
    <w:p>
      <w:pPr>
        <w:ind w:left="480" w:hanging="366"/>
        <w:spacing w:after="0" w:line="207" w:lineRule="exact"/>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67" w:lineRule="exact"/>
        <w:rPr>
          <w:rFonts w:ascii="Times New Roman" w:cs="Times New Roman" w:eastAsia="Times New Roman" w:hAnsi="Times New Roman"/>
          <w:sz w:val="18"/>
          <w:szCs w:val="18"/>
          <w:b w:val="1"/>
          <w:bCs w:val="1"/>
          <w:color w:val="auto"/>
        </w:rPr>
      </w:pPr>
    </w:p>
    <w:p>
      <w:pPr>
        <w:ind w:left="480" w:right="5820" w:hanging="361"/>
        <w:spacing w:after="0" w:line="506" w:lineRule="auto"/>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3.7%</w:t>
      </w:r>
    </w:p>
    <w:p>
      <w:pPr>
        <w:spacing w:after="0" w:line="4" w:lineRule="exact"/>
        <w:rPr>
          <w:rFonts w:ascii="Times New Roman" w:cs="Times New Roman" w:eastAsia="Times New Roman" w:hAnsi="Times New Roman"/>
          <w:sz w:val="18"/>
          <w:szCs w:val="18"/>
          <w:b w:val="1"/>
          <w:bCs w:val="1"/>
          <w:color w:val="auto"/>
        </w:rPr>
      </w:pPr>
    </w:p>
    <w:p>
      <w:pPr>
        <w:ind w:left="480" w:right="6420" w:hanging="366"/>
        <w:spacing w:after="0" w:line="532" w:lineRule="auto"/>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National Vision Holdings,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2435 Commerce Avenue, Building 2200</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Duluth, GA 30096</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u w:val="single" w:color="auto"/>
          <w:color w:val="auto"/>
        </w:rPr>
        <w:t>Names of Person Filing</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person filing this report is: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Durable Capital Partners LP (the “Reporting Person”)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the Reporting Person is: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4747 Bethesda Avenue, Suite 1002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 or Place of Organization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Reporting Person is a limited partnership organized under the laws of the State of Delaware.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63845R107</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00" w:lineRule="exact"/>
        <w:rPr>
          <w:sz w:val="20"/>
          <w:szCs w:val="20"/>
          <w:color w:val="auto"/>
        </w:rPr>
      </w:pPr>
    </w:p>
    <w:p>
      <w:pPr>
        <w:ind w:left="1500" w:hanging="520"/>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advisor in accordance with §240.13d-1(b)(1)(ii)(E).</w:t>
      </w:r>
    </w:p>
    <w:p>
      <w:pPr>
        <w:spacing w:after="0" w:line="225"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employee benefit plan or endowment fund in accordance with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3" w:name="page4"/>
    <w:bookmarkEnd w:id="3"/>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000" w:right="620" w:hanging="1020"/>
        <w:spacing w:after="0" w:line="226" w:lineRule="exact"/>
        <w:tabs>
          <w:tab w:leader="none" w:pos="1487"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2000" w:right="80" w:hanging="1020"/>
        <w:spacing w:after="0" w:line="222" w:lineRule="exact"/>
        <w:tabs>
          <w:tab w:leader="none" w:pos="1487"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that is the functional equivalent of any of the institutions listed in § 240.13d-1 (b)(1)(ii)(A) through (I), so long as the non-U.S. institution is subject to a regulatory scheme that is substantially comparable to the regulatory scheme applicable to the equivalent U.S. institution.</w:t>
      </w:r>
    </w:p>
    <w:p>
      <w:pPr>
        <w:spacing w:after="0" w:line="19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§240.13d-1(b)(1)(ii)(K).</w:t>
      </w:r>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980"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the Reporting Person is set forth in Rows 5 through 9 and 11 of the cover page to this Schedule 13G. The ownership percentages reported are based on 78,912,459 outstanding shares of voting Common Stock as of October 28, 2022, as reported in the Issuer’s Form 10-Q filed on November 10, 2022.</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Durable Capital Master Fund LP directly holds 2,951,602 shares of Common Stock (the “Shares”). The Reporting Person, as the investment adviser to Durable Capital Master Fund LP, has sole power to direct the vote and disposition of the Shares. Durable Capital Partners GP LLC (“Durable GP”) is the general partner of the Reporting Person, and Henry Ellenbogen is the chief investment officer of the Reporting Person and the managing member of Durable GP.</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See disclosure of relationships among parties under Item 4. The economic benefits of the Shares are shared based on agreements among the parties.</w:t>
      </w:r>
    </w:p>
    <w:p>
      <w:pPr>
        <w:spacing w:after="0" w:line="158" w:lineRule="exact"/>
        <w:rPr>
          <w:sz w:val="20"/>
          <w:szCs w:val="20"/>
          <w:color w:val="auto"/>
        </w:rPr>
      </w:pPr>
    </w:p>
    <w:p>
      <w:pPr>
        <w:ind w:left="980" w:right="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control and Shares holding disclosure in Item 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DURABLE CAPITAL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Jack</w:t>
            </w:r>
          </w:p>
        </w:tc>
        <w:tc>
          <w:tcPr>
            <w:tcW w:w="674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Julie Jack</w:t>
            </w:r>
          </w:p>
        </w:tc>
        <w:tc>
          <w:tcPr>
            <w:tcW w:w="67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Person</w:t>
            </w:r>
          </w:p>
        </w:tc>
        <w:tc>
          <w:tcPr>
            <w:tcW w:w="674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2023-02-13T12:59:10Z</dcterms:created>
  <dcterms:modified xsi:type="dcterms:W3CDTF">2023-02-13T12:59:10Z</dcterms:modified>
</cp:coreProperties>
</file>