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November 13, 2023 (November 10, 2023)</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001-38257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w:t>
      </w:r>
    </w:p>
    <w:p>
      <w:pPr>
        <w:spacing w:after="0" w:line="122"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4040" w:type="dxa"/>
            <w:vAlign w:val="bottom"/>
          </w:tcPr>
          <w:p>
            <w:pPr>
              <w:jc w:val="center"/>
              <w:ind w:right="1379"/>
              <w:spacing w:after="0"/>
              <w:rPr>
                <w:sz w:val="20"/>
                <w:szCs w:val="20"/>
                <w:color w:val="auto"/>
              </w:rPr>
            </w:pPr>
            <w:r>
              <w:rPr>
                <w:rFonts w:ascii="Arial" w:cs="Arial" w:eastAsia="Arial" w:hAnsi="Arial"/>
                <w:sz w:val="16"/>
                <w:szCs w:val="16"/>
                <w:b w:val="1"/>
                <w:bCs w:val="1"/>
                <w:color w:val="auto"/>
                <w:w w:val="93"/>
              </w:rPr>
              <w:t>Delaware</w:t>
            </w:r>
          </w:p>
        </w:tc>
        <w:tc>
          <w:tcPr>
            <w:tcW w:w="268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040" w:type="dxa"/>
            <w:vAlign w:val="bottom"/>
          </w:tcPr>
          <w:p>
            <w:pPr>
              <w:jc w:val="center"/>
              <w:ind w:right="1359"/>
              <w:spacing w:after="0"/>
              <w:rPr>
                <w:sz w:val="20"/>
                <w:szCs w:val="20"/>
                <w:color w:val="auto"/>
              </w:rPr>
            </w:pPr>
            <w:r>
              <w:rPr>
                <w:rFonts w:ascii="Arial" w:cs="Arial" w:eastAsia="Arial" w:hAnsi="Arial"/>
                <w:sz w:val="16"/>
                <w:szCs w:val="16"/>
                <w:color w:val="auto"/>
                <w:w w:val="93"/>
              </w:rPr>
              <w:t>(State or other jurisdiction of</w:t>
            </w:r>
          </w:p>
        </w:tc>
        <w:tc>
          <w:tcPr>
            <w:tcW w:w="2680" w:type="dxa"/>
            <w:vAlign w:val="bottom"/>
          </w:tcPr>
          <w:p>
            <w:pPr>
              <w:jc w:val="center"/>
              <w:ind w:left="1399"/>
              <w:spacing w:after="0"/>
              <w:rPr>
                <w:sz w:val="20"/>
                <w:szCs w:val="20"/>
                <w:color w:val="auto"/>
              </w:rPr>
            </w:pPr>
            <w:r>
              <w:rPr>
                <w:rFonts w:ascii="Arial" w:cs="Arial" w:eastAsia="Arial" w:hAnsi="Arial"/>
                <w:sz w:val="16"/>
                <w:szCs w:val="16"/>
                <w:color w:val="auto"/>
                <w:w w:val="96"/>
              </w:rPr>
              <w:t>(IRS Employer</w:t>
            </w:r>
          </w:p>
        </w:tc>
      </w:tr>
      <w:tr>
        <w:trPr>
          <w:trHeight w:val="206"/>
        </w:trPr>
        <w:tc>
          <w:tcPr>
            <w:tcW w:w="4040" w:type="dxa"/>
            <w:vAlign w:val="bottom"/>
          </w:tcPr>
          <w:p>
            <w:pPr>
              <w:jc w:val="center"/>
              <w:ind w:right="1359"/>
              <w:spacing w:after="0"/>
              <w:rPr>
                <w:sz w:val="20"/>
                <w:szCs w:val="20"/>
                <w:color w:val="auto"/>
              </w:rPr>
            </w:pPr>
            <w:r>
              <w:rPr>
                <w:rFonts w:ascii="Arial" w:cs="Arial" w:eastAsia="Arial" w:hAnsi="Arial"/>
                <w:sz w:val="16"/>
                <w:szCs w:val="16"/>
                <w:color w:val="auto"/>
                <w:w w:val="94"/>
              </w:rPr>
              <w:t>incorporation)</w:t>
            </w:r>
          </w:p>
        </w:tc>
        <w:tc>
          <w:tcPr>
            <w:tcW w:w="2680" w:type="dxa"/>
            <w:vAlign w:val="bottom"/>
          </w:tcPr>
          <w:p>
            <w:pPr>
              <w:jc w:val="center"/>
              <w:ind w:left="1399"/>
              <w:spacing w:after="0"/>
              <w:rPr>
                <w:sz w:val="20"/>
                <w:szCs w:val="20"/>
                <w:color w:val="auto"/>
              </w:rPr>
            </w:pPr>
            <w:r>
              <w:rPr>
                <w:rFonts w:ascii="Arial" w:cs="Arial" w:eastAsia="Arial" w:hAnsi="Arial"/>
                <w:sz w:val="16"/>
                <w:szCs w:val="16"/>
                <w:color w:val="auto"/>
                <w:w w:val="96"/>
              </w:rPr>
              <w:t>Identification No.)</w:t>
            </w:r>
          </w:p>
        </w:tc>
      </w:tr>
      <w:tr>
        <w:trPr>
          <w:trHeight w:val="365"/>
        </w:trPr>
        <w:tc>
          <w:tcPr>
            <w:tcW w:w="4040" w:type="dxa"/>
            <w:vAlign w:val="bottom"/>
          </w:tcPr>
          <w:p>
            <w:pPr>
              <w:jc w:val="center"/>
              <w:ind w:right="1379"/>
              <w:spacing w:after="0"/>
              <w:rPr>
                <w:sz w:val="20"/>
                <w:szCs w:val="20"/>
                <w:color w:val="auto"/>
              </w:rPr>
            </w:pPr>
            <w:r>
              <w:rPr>
                <w:rFonts w:ascii="Arial" w:cs="Arial" w:eastAsia="Arial" w:hAnsi="Arial"/>
                <w:sz w:val="16"/>
                <w:szCs w:val="16"/>
                <w:b w:val="1"/>
                <w:bCs w:val="1"/>
                <w:color w:val="auto"/>
                <w:w w:val="90"/>
              </w:rPr>
              <w:t>2435 Commerce Ave.</w:t>
            </w:r>
          </w:p>
        </w:tc>
        <w:tc>
          <w:tcPr>
            <w:tcW w:w="2680" w:type="dxa"/>
            <w:vAlign w:val="bottom"/>
          </w:tcPr>
          <w:p>
            <w:pPr>
              <w:spacing w:after="0"/>
              <w:rPr>
                <w:sz w:val="24"/>
                <w:szCs w:val="24"/>
                <w:color w:val="auto"/>
              </w:rPr>
            </w:pPr>
          </w:p>
        </w:tc>
      </w:tr>
      <w:tr>
        <w:trPr>
          <w:trHeight w:val="216"/>
        </w:trPr>
        <w:tc>
          <w:tcPr>
            <w:tcW w:w="4040" w:type="dxa"/>
            <w:vAlign w:val="bottom"/>
          </w:tcPr>
          <w:p>
            <w:pPr>
              <w:jc w:val="center"/>
              <w:ind w:right="1359"/>
              <w:spacing w:after="0"/>
              <w:rPr>
                <w:sz w:val="20"/>
                <w:szCs w:val="20"/>
                <w:color w:val="auto"/>
              </w:rPr>
            </w:pPr>
            <w:r>
              <w:rPr>
                <w:rFonts w:ascii="Arial" w:cs="Arial" w:eastAsia="Arial" w:hAnsi="Arial"/>
                <w:sz w:val="16"/>
                <w:szCs w:val="16"/>
                <w:b w:val="1"/>
                <w:bCs w:val="1"/>
                <w:color w:val="auto"/>
                <w:w w:val="92"/>
              </w:rPr>
              <w:t>Building 2200</w:t>
            </w:r>
          </w:p>
        </w:tc>
        <w:tc>
          <w:tcPr>
            <w:tcW w:w="268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040" w:type="dxa"/>
            <w:vAlign w:val="bottom"/>
          </w:tcPr>
          <w:p>
            <w:pPr>
              <w:jc w:val="center"/>
              <w:ind w:right="1359"/>
              <w:spacing w:after="0"/>
              <w:rPr>
                <w:sz w:val="20"/>
                <w:szCs w:val="20"/>
                <w:color w:val="auto"/>
              </w:rPr>
            </w:pPr>
            <w:r>
              <w:rPr>
                <w:rFonts w:ascii="Arial" w:cs="Arial" w:eastAsia="Arial" w:hAnsi="Arial"/>
                <w:sz w:val="16"/>
                <w:szCs w:val="16"/>
                <w:b w:val="1"/>
                <w:bCs w:val="1"/>
                <w:color w:val="auto"/>
                <w:w w:val="93"/>
              </w:rPr>
              <w:t>Duluth, Georgia</w:t>
            </w:r>
          </w:p>
        </w:tc>
        <w:tc>
          <w:tcPr>
            <w:tcW w:w="2680" w:type="dxa"/>
            <w:vAlign w:val="bottom"/>
          </w:tcPr>
          <w:p>
            <w:pPr>
              <w:jc w:val="center"/>
              <w:ind w:left="1399"/>
              <w:spacing w:after="0"/>
              <w:rPr>
                <w:sz w:val="20"/>
                <w:szCs w:val="20"/>
                <w:color w:val="auto"/>
              </w:rPr>
            </w:pPr>
            <w:r>
              <w:rPr>
                <w:rFonts w:ascii="Arial" w:cs="Arial" w:eastAsia="Arial" w:hAnsi="Arial"/>
                <w:sz w:val="16"/>
                <w:szCs w:val="16"/>
                <w:color w:val="auto"/>
                <w:w w:val="95"/>
              </w:rPr>
              <w:t>(Zip Code)</w:t>
            </w:r>
          </w:p>
        </w:tc>
      </w:tr>
      <w:tr>
        <w:trPr>
          <w:trHeight w:val="216"/>
        </w:trPr>
        <w:tc>
          <w:tcPr>
            <w:tcW w:w="4040" w:type="dxa"/>
            <w:vAlign w:val="bottom"/>
          </w:tcPr>
          <w:p>
            <w:pPr>
              <w:jc w:val="center"/>
              <w:ind w:right="1379"/>
              <w:spacing w:after="0"/>
              <w:rPr>
                <w:sz w:val="20"/>
                <w:szCs w:val="20"/>
                <w:color w:val="auto"/>
              </w:rPr>
            </w:pPr>
            <w:r>
              <w:rPr>
                <w:rFonts w:ascii="Arial" w:cs="Arial" w:eastAsia="Arial" w:hAnsi="Arial"/>
                <w:sz w:val="16"/>
                <w:szCs w:val="16"/>
                <w:color w:val="auto"/>
                <w:w w:val="94"/>
              </w:rPr>
              <w:t>(Address of principal executive offices)</w:t>
            </w:r>
          </w:p>
        </w:tc>
        <w:tc>
          <w:tcPr>
            <w:tcW w:w="2680" w:type="dxa"/>
            <w:vAlign w:val="bottom"/>
          </w:tcPr>
          <w:p>
            <w:pPr>
              <w:spacing w:after="0"/>
              <w:rPr>
                <w:sz w:val="18"/>
                <w:szCs w:val="18"/>
                <w:color w:val="auto"/>
              </w:rPr>
            </w:pPr>
          </w:p>
        </w:tc>
      </w:tr>
    </w:tbl>
    <w:p>
      <w:pPr>
        <w:spacing w:after="0" w:line="87" w:lineRule="exact"/>
        <w:rPr>
          <w:sz w:val="24"/>
          <w:szCs w:val="24"/>
          <w:color w:val="auto"/>
        </w:rPr>
      </w:pPr>
    </w:p>
    <w:p>
      <w:pPr>
        <w:jc w:val="center"/>
        <w:ind w:right="-59"/>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9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76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November 10, 2023, National Vision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National Vision</w:t>
      </w:r>
      <w:r>
        <w:rPr>
          <w:rFonts w:ascii="Arial" w:cs="Arial" w:eastAsia="Arial" w:hAnsi="Arial"/>
          <w:sz w:val="18"/>
          <w:szCs w:val="18"/>
          <w:color w:val="auto"/>
        </w:rPr>
        <w:t>”) issued a press release related to the matter described in Item 8.01 below. A copy of the press release is furnished as Exhibit 99.1 hereto.</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information in Item 7.01 of this Current Report on Form 8-K, including Exhibit 99.1, is being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highlight w:val="white"/>
        </w:rPr>
        <w:t>”) pursuant to Item 7.01 of Form 8-K and shall not be deemed to be “filed” for purposes of Section 18 of the Securities Exchange</w:t>
      </w:r>
      <w:r>
        <w:rPr>
          <w:rFonts w:ascii="Arial" w:cs="Arial" w:eastAsia="Arial" w:hAnsi="Arial"/>
          <w:sz w:val="18"/>
          <w:szCs w:val="18"/>
          <w:color w:val="auto"/>
        </w:rPr>
        <w:t xml:space="preserv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highlight w:val="white"/>
        </w:rPr>
        <w:t>”), or otherwise subject to the liabilities of that section, nor shall it be deemed incorporated by reference into</w:t>
      </w:r>
      <w:r>
        <w:rPr>
          <w:rFonts w:ascii="Arial" w:cs="Arial" w:eastAsia="Arial" w:hAnsi="Arial"/>
          <w:sz w:val="18"/>
          <w:szCs w:val="18"/>
          <w:color w:val="auto"/>
        </w:rPr>
        <w:t xml:space="preserve"> any of National Vision’s filings with the SEC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highlight w:val="white"/>
        </w:rPr>
        <w:t>”), or the Exchange Act, except as shall be</w:t>
      </w:r>
      <w:r>
        <w:rPr>
          <w:rFonts w:ascii="Arial" w:cs="Arial" w:eastAsia="Arial" w:hAnsi="Arial"/>
          <w:sz w:val="18"/>
          <w:szCs w:val="18"/>
          <w:color w:val="auto"/>
        </w:rPr>
        <w:t xml:space="preserve"> expressly set forth by specific reference in such a filing.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November 10, 2023, the Company entered into separate privately negotiated agreements with certain of the holders of its 2.50% Convertible Senior Notes due 2025 (the “</w:t>
      </w:r>
      <w:r>
        <w:rPr>
          <w:rFonts w:ascii="Arial" w:cs="Arial" w:eastAsia="Arial" w:hAnsi="Arial"/>
          <w:sz w:val="16"/>
          <w:szCs w:val="16"/>
          <w:u w:val="single" w:color="auto"/>
          <w:color w:val="auto"/>
        </w:rPr>
        <w:t>2025 Notes</w:t>
      </w:r>
      <w:r>
        <w:rPr>
          <w:rFonts w:ascii="Arial" w:cs="Arial" w:eastAsia="Arial" w:hAnsi="Arial"/>
          <w:sz w:val="16"/>
          <w:szCs w:val="16"/>
          <w:color w:val="auto"/>
        </w:rPr>
        <w:t>”) to repurchase $100.0 million aggregate principal amount of the 2025 Notes (the “</w:t>
      </w:r>
      <w:r>
        <w:rPr>
          <w:rFonts w:ascii="Arial" w:cs="Arial" w:eastAsia="Arial" w:hAnsi="Arial"/>
          <w:sz w:val="16"/>
          <w:szCs w:val="16"/>
          <w:u w:val="single" w:color="auto"/>
          <w:color w:val="auto"/>
        </w:rPr>
        <w:t>Transactions</w:t>
      </w:r>
      <w:r>
        <w:rPr>
          <w:rFonts w:ascii="Arial" w:cs="Arial" w:eastAsia="Arial" w:hAnsi="Arial"/>
          <w:sz w:val="16"/>
          <w:szCs w:val="16"/>
          <w:color w:val="auto"/>
        </w:rPr>
        <w:t>”) for an aggregate cash repurchase price of $99.25 million. The Transactions are expected to close on November 14, 2023, subject to customary closing conditions.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i w:val="1"/>
          <w:iCs w:val="1"/>
          <w:color w:val="auto"/>
        </w:rPr>
        <w:t>This Form 8-K contains forward-looking statements within the meaning of Section 27A of the Securities Act and Section 21E of the Exchange Act. These statements include, but are not limited to, statements related to our current beliefs and expectations regarding the Transactions. You can identify these forward-looking statements by the use of words such as “preliminary,”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 Additional information about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Form 8-K and in our filings with the SEC.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6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70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Press Release dated November 10, 2023.</w:t>
            </w:r>
          </w:p>
        </w:tc>
      </w:tr>
      <w:tr>
        <w:trPr>
          <w:trHeight w:val="277"/>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00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3040" w:type="dxa"/>
            <w:vAlign w:val="bottom"/>
          </w:tcPr>
          <w:p>
            <w:pPr>
              <w:spacing w:after="0"/>
              <w:rPr>
                <w:sz w:val="20"/>
                <w:szCs w:val="20"/>
                <w:color w:val="auto"/>
              </w:rPr>
            </w:pPr>
            <w:r>
              <w:rPr>
                <w:rFonts w:ascii="Arial" w:cs="Arial" w:eastAsia="Arial" w:hAnsi="Arial"/>
                <w:sz w:val="18"/>
                <w:szCs w:val="18"/>
                <w:color w:val="auto"/>
              </w:rPr>
              <w:t>Date: November 13, 2023</w:t>
            </w:r>
          </w:p>
        </w:tc>
        <w:tc>
          <w:tcPr>
            <w:tcW w:w="2540" w:type="dxa"/>
            <w:vAlign w:val="bottom"/>
          </w:tcPr>
          <w:p>
            <w:pPr>
              <w:ind w:left="11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3040" w:type="dxa"/>
            <w:vAlign w:val="bottom"/>
          </w:tcPr>
          <w:p>
            <w:pPr>
              <w:spacing w:after="0"/>
              <w:rPr>
                <w:sz w:val="19"/>
                <w:szCs w:val="19"/>
                <w:color w:val="auto"/>
              </w:rPr>
            </w:pPr>
          </w:p>
        </w:tc>
        <w:tc>
          <w:tcPr>
            <w:tcW w:w="2540" w:type="dxa"/>
            <w:vAlign w:val="bottom"/>
          </w:tcPr>
          <w:p>
            <w:pPr>
              <w:ind w:left="116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3040" w:type="dxa"/>
            <w:vAlign w:val="bottom"/>
          </w:tcPr>
          <w:p>
            <w:pPr>
              <w:spacing w:after="0"/>
              <w:rPr>
                <w:sz w:val="20"/>
                <w:szCs w:val="20"/>
                <w:color w:val="auto"/>
              </w:rPr>
            </w:pPr>
          </w:p>
        </w:tc>
        <w:tc>
          <w:tcPr>
            <w:tcW w:w="2540" w:type="dxa"/>
            <w:vAlign w:val="bottom"/>
          </w:tcPr>
          <w:p>
            <w:pPr>
              <w:ind w:left="116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759460</wp:posOffset>
            </wp:positionV>
            <wp:extent cx="1423035" cy="1106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Vision Holdings, Inc. Announces Repurchase of $100 Million of Convertible Notes</w:t>
      </w:r>
    </w:p>
    <w:p>
      <w:pPr>
        <w:spacing w:after="0" w:line="200" w:lineRule="exact"/>
        <w:rPr>
          <w:sz w:val="20"/>
          <w:szCs w:val="20"/>
          <w:color w:val="auto"/>
        </w:rPr>
      </w:pPr>
    </w:p>
    <w:p>
      <w:pPr>
        <w:spacing w:after="0" w:line="240"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b w:val="1"/>
          <w:bCs w:val="1"/>
          <w:color w:val="auto"/>
        </w:rPr>
        <w:t xml:space="preserve">Duluth, Ga., (November 10, 2023) </w:t>
      </w:r>
      <w:r>
        <w:rPr>
          <w:rFonts w:ascii="Arial" w:cs="Arial" w:eastAsia="Arial" w:hAnsi="Arial"/>
          <w:sz w:val="18"/>
          <w:szCs w:val="18"/>
          <w:color w:val="auto"/>
        </w:rPr>
        <w:t>-- National Vision Holdings, Inc. (NASDAQ: EYE) (“National Vision”) today announced that it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agreements with certain of the holders of its 2.50% Convertible Senior Notes due 2025 (the “2025 Notes”) to repurchase $100.0 million aggregate principal amount of the 2025 Notes (the “Transactions”) for an aggregate cash repurchase price of $99.25 million.</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Melissa Rasmussen, Chief Financial Officer of National Vision, said, “We are pleased to be in a position to complete this opportunistic repurchase reducing our 2025 Notes outstanding and further strengthening our balance sheet while leveraging our robust cash position. As we look ahead, we will continue to execute a disciplined capital allocation plan ensuring we are making prudent decisions that position the company for long-term growth while also delivering value to shareholders.”</w:t>
      </w:r>
    </w:p>
    <w:p>
      <w:pPr>
        <w:spacing w:after="0" w:line="199"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The Transactions are expected to close on November 14, 2023, subject to the satisfaction of customary closing conditions. Following such closings, $302.5 million principal amount of the 2025 Notes will remain outstanding, from an initial issued principal balance of $402.5 million.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National Vision Holdings, Inc.</w:t>
      </w:r>
    </w:p>
    <w:p>
      <w:pPr>
        <w:spacing w:after="0" w:line="11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National Vision Holdings, Inc. is the second largest optical retail company in the United States (by sales) with more than 1,400 stores in 44 states and Puerto Rico. With a mission of helping people by making quality eye care and eyewear more affordable and accessible, the company operates five retail brands: </w:t>
      </w:r>
      <w:r>
        <w:rPr>
          <w:rFonts w:ascii="Arial" w:cs="Arial" w:eastAsia="Arial" w:hAnsi="Arial"/>
          <w:sz w:val="18"/>
          <w:szCs w:val="18"/>
          <w:color w:val="0000FF"/>
        </w:rPr>
        <w:t>America’s Best Contacts &amp; Eyeglasses</w:t>
      </w:r>
      <w:r>
        <w:rPr>
          <w:rFonts w:ascii="Arial" w:cs="Arial" w:eastAsia="Arial" w:hAnsi="Arial"/>
          <w:sz w:val="18"/>
          <w:szCs w:val="18"/>
          <w:color w:val="auto"/>
        </w:rPr>
        <w:t xml:space="preserve">, </w:t>
      </w:r>
      <w:r>
        <w:rPr>
          <w:rFonts w:ascii="Arial" w:cs="Arial" w:eastAsia="Arial" w:hAnsi="Arial"/>
          <w:sz w:val="18"/>
          <w:szCs w:val="18"/>
          <w:color w:val="0000FF"/>
        </w:rPr>
        <w:t>Eyeglass World</w:t>
      </w:r>
      <w:r>
        <w:rPr>
          <w:rFonts w:ascii="Arial" w:cs="Arial" w:eastAsia="Arial" w:hAnsi="Arial"/>
          <w:sz w:val="18"/>
          <w:szCs w:val="18"/>
          <w:color w:val="auto"/>
        </w:rPr>
        <w:t xml:space="preserve">, </w:t>
      </w:r>
      <w:r>
        <w:rPr>
          <w:rFonts w:ascii="Arial" w:cs="Arial" w:eastAsia="Arial" w:hAnsi="Arial"/>
          <w:sz w:val="18"/>
          <w:szCs w:val="18"/>
          <w:color w:val="0000FF"/>
        </w:rPr>
        <w:t>Vision Centers</w:t>
      </w:r>
      <w:r>
        <w:rPr>
          <w:rFonts w:ascii="Arial" w:cs="Arial" w:eastAsia="Arial" w:hAnsi="Arial"/>
          <w:sz w:val="18"/>
          <w:szCs w:val="18"/>
          <w:color w:val="auto"/>
        </w:rPr>
        <w:t xml:space="preserve"> inside select Walmart stores, and Vista Opticals inside select </w:t>
      </w:r>
      <w:r>
        <w:rPr>
          <w:rFonts w:ascii="Arial" w:cs="Arial" w:eastAsia="Arial" w:hAnsi="Arial"/>
          <w:sz w:val="18"/>
          <w:szCs w:val="18"/>
          <w:color w:val="0000FF"/>
        </w:rPr>
        <w:t>Fred Meyer stores</w:t>
      </w:r>
      <w:r>
        <w:rPr>
          <w:rFonts w:ascii="Arial" w:cs="Arial" w:eastAsia="Arial" w:hAnsi="Arial"/>
          <w:sz w:val="18"/>
          <w:szCs w:val="18"/>
          <w:color w:val="auto"/>
        </w:rPr>
        <w:t xml:space="preserve"> and on select </w:t>
      </w:r>
      <w:r>
        <w:rPr>
          <w:rFonts w:ascii="Arial" w:cs="Arial" w:eastAsia="Arial" w:hAnsi="Arial"/>
          <w:sz w:val="18"/>
          <w:szCs w:val="18"/>
          <w:color w:val="0000FF"/>
        </w:rPr>
        <w:t>military bases</w:t>
      </w:r>
      <w:r>
        <w:rPr>
          <w:rFonts w:ascii="Arial" w:cs="Arial" w:eastAsia="Arial" w:hAnsi="Arial"/>
          <w:sz w:val="18"/>
          <w:szCs w:val="18"/>
          <w:color w:val="auto"/>
        </w:rPr>
        <w:t xml:space="preserve">, and several e-commerce websites, offering a variety of products and services for customers’ eye care needs. For more information, please visit </w:t>
      </w:r>
      <w:r>
        <w:rPr>
          <w:rFonts w:ascii="Arial" w:cs="Arial" w:eastAsia="Arial" w:hAnsi="Arial"/>
          <w:sz w:val="18"/>
          <w:szCs w:val="18"/>
          <w:color w:val="0000FF"/>
        </w:rPr>
        <w:t>www.nationalvision.com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(the “Securities Act”) and Section 21E of the Securities Exchange Act of 1934. These statements include statements related to our current beliefs and expectations regarding the consummation of the Transactions. You can identify these forward-looking statements by the use of words such as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market volatility and an overall decline in the health of the economy and other factors impacting consumer spending,</w:t>
      </w:r>
    </w:p>
    <w:p>
      <w:pPr>
        <w:sectPr>
          <w:pgSz w:w="11900" w:h="16838" w:orient="portrait"/>
          <w:cols w:equalWidth="0" w:num="1">
            <w:col w:w="11240"/>
          </w:cols>
          <w:pgMar w:left="320" w:top="118" w:right="339" w:bottom="1440" w:gutter="0" w:footer="0" w:header="0"/>
        </w:sectPr>
      </w:pPr>
    </w:p>
    <w:bookmarkStart w:id="4" w:name="page5"/>
    <w:bookmarkEnd w:id="4"/>
    <w:p>
      <w:pPr>
        <w:spacing w:after="0" w:line="8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including inflation and uncertainty in financial markets (including as a result of recent events affecting financial institutions);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successfully navigate the termination of our Walmart partnership, including the transition period;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the COVID-19 pandemic and future resurgences, and related impacts including federal, state, and local governmental actions in response thereto; customer behavior in response to the pandemic, including the impact of such behavior on in-store traffic and sales;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including artificial intelligence;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the timing, manner and volume of repurchases of common stock pursuant to our share repurchase program),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ectPr>
          <w:pgSz w:w="11900" w:h="16838" w:orient="portrait"/>
          <w:cols w:equalWidth="0" w:num="1">
            <w:col w:w="11220"/>
          </w:cols>
          <w:pgMar w:left="320" w:top="1440" w:right="359" w:bottom="1440" w:gutter="0" w:footer="0" w:header="0"/>
        </w:sectPr>
      </w:pPr>
    </w:p>
    <w:bookmarkStart w:id="5" w:name="page6"/>
    <w:bookmarkEnd w:id="5"/>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line="238" w:lineRule="auto"/>
        <w:rPr>
          <w:sz w:val="20"/>
          <w:szCs w:val="20"/>
          <w:color w:val="auto"/>
        </w:rPr>
      </w:pPr>
      <w:r>
        <w:rPr>
          <w:rFonts w:ascii="Arial" w:cs="Arial" w:eastAsia="Arial" w:hAnsi="Arial"/>
          <w:sz w:val="22"/>
          <w:szCs w:val="22"/>
          <w:color w:val="auto"/>
        </w:rPr>
        <w:t>Caitlin Churchill</w:t>
      </w:r>
    </w:p>
    <w:p>
      <w:pPr>
        <w:ind w:right="6719"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682-8200 Investor.Relations@nationalvision.com</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National Vision Holdings, Inc.</w:t>
      </w:r>
    </w:p>
    <w:p>
      <w:pPr>
        <w:spacing w:after="0" w:line="238" w:lineRule="auto"/>
        <w:rPr>
          <w:sz w:val="20"/>
          <w:szCs w:val="20"/>
          <w:color w:val="auto"/>
        </w:rPr>
      </w:pPr>
      <w:r>
        <w:rPr>
          <w:rFonts w:ascii="Arial" w:cs="Arial" w:eastAsia="Arial" w:hAnsi="Arial"/>
          <w:sz w:val="22"/>
          <w:szCs w:val="22"/>
          <w:color w:val="auto"/>
        </w:rPr>
        <w:t>Racheal Peters</w:t>
      </w:r>
    </w:p>
    <w:p>
      <w:pPr>
        <w:ind w:right="7739"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448-2303 Media@nationalvision.com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203"/>
    </w:lvl>
  </w:abstractNum>
  <w:abstractNum w:abstractNumId="3">
    <w:nsid w:val="625558EC"/>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2023-11-13T06:14:25Z</dcterms:created>
  <dcterms:modified xsi:type="dcterms:W3CDTF">2023-11-13T06:14:25Z</dcterms:modified>
</cp:coreProperties>
</file>