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206375</wp:posOffset>
            </wp:positionH>
            <wp:positionV relativeFrom="page">
              <wp:posOffset>112395</wp:posOffset>
            </wp:positionV>
            <wp:extent cx="71361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38735"/>
                    </a:xfrm>
                    <a:prstGeom prst="rect">
                      <a:avLst/>
                    </a:prstGeom>
                    <a:noFill/>
                  </pic:spPr>
                </pic:pic>
              </a:graphicData>
            </a:graphic>
          </wp:anchor>
        </w:drawing>
        <w:t>UNITED STATES</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SCHEDULE 13G/A</w:t>
      </w:r>
    </w:p>
    <w:p>
      <w:pPr>
        <w:spacing w:after="0" w:line="2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3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National Vision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63845R107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0" w:lineRule="exact"/>
        <w:rPr>
          <w:sz w:val="24"/>
          <w:szCs w:val="24"/>
          <w:color w:val="auto"/>
        </w:rPr>
      </w:pP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30,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66" w:lineRule="exact"/>
        <w:rPr>
          <w:sz w:val="24"/>
          <w:szCs w:val="24"/>
          <w:color w:val="auto"/>
        </w:rPr>
      </w:pPr>
    </w:p>
    <w:p>
      <w:pPr>
        <w:jc w:val="both"/>
        <w:ind w:left="660" w:right="9340" w:hanging="4"/>
        <w:spacing w:after="0" w:line="288" w:lineRule="auto"/>
        <w:tabs>
          <w:tab w:leader="none" w:pos="894"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6"/>
          <w:szCs w:val="16"/>
          <w:color w:val="auto"/>
        </w:rPr>
        <w:t xml:space="preserve">Rule 13d-1(b) </w:t>
      </w:r>
      <w:r>
        <w:rPr>
          <w:rFonts w:ascii="Wingdings" w:cs="Wingdings" w:eastAsia="Wingdings" w:hAnsi="Wingdings"/>
          <w:sz w:val="19"/>
          <w:szCs w:val="19"/>
          <w:b w:val="1"/>
          <w:bCs w:val="1"/>
          <w:color w:val="auto"/>
        </w:rPr>
        <w:t xml:space="preserve">o </w:t>
      </w:r>
      <w:r>
        <w:rPr>
          <w:rFonts w:ascii="Times New Roman" w:cs="Times New Roman" w:eastAsia="Times New Roman" w:hAnsi="Times New Roman"/>
          <w:sz w:val="15"/>
          <w:szCs w:val="15"/>
          <w:color w:val="auto"/>
        </w:rPr>
        <w:t>Rule 13d-1(c)</w:t>
      </w:r>
      <w:r>
        <w:rPr>
          <w:rFonts w:ascii="Wingdings" w:cs="Wingdings" w:eastAsia="Wingdings" w:hAnsi="Wingdings"/>
          <w:sz w:val="19"/>
          <w:szCs w:val="19"/>
          <w:b w:val="1"/>
          <w:bCs w:val="1"/>
          <w:color w:val="auto"/>
        </w:rPr>
        <w:t xml:space="preserve"> o </w:t>
      </w:r>
      <w:r>
        <w:rPr>
          <w:rFonts w:ascii="Times New Roman" w:cs="Times New Roman" w:eastAsia="Times New Roman" w:hAnsi="Times New Roman"/>
          <w:sz w:val="15"/>
          <w:szCs w:val="15"/>
          <w:color w:val="auto"/>
        </w:rPr>
        <w:t>Rule 13d-1(d)</w:t>
      </w:r>
    </w:p>
    <w:p>
      <w:pPr>
        <w:spacing w:after="0" w:line="3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328930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361315</wp:posOffset>
            </wp:positionV>
            <wp:extent cx="7136130"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38100"/>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63845R107</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6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2 of 6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698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ArrowMark Colorado Holdings, LLC</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6980" w:type="dxa"/>
            <w:vAlign w:val="bottom"/>
            <w:gridSpan w:val="4"/>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2</w:t>
            </w:r>
          </w:p>
        </w:tc>
        <w:tc>
          <w:tcPr>
            <w:tcW w:w="320" w:type="dxa"/>
            <w:vAlign w:val="bottom"/>
            <w:tcBorders>
              <w:right w:val="single" w:sz="8" w:color="auto"/>
            </w:tcBorders>
          </w:tcPr>
          <w:p>
            <w:pPr>
              <w:spacing w:after="0"/>
              <w:rPr>
                <w:sz w:val="20"/>
                <w:szCs w:val="20"/>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o</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4</w:t>
            </w:r>
          </w:p>
        </w:tc>
        <w:tc>
          <w:tcPr>
            <w:tcW w:w="320" w:type="dxa"/>
            <w:vAlign w:val="bottom"/>
            <w:tcBorders>
              <w:right w:val="single" w:sz="8" w:color="auto"/>
            </w:tcBorders>
          </w:tcPr>
          <w:p>
            <w:pPr>
              <w:spacing w:after="0"/>
              <w:rPr>
                <w:sz w:val="20"/>
                <w:szCs w:val="20"/>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0" w:type="dxa"/>
            <w:vAlign w:val="bottom"/>
            <w:tcBorders>
              <w:right w:val="single" w:sz="8" w:color="auto"/>
            </w:tcBorders>
            <w:shd w:val="clear" w:color="auto" w:fill="000000"/>
          </w:tcPr>
          <w:p>
            <w:pPr>
              <w:spacing w:after="0"/>
              <w:rPr>
                <w:sz w:val="15"/>
                <w:szCs w:val="15"/>
                <w:color w:val="auto"/>
              </w:rPr>
            </w:pPr>
          </w:p>
        </w:tc>
        <w:tc>
          <w:tcPr>
            <w:tcW w:w="560" w:type="dxa"/>
            <w:vAlign w:val="bottom"/>
            <w:vMerge w:val="continue"/>
          </w:tcPr>
          <w:p>
            <w:pPr>
              <w:spacing w:after="0"/>
              <w:rPr>
                <w:sz w:val="15"/>
                <w:szCs w:val="15"/>
                <w:color w:val="auto"/>
              </w:rPr>
            </w:pPr>
          </w:p>
        </w:tc>
        <w:tc>
          <w:tcPr>
            <w:tcW w:w="320" w:type="dxa"/>
            <w:vAlign w:val="bottom"/>
            <w:tcBorders>
              <w:right w:val="single" w:sz="8" w:color="auto"/>
            </w:tcBorders>
          </w:tcPr>
          <w:p>
            <w:pPr>
              <w:spacing w:after="0"/>
              <w:rPr>
                <w:sz w:val="15"/>
                <w:szCs w:val="15"/>
                <w:color w:val="auto"/>
              </w:rPr>
            </w:pPr>
          </w:p>
        </w:tc>
        <w:tc>
          <w:tcPr>
            <w:tcW w:w="698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Delaware, United States</w:t>
            </w:r>
          </w:p>
        </w:tc>
        <w:tc>
          <w:tcPr>
            <w:tcW w:w="33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40" w:type="dxa"/>
            <w:vAlign w:val="bottom"/>
            <w:tcBorders>
              <w:right w:val="single" w:sz="8" w:color="auto"/>
            </w:tcBorders>
            <w:shd w:val="clear" w:color="auto" w:fill="000000"/>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Borders>
              <w:right w:val="single" w:sz="8" w:color="auto"/>
            </w:tcBorders>
          </w:tcPr>
          <w:p>
            <w:pPr>
              <w:spacing w:after="0"/>
              <w:rPr>
                <w:sz w:val="5"/>
                <w:szCs w:val="5"/>
                <w:color w:val="auto"/>
              </w:rPr>
            </w:pPr>
          </w:p>
        </w:tc>
        <w:tc>
          <w:tcPr>
            <w:tcW w:w="6980" w:type="dxa"/>
            <w:vAlign w:val="bottom"/>
            <w:gridSpan w:val="4"/>
            <w:vMerge w:val="continue"/>
          </w:tcPr>
          <w:p>
            <w:pPr>
              <w:spacing w:after="0"/>
              <w:rPr>
                <w:sz w:val="5"/>
                <w:szCs w:val="5"/>
                <w:color w:val="auto"/>
              </w:rPr>
            </w:pPr>
          </w:p>
        </w:tc>
        <w:tc>
          <w:tcPr>
            <w:tcW w:w="33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5</w:t>
            </w: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OWNED BY</w:t>
            </w:r>
          </w:p>
        </w:tc>
        <w:tc>
          <w:tcPr>
            <w:tcW w:w="88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4520" w:type="dxa"/>
            <w:vAlign w:val="bottom"/>
            <w:tcBorders>
              <w:bottom w:val="single" w:sz="8" w:color="auto"/>
            </w:tcBorders>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7</w:t>
            </w:r>
          </w:p>
        </w:tc>
        <w:tc>
          <w:tcPr>
            <w:tcW w:w="47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1"/>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Times New Roman" w:cs="Times New Roman" w:eastAsia="Times New Roman" w:hAnsi="Times New Roman"/>
                <w:sz w:val="18"/>
                <w:szCs w:val="18"/>
                <w:color w:val="auto"/>
                <w:w w:val="97"/>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8</w:t>
            </w: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360" w:type="dxa"/>
            <w:vAlign w:val="bottom"/>
            <w:tcBorders>
              <w:right w:val="single" w:sz="8" w:color="auto"/>
            </w:tcBorders>
          </w:tcPr>
          <w:p>
            <w:pPr>
              <w:ind w:left="292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0.0%</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IA</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3" w:right="339" w:bottom="1440" w:gutter="0" w:footer="0" w:header="0"/>
        </w:sectPr>
      </w:pPr>
    </w:p>
    <w:bookmarkStart w:id="2" w:name="page3"/>
    <w:bookmarkEnd w:id="2"/>
    <w:p>
      <w:pPr>
        <w:spacing w:after="0" w:line="1" w:lineRule="exact"/>
        <w:rPr>
          <w:sz w:val="20"/>
          <w:szCs w:val="20"/>
          <w:color w:val="auto"/>
        </w:rPr>
      </w:pPr>
    </w:p>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63845R107</w:t>
            </w: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4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3 of 6 Pages</w:t>
            </w:r>
          </w:p>
        </w:tc>
      </w:tr>
      <w:tr>
        <w:trPr>
          <w:trHeight w:val="112"/>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19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(a) Name of Issuer</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National Vision Holdings, Inc.</w:t>
      </w:r>
    </w:p>
    <w:p>
      <w:pPr>
        <w:spacing w:after="0" w:line="11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(b) Address of Issuer’s Principal Executive Offices</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2435 Commerce Ave, Building 2200</w:t>
      </w:r>
    </w:p>
    <w:p>
      <w:pPr>
        <w:spacing w:after="0" w:line="1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Duluth, Georgia 30096</w:t>
      </w:r>
    </w:p>
    <w:p>
      <w:pPr>
        <w:spacing w:after="0" w:line="11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(a) Name of Person Filing</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ArrowMark Colorado Holdings, LLC</w:t>
      </w:r>
    </w:p>
    <w:p>
      <w:pPr>
        <w:spacing w:after="0" w:line="11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(b) Address of Principal Business Office, or, if none, Residence</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100 Fillmore Street, Suite 325</w:t>
      </w:r>
    </w:p>
    <w:p>
      <w:pPr>
        <w:spacing w:after="0" w:line="1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Denver, Colorado 80206</w:t>
      </w:r>
    </w:p>
    <w:p>
      <w:pPr>
        <w:spacing w:after="0" w:line="11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(c) Citizenship</w:t>
      </w:r>
    </w:p>
    <w:p>
      <w:pPr>
        <w:spacing w:after="0" w:line="121" w:lineRule="exact"/>
        <w:rPr>
          <w:sz w:val="20"/>
          <w:szCs w:val="20"/>
          <w:color w:val="auto"/>
        </w:rPr>
      </w:pPr>
    </w:p>
    <w:p>
      <w:pPr>
        <w:jc w:val="right"/>
        <w:ind w:right="5860"/>
        <w:spacing w:after="0"/>
        <w:rPr>
          <w:sz w:val="20"/>
          <w:szCs w:val="20"/>
          <w:color w:val="auto"/>
        </w:rPr>
      </w:pPr>
      <w:r>
        <w:rPr>
          <w:rFonts w:ascii="Times New Roman" w:cs="Times New Roman" w:eastAsia="Times New Roman" w:hAnsi="Times New Roman"/>
          <w:sz w:val="18"/>
          <w:szCs w:val="18"/>
          <w:color w:val="auto"/>
        </w:rPr>
        <w:t>Please refer to Item 4 on each cover sheet for each filing person</w:t>
      </w:r>
    </w:p>
    <w:p>
      <w:pPr>
        <w:spacing w:after="0" w:line="11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(d) Title of Class of Securities</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Common Stock, par value $0.01 per share</w:t>
      </w:r>
    </w:p>
    <w:p>
      <w:pPr>
        <w:spacing w:after="0" w:line="11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(e) CUSIP No.:</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63845R107</w:t>
      </w:r>
    </w:p>
    <w:p>
      <w:pPr>
        <w:sectPr>
          <w:pgSz w:w="11900" w:h="16838" w:orient="portrait"/>
          <w:cols w:equalWidth="0" w:num="1">
            <w:col w:w="11240"/>
          </w:cols>
          <w:pgMar w:left="320" w:top="946" w:right="339" w:bottom="1440" w:gutter="0" w:footer="0" w:header="0"/>
        </w:sectPr>
      </w:pPr>
    </w:p>
    <w:bookmarkStart w:id="3" w:name="page4"/>
    <w:bookmarkEnd w:id="3"/>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63845R107</w:t>
            </w: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4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4 of 6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If this statement is filed pursuant to §§240.13d-1(b) or 240.13d-2(b) or (c), check whether the person filing is a:</w:t>
      </w:r>
    </w:p>
    <w:p>
      <w:pPr>
        <w:spacing w:after="0" w:line="200" w:lineRule="exact"/>
        <w:rPr>
          <w:sz w:val="20"/>
          <w:szCs w:val="20"/>
          <w:color w:val="auto"/>
        </w:rPr>
      </w:pPr>
    </w:p>
    <w:p>
      <w:pPr>
        <w:spacing w:after="0" w:line="210" w:lineRule="exact"/>
        <w:rPr>
          <w:sz w:val="20"/>
          <w:szCs w:val="20"/>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Broker or dealer registered under section 15 of the Act (15 U.S.C. 78o);</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Bank as defined in section 3(a)(6) of the Act (15 U.S.C. 78c);</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Insurance company as defined in section 3(a)(19) of the Act (15 U.S.C. 78c);</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p>
      <w:pPr>
        <w:spacing w:after="0" w:line="165" w:lineRule="exact"/>
        <w:rPr>
          <w:rFonts w:ascii="Times New Roman" w:cs="Times New Roman" w:eastAsia="Times New Roman" w:hAnsi="Times New Roman"/>
          <w:sz w:val="18"/>
          <w:szCs w:val="18"/>
          <w:color w:val="auto"/>
        </w:rPr>
      </w:pPr>
    </w:p>
    <w:p>
      <w:pPr>
        <w:ind w:left="600" w:hanging="295"/>
        <w:spacing w:after="0"/>
        <w:tabs>
          <w:tab w:leader="none" w:pos="600" w:val="left"/>
        </w:tabs>
        <w:numPr>
          <w:ilvl w:val="0"/>
          <w:numId w:val="2"/>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7"/>
          <w:szCs w:val="17"/>
          <w:color w:val="auto"/>
        </w:rPr>
        <w:t>An investment adviser in accordance with §240.13d-1(b)(1)(ii)(E);</w:t>
      </w:r>
    </w:p>
    <w:p>
      <w:pPr>
        <w:spacing w:after="0" w:line="95"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An employee benefit plan or endowment fund in accordance with §240.13d-1(b)(1)(ii)(F);</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parent holding company or control person in accordance with §240.13d-1(b)(1)(ii)(G);</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savings associations as defined in Section 3(b) of the Federal Deposit Insurance Act (12 U.S.C. 1813);</w:t>
      </w:r>
    </w:p>
    <w:p>
      <w:pPr>
        <w:spacing w:after="0" w:line="130" w:lineRule="exact"/>
        <w:rPr>
          <w:rFonts w:ascii="Times New Roman" w:cs="Times New Roman" w:eastAsia="Times New Roman" w:hAnsi="Times New Roman"/>
          <w:sz w:val="18"/>
          <w:szCs w:val="18"/>
          <w:color w:val="auto"/>
        </w:rPr>
      </w:pPr>
    </w:p>
    <w:p>
      <w:pPr>
        <w:ind w:left="900" w:right="200" w:hanging="595"/>
        <w:spacing w:after="0" w:line="243" w:lineRule="exact"/>
        <w:tabs>
          <w:tab w:leader="none" w:pos="603"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of 1940 (15 U.S.C. 80a-3);</w:t>
      </w:r>
    </w:p>
    <w:p>
      <w:pPr>
        <w:spacing w:after="0" w:line="68"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non-U.S. institution in accordance with §240.13d-1(b)(1)(ii)(J);</w:t>
      </w:r>
    </w:p>
    <w:p>
      <w:pPr>
        <w:spacing w:after="0" w:line="130" w:lineRule="exact"/>
        <w:rPr>
          <w:rFonts w:ascii="Times New Roman" w:cs="Times New Roman" w:eastAsia="Times New Roman" w:hAnsi="Times New Roman"/>
          <w:sz w:val="18"/>
          <w:szCs w:val="18"/>
          <w:color w:val="auto"/>
        </w:rPr>
      </w:pPr>
    </w:p>
    <w:p>
      <w:pPr>
        <w:ind w:left="900" w:right="460" w:hanging="595"/>
        <w:spacing w:after="0" w:line="243" w:lineRule="exact"/>
        <w:tabs>
          <w:tab w:leader="none" w:pos="603"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group, in accordance with §240.13d-1(b)(1)(ii)(K). If filing as a non-U.S. institution in accordance with §240.13d-1(b)(1)(ii)(J),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1941830</wp:posOffset>
            </wp:positionH>
            <wp:positionV relativeFrom="paragraph">
              <wp:posOffset>-24765</wp:posOffset>
            </wp:positionV>
            <wp:extent cx="8001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00100" cy="8255"/>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4" w:name="page5"/>
    <w:bookmarkEnd w:id="4"/>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63845R107</w:t>
            </w: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4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5 of 6 Pages</w:t>
            </w:r>
          </w:p>
        </w:tc>
      </w:tr>
      <w:tr>
        <w:trPr>
          <w:trHeight w:val="112"/>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33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225" w:lineRule="exact"/>
        <w:rPr>
          <w:sz w:val="20"/>
          <w:szCs w:val="20"/>
          <w:color w:val="auto"/>
        </w:rPr>
      </w:pPr>
    </w:p>
    <w:p>
      <w:pPr>
        <w:ind w:left="1040" w:hanging="240"/>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0</w:t>
      </w:r>
    </w:p>
    <w:p>
      <w:pPr>
        <w:spacing w:after="0" w:line="184" w:lineRule="exact"/>
        <w:rPr>
          <w:rFonts w:ascii="Times New Roman" w:cs="Times New Roman" w:eastAsia="Times New Roman" w:hAnsi="Times New Roman"/>
          <w:sz w:val="18"/>
          <w:szCs w:val="18"/>
          <w:color w:val="auto"/>
        </w:rPr>
      </w:pPr>
    </w:p>
    <w:p>
      <w:pPr>
        <w:ind w:left="1060" w:hanging="260"/>
        <w:spacing w:after="0"/>
        <w:tabs>
          <w:tab w:leader="none" w:pos="10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0.0%</w:t>
      </w:r>
    </w:p>
    <w:p>
      <w:pPr>
        <w:spacing w:after="0" w:line="198" w:lineRule="exact"/>
        <w:rPr>
          <w:rFonts w:ascii="Times New Roman" w:cs="Times New Roman" w:eastAsia="Times New Roman" w:hAnsi="Times New Roman"/>
          <w:sz w:val="18"/>
          <w:szCs w:val="18"/>
          <w:color w:val="auto"/>
        </w:rPr>
      </w:pPr>
    </w:p>
    <w:p>
      <w:pPr>
        <w:ind w:left="1040" w:hanging="240"/>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184" w:lineRule="exact"/>
        <w:rPr>
          <w:rFonts w:ascii="Times New Roman" w:cs="Times New Roman" w:eastAsia="Times New Roman" w:hAnsi="Times New Roman"/>
          <w:sz w:val="18"/>
          <w:szCs w:val="18"/>
          <w:color w:val="auto"/>
        </w:rPr>
      </w:pPr>
    </w:p>
    <w:p>
      <w:pPr>
        <w:ind w:left="1800" w:hanging="208"/>
        <w:spacing w:after="0"/>
        <w:tabs>
          <w:tab w:leader="none" w:pos="18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0</w:t>
      </w:r>
    </w:p>
    <w:p>
      <w:pPr>
        <w:spacing w:after="0" w:line="184" w:lineRule="exact"/>
        <w:rPr>
          <w:rFonts w:ascii="Times New Roman" w:cs="Times New Roman" w:eastAsia="Times New Roman" w:hAnsi="Times New Roman"/>
          <w:sz w:val="18"/>
          <w:szCs w:val="18"/>
          <w:color w:val="auto"/>
        </w:rPr>
      </w:pPr>
    </w:p>
    <w:p>
      <w:pPr>
        <w:ind w:left="1860" w:hanging="268"/>
        <w:spacing w:after="0"/>
        <w:tabs>
          <w:tab w:leader="none" w:pos="18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0</w:t>
      </w:r>
    </w:p>
    <w:p>
      <w:pPr>
        <w:spacing w:after="0" w:line="198" w:lineRule="exact"/>
        <w:rPr>
          <w:rFonts w:ascii="Times New Roman" w:cs="Times New Roman" w:eastAsia="Times New Roman" w:hAnsi="Times New Roman"/>
          <w:sz w:val="18"/>
          <w:szCs w:val="18"/>
          <w:color w:val="auto"/>
        </w:rPr>
      </w:pPr>
    </w:p>
    <w:p>
      <w:pPr>
        <w:ind w:left="1900" w:hanging="308"/>
        <w:spacing w:after="0"/>
        <w:tabs>
          <w:tab w:leader="none" w:pos="19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w:t>
      </w:r>
    </w:p>
    <w:p>
      <w:pPr>
        <w:spacing w:after="0" w:line="184" w:lineRule="exact"/>
        <w:rPr>
          <w:rFonts w:ascii="Times New Roman" w:cs="Times New Roman" w:eastAsia="Times New Roman" w:hAnsi="Times New Roman"/>
          <w:sz w:val="18"/>
          <w:szCs w:val="18"/>
          <w:color w:val="auto"/>
        </w:rPr>
      </w:pPr>
    </w:p>
    <w:p>
      <w:pPr>
        <w:ind w:left="1900" w:hanging="308"/>
        <w:spacing w:after="0"/>
        <w:tabs>
          <w:tab w:leader="none" w:pos="19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0</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Five Percent or Less of a Class</w:t>
      </w:r>
    </w:p>
    <w:p>
      <w:pPr>
        <w:spacing w:after="0" w:line="229" w:lineRule="exact"/>
        <w:rPr>
          <w:sz w:val="20"/>
          <w:szCs w:val="20"/>
          <w:color w:val="auto"/>
        </w:rPr>
      </w:pPr>
    </w:p>
    <w:p>
      <w:pPr>
        <w:ind w:left="400" w:firstLine="396"/>
        <w:spacing w:after="0" w:line="282" w:lineRule="auto"/>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Ownership of More Than Five Percent on Behalf of Another Person</w:t>
      </w:r>
    </w:p>
    <w:p>
      <w:pPr>
        <w:spacing w:after="0" w:line="22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ind w:left="1300" w:hanging="1295"/>
        <w:spacing w:after="0" w:line="286" w:lineRule="auto"/>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 or Control Person</w:t>
      </w:r>
    </w:p>
    <w:p>
      <w:pPr>
        <w:spacing w:after="0" w:line="15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22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22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Certification</w:t>
      </w:r>
    </w:p>
    <w:p>
      <w:pPr>
        <w:spacing w:after="0" w:line="337" w:lineRule="exact"/>
        <w:rPr>
          <w:sz w:val="20"/>
          <w:szCs w:val="20"/>
          <w:color w:val="auto"/>
        </w:rPr>
      </w:pPr>
    </w:p>
    <w:p>
      <w:pPr>
        <w:jc w:val="both"/>
        <w:ind w:left="800"/>
        <w:spacing w:after="0" w:line="28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1163" w:right="339" w:bottom="1440" w:gutter="0" w:footer="0" w:header="0"/>
        </w:sectPr>
      </w:pPr>
    </w:p>
    <w:bookmarkStart w:id="5" w:name="page6"/>
    <w:bookmarkEnd w:id="5"/>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63845R107</w:t>
            </w:r>
          </w:p>
        </w:tc>
        <w:tc>
          <w:tcPr>
            <w:tcW w:w="452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40" w:type="dxa"/>
            <w:vAlign w:val="bottom"/>
            <w:tcBorders>
              <w:top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Page 6 of 6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14, 2024</w:t>
      </w: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ArrowMark Colorado Holdings, LLC</w:t>
      </w:r>
    </w:p>
    <w:p>
      <w:pPr>
        <w:spacing w:after="0" w:line="225" w:lineRule="exact"/>
        <w:rPr>
          <w:sz w:val="20"/>
          <w:szCs w:val="20"/>
          <w:color w:val="auto"/>
        </w:rPr>
      </w:pPr>
    </w:p>
    <w:p>
      <w:pPr>
        <w:ind w:left="5540"/>
        <w:spacing w:after="0"/>
        <w:tabs>
          <w:tab w:leader="none" w:pos="6020" w:val="left"/>
        </w:tabs>
        <w:rPr>
          <w:sz w:val="20"/>
          <w:szCs w:val="20"/>
          <w:color w:val="auto"/>
        </w:rPr>
      </w:pPr>
      <w:r>
        <w:rPr>
          <w:rFonts w:ascii="Times New Roman" w:cs="Times New Roman" w:eastAsia="Times New Roman" w:hAnsi="Times New Roman"/>
          <w:sz w:val="18"/>
          <w:szCs w:val="18"/>
          <w:color w:val="auto"/>
        </w:rPr>
        <w:t>By:</w:t>
        <w:tab/>
        <w:t>Richard Grove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17145</wp:posOffset>
            </wp:positionV>
            <wp:extent cx="33343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Richard Grove</w:t>
      </w:r>
    </w:p>
    <w:p>
      <w:pPr>
        <w:spacing w:after="0" w:line="23" w:lineRule="exact"/>
        <w:rPr>
          <w:sz w:val="20"/>
          <w:szCs w:val="20"/>
          <w:color w:val="auto"/>
        </w:rPr>
      </w:pPr>
    </w:p>
    <w:p>
      <w:pPr>
        <w:ind w:left="5980"/>
        <w:spacing w:after="0"/>
        <w:tabs>
          <w:tab w:leader="none" w:pos="64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Compliance Officer</w:t>
      </w:r>
    </w:p>
    <w:sectPr>
      <w:pgSz w:w="11900" w:h="16838" w:orient="portrait"/>
      <w:cols w:equalWidth="0" w:num="1">
        <w:col w:w="11240"/>
      </w:cols>
      <w:pgMar w:left="320" w:top="7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2024-11-14T11:45:54Z</dcterms:created>
  <dcterms:modified xsi:type="dcterms:W3CDTF">2024-11-14T11:45:54Z</dcterms:modified>
</cp:coreProperties>
</file>