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Beasley Chris</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60"/>
        <w:spacing w:after="0" w:line="392"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20" w:type="dxa"/>
            <w:vAlign w:val="bottom"/>
          </w:tcPr>
          <w:p>
            <w:pPr>
              <w:ind w:left="280"/>
              <w:spacing w:after="0"/>
              <w:rPr>
                <w:sz w:val="20"/>
                <w:szCs w:val="20"/>
                <w:color w:val="auto"/>
              </w:rPr>
            </w:pPr>
            <w:r>
              <w:rPr>
                <w:rFonts w:ascii="Arial" w:cs="Arial" w:eastAsia="Arial" w:hAnsi="Arial"/>
                <w:sz w:val="17"/>
                <w:szCs w:val="17"/>
                <w:color w:val="0000FF"/>
              </w:rPr>
              <w:t>GA</w:t>
            </w:r>
          </w:p>
        </w:tc>
        <w:tc>
          <w:tcPr>
            <w:tcW w:w="166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3"/>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6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SVP, Accounting, &amp; Controller</w:t>
            </w:r>
          </w:p>
        </w:tc>
        <w:tc>
          <w:tcPr>
            <w:tcW w:w="0" w:type="dxa"/>
            <w:vAlign w:val="bottom"/>
          </w:tcPr>
          <w:p>
            <w:pPr>
              <w:spacing w:after="0"/>
              <w:rPr>
                <w:sz w:val="1"/>
                <w:szCs w:val="1"/>
                <w:color w:val="auto"/>
              </w:rPr>
            </w:pPr>
          </w:p>
        </w:tc>
      </w:tr>
      <w:tr>
        <w:trPr>
          <w:trHeight w:val="220"/>
        </w:trPr>
        <w:tc>
          <w:tcPr>
            <w:tcW w:w="2660" w:type="dxa"/>
            <w:vAlign w:val="bottom"/>
            <w:gridSpan w:val="3"/>
          </w:tcPr>
          <w:p>
            <w:pPr>
              <w:ind w:left="60"/>
              <w:spacing w:after="0"/>
              <w:rPr>
                <w:sz w:val="20"/>
                <w:szCs w:val="20"/>
                <w:color w:val="auto"/>
              </w:rPr>
            </w:pPr>
            <w:r>
              <w:rPr>
                <w:rFonts w:ascii="Arial" w:cs="Arial" w:eastAsia="Arial" w:hAnsi="Arial"/>
                <w:sz w:val="17"/>
                <w:szCs w:val="17"/>
                <w:color w:val="0000FF"/>
              </w:rPr>
              <w:t>11/19/2018</w:t>
            </w: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2"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11/19/2018</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ind w:left="80"/>
              <w:spacing w:after="0" w:line="208" w:lineRule="exact"/>
              <w:rPr>
                <w:sz w:val="20"/>
                <w:szCs w:val="20"/>
                <w:color w:val="auto"/>
              </w:rPr>
            </w:pPr>
            <w:r>
              <w:rPr>
                <w:rFonts w:ascii="Arial" w:cs="Arial" w:eastAsia="Arial" w:hAnsi="Arial"/>
                <w:sz w:val="13"/>
                <w:szCs w:val="13"/>
                <w:color w:val="0000FF"/>
              </w:rPr>
              <w:t>20,597</w:t>
            </w:r>
            <w:r>
              <w:rPr>
                <w:rFonts w:ascii="Arial" w:cs="Arial" w:eastAsia="Arial" w:hAnsi="Arial"/>
                <w:sz w:val="22"/>
                <w:szCs w:val="22"/>
                <w:color w:val="008000"/>
                <w:vertAlign w:val="superscript"/>
              </w:rPr>
              <w:t>(1)</w:t>
            </w:r>
          </w:p>
        </w:tc>
        <w:tc>
          <w:tcPr>
            <w:tcW w:w="28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09/01/2025</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20,597</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w:t>
            </w:r>
          </w:p>
        </w:tc>
        <w:tc>
          <w:tcPr>
            <w:tcW w:w="960" w:type="dxa"/>
            <w:vAlign w:val="bottom"/>
          </w:tcPr>
          <w:p>
            <w:pPr>
              <w:ind w:left="300"/>
              <w:spacing w:after="0"/>
              <w:rPr>
                <w:sz w:val="20"/>
                <w:szCs w:val="20"/>
                <w:color w:val="auto"/>
              </w:rPr>
            </w:pPr>
            <w:r>
              <w:rPr>
                <w:rFonts w:ascii="Arial" w:cs="Arial" w:eastAsia="Arial" w:hAnsi="Arial"/>
                <w:sz w:val="13"/>
                <w:szCs w:val="13"/>
                <w:color w:val="0000FF"/>
              </w:rPr>
              <w:t>74,818</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4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 2015, the reporting person was granted stock options, subject to time-based and performance-based vesting. On November 19, 2018, a liquidity event with respect to such performance-based stock options occurred as a result of sales by the Issuer's sponsor stockholders and 20,597 stock options which had previously not been reported were deemed earned.</w:t>
      </w:r>
    </w:p>
    <w:p>
      <w:pPr>
        <w:spacing w:after="0" w:line="15" w:lineRule="exact"/>
        <w:rPr>
          <w:rFonts w:ascii="Arial" w:cs="Arial" w:eastAsia="Arial" w:hAnsi="Arial"/>
          <w:sz w:val="13"/>
          <w:szCs w:val="13"/>
          <w:color w:val="008000"/>
        </w:rPr>
      </w:pPr>
    </w:p>
    <w:p>
      <w:pPr>
        <w:ind w:left="40" w:right="40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Of these 74,818 stock options, 50,407 are vested and the remaining 24,411 stock options will vest in two equal annual installments on September 1, 2019 and 2020. An additional 34,329 stock options which remain subject to liquidity-event performance-based vesting conditions are not included in the table above.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11/21/2018</w:t>
            </w:r>
          </w:p>
        </w:tc>
        <w:tc>
          <w:tcPr>
            <w:tcW w:w="0" w:type="dxa"/>
            <w:vAlign w:val="bottom"/>
          </w:tcPr>
          <w:p>
            <w:pPr>
              <w:spacing w:after="0"/>
              <w:rPr>
                <w:sz w:val="1"/>
                <w:szCs w:val="1"/>
                <w:color w:val="auto"/>
              </w:rPr>
            </w:pPr>
          </w:p>
        </w:tc>
      </w:tr>
      <w:tr>
        <w:trPr>
          <w:trHeight w:val="86"/>
        </w:trPr>
        <w:tc>
          <w:tcPr>
            <w:tcW w:w="116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Attorney-in-Fact</w:t>
            </w:r>
          </w:p>
        </w:tc>
        <w:tc>
          <w:tcPr>
            <w:tcW w:w="40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6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312"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2019-12-24T09:12:43Z</dcterms:created>
  <dcterms:modified xsi:type="dcterms:W3CDTF">2019-12-24T09:12:43Z</dcterms:modified>
</cp:coreProperties>
</file>