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47" w:orient="portrait"/>
          <w:cols w:equalWidth="0" w:num="2">
            <w:col w:w="2340" w:space="28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10"/>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National Vision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EYE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5"/>
            <w:vMerge w:val="restart"/>
          </w:tcPr>
          <w:p>
            <w:pPr>
              <w:spacing w:after="0"/>
              <w:rPr>
                <w:sz w:val="20"/>
                <w:szCs w:val="20"/>
                <w:color w:val="auto"/>
              </w:rPr>
            </w:pPr>
            <w:r>
              <w:rPr>
                <w:rFonts w:ascii="Arial" w:cs="Arial" w:eastAsia="Arial" w:hAnsi="Arial"/>
                <w:sz w:val="14"/>
                <w:szCs w:val="14"/>
                <w:color w:val="auto"/>
                <w:w w:val="95"/>
              </w:rPr>
              <w:t>(Check all applicable)</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48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11"/>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7"/>
          </w:tcPr>
          <w:p>
            <w:pPr>
              <w:ind w:left="160"/>
              <w:spacing w:after="0"/>
              <w:rPr>
                <w:sz w:val="20"/>
                <w:szCs w:val="20"/>
                <w:color w:val="auto"/>
              </w:rPr>
            </w:pPr>
            <w:r>
              <w:rPr>
                <w:rFonts w:ascii="Arial" w:cs="Arial" w:eastAsia="Arial" w:hAnsi="Arial"/>
                <w:sz w:val="18"/>
                <w:szCs w:val="18"/>
                <w:color w:val="0000FF"/>
              </w:rPr>
              <w:t>07/30/2018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14"/>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14"/>
            <w:vMerge w:val="continue"/>
          </w:tcPr>
          <w:p>
            <w:pPr>
              <w:spacing w:after="0"/>
              <w:rPr>
                <w:sz w:val="13"/>
                <w:szCs w:val="13"/>
                <w:color w:val="auto"/>
              </w:rPr>
            </w:pPr>
          </w:p>
        </w:tc>
        <w:tc>
          <w:tcPr>
            <w:tcW w:w="33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tcPr>
          <w:p>
            <w:pPr>
              <w:spacing w:after="0" w:line="121" w:lineRule="exact"/>
              <w:rPr>
                <w:sz w:val="20"/>
                <w:szCs w:val="20"/>
                <w:color w:val="auto"/>
              </w:rPr>
            </w:pPr>
            <w:r>
              <w:rPr>
                <w:rFonts w:ascii="Arial" w:cs="Arial" w:eastAsia="Arial" w:hAnsi="Arial"/>
                <w:sz w:val="14"/>
                <w:szCs w:val="14"/>
                <w:color w:val="auto"/>
              </w:rPr>
              <w:t>Line)</w:t>
            </w:r>
          </w:p>
        </w:tc>
        <w:tc>
          <w:tcPr>
            <w:tcW w:w="29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6"/>
          </w:tcPr>
          <w:p>
            <w:pPr>
              <w:jc w:val="center"/>
              <w:ind w:left="42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1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4"/>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2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82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10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By Berkshire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18"/>
                <w:szCs w:val="18"/>
                <w:color w:val="auto"/>
              </w:rPr>
            </w:pPr>
          </w:p>
        </w:tc>
        <w:tc>
          <w:tcPr>
            <w:tcW w:w="1200" w:type="dxa"/>
            <w:vAlign w:val="bottom"/>
            <w:gridSpan w:val="3"/>
            <w:vMerge w:val="restart"/>
          </w:tcPr>
          <w:p>
            <w:pPr>
              <w:ind w:left="320"/>
              <w:spacing w:after="0"/>
              <w:rPr>
                <w:sz w:val="20"/>
                <w:szCs w:val="20"/>
                <w:color w:val="auto"/>
              </w:rPr>
            </w:pPr>
            <w:r>
              <w:rPr>
                <w:rFonts w:ascii="Arial" w:cs="Arial" w:eastAsia="Arial" w:hAnsi="Arial"/>
                <w:sz w:val="18"/>
                <w:szCs w:val="18"/>
                <w:color w:val="0000FF"/>
                <w:w w:val="95"/>
              </w:rPr>
              <w:t>07/30/2018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vMerge w:val="restart"/>
          </w:tcPr>
          <w:p>
            <w:pPr>
              <w:jc w:val="right"/>
              <w:ind w:right="97"/>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18"/>
                <w:szCs w:val="18"/>
                <w:color w:val="auto"/>
              </w:rPr>
            </w:pP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0000FF"/>
                <w:w w:val="83"/>
              </w:rPr>
              <w:t>2,633,406</w:t>
            </w:r>
            <w:r>
              <w:rPr>
                <w:rFonts w:ascii="Arial" w:cs="Arial" w:eastAsia="Arial" w:hAnsi="Arial"/>
                <w:sz w:val="22"/>
                <w:szCs w:val="22"/>
                <w:color w:val="008000"/>
                <w:w w:val="83"/>
                <w:vertAlign w:val="superscript"/>
              </w:rPr>
              <w:t>(1)</w:t>
            </w:r>
          </w:p>
        </w:tc>
        <w:tc>
          <w:tcPr>
            <w:tcW w:w="80" w:type="dxa"/>
            <w:vAlign w:val="bottom"/>
          </w:tcPr>
          <w:p>
            <w:pPr>
              <w:spacing w:after="0"/>
              <w:rPr>
                <w:sz w:val="18"/>
                <w:szCs w:val="18"/>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760" w:type="dxa"/>
            <w:vAlign w:val="bottom"/>
            <w:gridSpan w:val="3"/>
            <w:vMerge w:val="restart"/>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38.2594</w:t>
            </w:r>
          </w:p>
        </w:tc>
        <w:tc>
          <w:tcPr>
            <w:tcW w:w="1220" w:type="dxa"/>
            <w:vAlign w:val="bottom"/>
            <w:gridSpan w:val="4"/>
            <w:vMerge w:val="restart"/>
          </w:tcPr>
          <w:p>
            <w:pPr>
              <w:jc w:val="center"/>
              <w:ind w:right="19"/>
              <w:spacing w:after="0"/>
              <w:rPr>
                <w:sz w:val="20"/>
                <w:szCs w:val="20"/>
                <w:color w:val="auto"/>
              </w:rPr>
            </w:pPr>
            <w:r>
              <w:rPr>
                <w:rFonts w:ascii="Arial" w:cs="Arial" w:eastAsia="Arial" w:hAnsi="Arial"/>
                <w:sz w:val="18"/>
                <w:szCs w:val="18"/>
                <w:color w:val="0000FF"/>
                <w:w w:val="87"/>
              </w:rPr>
              <w:t>4,810,454</w:t>
            </w:r>
          </w:p>
        </w:tc>
        <w:tc>
          <w:tcPr>
            <w:tcW w:w="340" w:type="dxa"/>
            <w:vAlign w:val="bottom"/>
          </w:tcPr>
          <w:p>
            <w:pPr>
              <w:spacing w:after="0"/>
              <w:rPr>
                <w:sz w:val="18"/>
                <w:szCs w:val="18"/>
                <w:color w:val="auto"/>
              </w:rPr>
            </w:pPr>
          </w:p>
        </w:tc>
        <w:tc>
          <w:tcPr>
            <w:tcW w:w="480" w:type="dxa"/>
            <w:vAlign w:val="bottom"/>
            <w:vMerge w:val="restart"/>
          </w:tcPr>
          <w:p>
            <w:pPr>
              <w:jc w:val="center"/>
              <w:ind w:right="312"/>
              <w:spacing w:after="0"/>
              <w:rPr>
                <w:sz w:val="20"/>
                <w:szCs w:val="20"/>
                <w:color w:val="auto"/>
              </w:rPr>
            </w:pPr>
            <w:r>
              <w:rPr>
                <w:rFonts w:ascii="Arial" w:cs="Arial" w:eastAsia="Arial" w:hAnsi="Arial"/>
                <w:sz w:val="18"/>
                <w:szCs w:val="18"/>
                <w:color w:val="0000FF"/>
              </w:rPr>
              <w:t>I</w:t>
            </w: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rPr>
              <w:t>Fund VI,</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0000FF"/>
                <w:w w:val="87"/>
              </w:rPr>
              <w:t>Partnership</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ind w:left="320"/>
              <w:spacing w:after="0"/>
              <w:rPr>
                <w:sz w:val="20"/>
                <w:szCs w:val="20"/>
                <w:color w:val="auto"/>
              </w:rPr>
            </w:pPr>
            <w:r>
              <w:rPr>
                <w:rFonts w:ascii="Arial" w:cs="Arial" w:eastAsia="Arial" w:hAnsi="Arial"/>
                <w:sz w:val="18"/>
                <w:szCs w:val="18"/>
                <w:color w:val="0000FF"/>
                <w:w w:val="95"/>
              </w:rPr>
              <w:t>07/30/2018</w:t>
            </w: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right"/>
              <w:ind w:right="97"/>
              <w:spacing w:after="0"/>
              <w:rPr>
                <w:sz w:val="20"/>
                <w:szCs w:val="20"/>
                <w:color w:val="auto"/>
              </w:rPr>
            </w:pPr>
            <w:r>
              <w:rPr>
                <w:rFonts w:ascii="Arial" w:cs="Arial" w:eastAsia="Arial" w:hAnsi="Arial"/>
                <w:sz w:val="14"/>
                <w:szCs w:val="14"/>
                <w:color w:val="0000FF"/>
              </w:rPr>
              <w:t>S</w:t>
            </w:r>
          </w:p>
        </w:tc>
        <w:tc>
          <w:tcPr>
            <w:tcW w:w="3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jc w:val="center"/>
              <w:ind w:left="68"/>
              <w:spacing w:after="0"/>
              <w:rPr>
                <w:sz w:val="20"/>
                <w:szCs w:val="20"/>
                <w:color w:val="auto"/>
              </w:rPr>
            </w:pPr>
            <w:r>
              <w:rPr>
                <w:rFonts w:ascii="Arial" w:cs="Arial" w:eastAsia="Arial" w:hAnsi="Arial"/>
                <w:sz w:val="18"/>
                <w:szCs w:val="18"/>
                <w:color w:val="0000FF"/>
                <w:w w:val="84"/>
              </w:rPr>
              <w:t>34,215</w:t>
            </w:r>
            <w:r>
              <w:rPr>
                <w:rFonts w:ascii="Arial" w:cs="Arial" w:eastAsia="Arial" w:hAnsi="Arial"/>
                <w:sz w:val="22"/>
                <w:szCs w:val="22"/>
                <w:color w:val="008000"/>
                <w:w w:val="84"/>
                <w:vertAlign w:val="superscript"/>
              </w:rPr>
              <w:t>(1)</w:t>
            </w: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760" w:type="dxa"/>
            <w:vAlign w:val="bottom"/>
            <w:tcBorders>
              <w:top w:val="single" w:sz="8" w:color="2C2C2C"/>
              <w:bottom w:val="single" w:sz="8" w:color="2C2C2C"/>
            </w:tcBorders>
            <w:gridSpan w:val="3"/>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38.2594</w:t>
            </w: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gridSpan w:val="2"/>
          </w:tcPr>
          <w:p>
            <w:pPr>
              <w:jc w:val="center"/>
              <w:ind w:right="299"/>
              <w:spacing w:after="0"/>
              <w:rPr>
                <w:sz w:val="20"/>
                <w:szCs w:val="20"/>
                <w:color w:val="auto"/>
              </w:rPr>
            </w:pPr>
            <w:r>
              <w:rPr>
                <w:rFonts w:ascii="Arial" w:cs="Arial" w:eastAsia="Arial" w:hAnsi="Arial"/>
                <w:sz w:val="18"/>
                <w:szCs w:val="18"/>
                <w:color w:val="0000FF"/>
                <w:w w:val="87"/>
              </w:rPr>
              <w:t>62,499</w:t>
            </w:r>
          </w:p>
        </w:tc>
        <w:tc>
          <w:tcPr>
            <w:tcW w:w="82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(3)(4)</w:t>
            </w: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320"/>
              <w:spacing w:after="0"/>
              <w:rPr>
                <w:sz w:val="20"/>
                <w:szCs w:val="20"/>
                <w:color w:val="auto"/>
              </w:rPr>
            </w:pPr>
            <w:r>
              <w:rPr>
                <w:rFonts w:ascii="Arial" w:cs="Arial" w:eastAsia="Arial" w:hAnsi="Arial"/>
                <w:sz w:val="18"/>
                <w:szCs w:val="18"/>
                <w:color w:val="0000FF"/>
                <w:w w:val="95"/>
              </w:rPr>
              <w:t>07/30/2018</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ind w:right="97"/>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left="68"/>
              <w:spacing w:after="0"/>
              <w:rPr>
                <w:sz w:val="20"/>
                <w:szCs w:val="20"/>
                <w:color w:val="auto"/>
              </w:rPr>
            </w:pPr>
            <w:r>
              <w:rPr>
                <w:rFonts w:ascii="Arial" w:cs="Arial" w:eastAsia="Arial" w:hAnsi="Arial"/>
                <w:sz w:val="18"/>
                <w:szCs w:val="18"/>
                <w:color w:val="0000FF"/>
                <w:w w:val="84"/>
              </w:rPr>
              <w:t>13,936</w:t>
            </w:r>
            <w:r>
              <w:rPr>
                <w:rFonts w:ascii="Arial" w:cs="Arial" w:eastAsia="Arial" w:hAnsi="Arial"/>
                <w:sz w:val="22"/>
                <w:szCs w:val="22"/>
                <w:color w:val="008000"/>
                <w:w w:val="84"/>
                <w:vertAlign w:val="superscript"/>
              </w:rPr>
              <w:t>(1)</w:t>
            </w: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38.2594</w:t>
            </w: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9"/>
              <w:spacing w:after="0"/>
              <w:rPr>
                <w:sz w:val="20"/>
                <w:szCs w:val="20"/>
                <w:color w:val="auto"/>
              </w:rPr>
            </w:pPr>
            <w:r>
              <w:rPr>
                <w:rFonts w:ascii="Arial" w:cs="Arial" w:eastAsia="Arial" w:hAnsi="Arial"/>
                <w:sz w:val="18"/>
                <w:szCs w:val="18"/>
                <w:color w:val="0000FF"/>
                <w:w w:val="87"/>
              </w:rPr>
              <w:t>25,458</w:t>
            </w:r>
          </w:p>
        </w:tc>
        <w:tc>
          <w:tcPr>
            <w:tcW w:w="8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(3)(5)</w:t>
            </w: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5"/>
          </w:tcPr>
          <w:p>
            <w:pPr>
              <w:jc w:val="center"/>
              <w:ind w:left="86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00" w:type="dxa"/>
            <w:vAlign w:val="bottom"/>
            <w:gridSpan w:val="19"/>
          </w:tcPr>
          <w:p>
            <w:pPr>
              <w:jc w:val="center"/>
              <w:ind w:left="1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0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jc w:val="right"/>
              <w:ind w:right="97"/>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Berkshire Partners Holdings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200 CLARENDON STREET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Sixth Berkshire Associates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200 CLARENDON STREET, 35TH FLOOR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MA</w:t>
            </w:r>
          </w:p>
        </w:tc>
        <w:tc>
          <w:tcPr>
            <w:tcW w:w="1200" w:type="dxa"/>
            <w:vAlign w:val="bottom"/>
            <w:gridSpan w:val="3"/>
          </w:tcPr>
          <w:p>
            <w:pPr>
              <w:ind w:left="380"/>
              <w:spacing w:after="0"/>
              <w:rPr>
                <w:sz w:val="20"/>
                <w:szCs w:val="20"/>
                <w:color w:val="auto"/>
              </w:rPr>
            </w:pPr>
            <w:r>
              <w:rPr>
                <w:rFonts w:ascii="Arial" w:cs="Arial" w:eastAsia="Arial" w:hAnsi="Arial"/>
                <w:sz w:val="18"/>
                <w:szCs w:val="18"/>
                <w:color w:val="0000FF"/>
              </w:rPr>
              <w:t>02116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sz w:val="1"/>
          <w:szCs w:val="1"/>
          <w:color w:val="auto"/>
        </w:rPr>
        <w:drawing>
          <wp:inline distT="0" distB="0" distL="0" distR="0">
            <wp:extent cx="3429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290" cy="203200"/>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47" w:orient="portrait"/>
          <w:cols w:equalWidth="0" w:num="1">
            <w:col w:w="11420"/>
          </w:cols>
          <w:pgMar w:left="240" w:top="226" w:right="239" w:bottom="0" w:gutter="0" w:footer="0" w:header="0"/>
          <w:type w:val="continuous"/>
        </w:sectPr>
      </w:pPr>
    </w:p>
    <w:bookmarkStart w:id="1" w:name="page2"/>
    <w:bookmarkEnd w:id="1"/>
    <w:p>
      <w:pPr>
        <w:spacing w:after="0" w:line="7" w:lineRule="exact"/>
        <w:rPr>
          <w:sz w:val="20"/>
          <w:szCs w:val="20"/>
          <w:color w:val="auto"/>
        </w:rPr>
      </w:pP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BERKSHIRE FUND VI, LTD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887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887984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60" w:type="dxa"/>
            <w:vAlign w:val="bottom"/>
            <w:gridSpan w:val="2"/>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BPSP, L.P.</w:t>
              </w:r>
            </w:hyperlink>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Berkshire Partners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5"/>
          </w:tcPr>
          <w:p>
            <w:pPr>
              <w:spacing w:after="0" w:line="224" w:lineRule="exact"/>
              <w:rPr>
                <w:rFonts w:ascii="Arial" w:cs="Arial" w:eastAsia="Arial" w:hAnsi="Arial"/>
                <w:sz w:val="22"/>
                <w:szCs w:val="22"/>
                <w:color w:val="0000EE"/>
                <w:w w:val="94"/>
              </w:rPr>
            </w:pPr>
            <w:hyperlink r:id="rId20">
              <w:r>
                <w:rPr>
                  <w:rFonts w:ascii="Arial" w:cs="Arial" w:eastAsia="Arial" w:hAnsi="Arial"/>
                  <w:sz w:val="22"/>
                  <w:szCs w:val="22"/>
                  <w:color w:val="0000EE"/>
                  <w:w w:val="94"/>
                </w:rPr>
                <w:t>BERKSHIRE INVESTORS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gridSpan w:val="5"/>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Berkshire Investors 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(Last)</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5"/>
          </w:tcPr>
          <w:p>
            <w:pPr>
              <w:spacing w:after="0"/>
              <w:rPr>
                <w:sz w:val="20"/>
                <w:szCs w:val="20"/>
                <w:color w:val="auto"/>
              </w:rPr>
            </w:pPr>
            <w:r>
              <w:rPr>
                <w:rFonts w:ascii="Arial" w:cs="Arial" w:eastAsia="Arial" w:hAnsi="Arial"/>
                <w:sz w:val="18"/>
                <w:szCs w:val="18"/>
                <w:color w:val="0000FF"/>
              </w:rPr>
              <w:t>200 CLARENDON STREET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35TH FLOOR</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660" w:type="dxa"/>
            <w:vAlign w:val="bottom"/>
            <w:gridSpan w:val="3"/>
          </w:tcPr>
          <w:p>
            <w:pPr>
              <w:ind w:left="200"/>
              <w:spacing w:after="0"/>
              <w:rPr>
                <w:sz w:val="20"/>
                <w:szCs w:val="20"/>
                <w:color w:val="auto"/>
              </w:rPr>
            </w:pPr>
            <w:r>
              <w:rPr>
                <w:rFonts w:ascii="Arial" w:cs="Arial" w:eastAsia="Arial" w:hAnsi="Arial"/>
                <w:sz w:val="18"/>
                <w:szCs w:val="18"/>
                <w:color w:val="0000FF"/>
              </w:rPr>
              <w:t>MA</w:t>
            </w:r>
          </w:p>
        </w:tc>
        <w:tc>
          <w:tcPr>
            <w:tcW w:w="1420" w:type="dxa"/>
            <w:vAlign w:val="bottom"/>
          </w:tcPr>
          <w:p>
            <w:pPr>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(City)</w:t>
            </w:r>
          </w:p>
        </w:tc>
        <w:tc>
          <w:tcPr>
            <w:tcW w:w="166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secondary offering (the "Secondary Offering") of common stock, par value $0.01 per share (the "Common Stock") of the Issuer by certain selling shareholders to Merrill Lynch, Pierce, Fenner &amp; Smith Incorporated, Citigroup Global Markets Inc., Goldman Sachs &amp; Co. LLC, Jefferies LLC, KKR Capital Markets LLC, Morgan Stanley &amp; Co. LLC, UBS Securities LLC, Wells Fargo Securities, LLC, Barclays Capital Inc., Guggenheim Securities, LLC, Mizuho Securities USA LLC and Macquarie Capital (USA) Inc. pursuant to an underwriting agreement and final prospectus supplement, each dated July 25, 2018, Fund VI (as defined below), Berkshire Investors (as defined below) and Berkshire Investors III (as defined below), as selling shareholders, sold 2,633,406, 34,215 and 13,936 shares of Common Stock, respectively, at $38.2594 per share. The Secondary Offering closed on July 30, 2018.</w:t>
      </w:r>
    </w:p>
    <w:p>
      <w:pPr>
        <w:spacing w:after="0" w:line="11"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held by Berkshire Fund VI, Limited Partnership ("Fund VI"). Sixth Berkshire Associates LLC ("6BA") is the general partner of Fund VI, and Berkshire Partners LLC ("Berkshire Partners") is the investment adviser to Fund VI. Berkshire Partners Holdings LLC ("BPH") is the general partner of BPSP, L.P. ("BPSP"), which is the managing member of Berkshire Partners. As a result, each of BPH, BPSP, Berkshire Partners and 6BA may be deemed to indirectly beneficially own the shares held by Fund VI. Each of the Reporting Persons disclaims beneficial ownership of the shares held by Fund VI, except to the extent of its pecuniary interest therein, and the inclusion of these securities in this report shall not be deemed an admission of beneficial ownership of the reported securities for purposes of Section 16 or for any other purpose.</w:t>
      </w:r>
    </w:p>
    <w:p>
      <w:pPr>
        <w:spacing w:after="0" w:line="32" w:lineRule="exact"/>
        <w:rPr>
          <w:rFonts w:ascii="Arial" w:cs="Arial" w:eastAsia="Arial" w:hAnsi="Arial"/>
          <w:sz w:val="14"/>
          <w:szCs w:val="14"/>
          <w:color w:val="008000"/>
        </w:rPr>
      </w:pPr>
    </w:p>
    <w:p>
      <w:pPr>
        <w:ind w:left="20" w:right="3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BPH, BPSP, Berkshire Partners, Fund VI, 6BA, Berkshire Investors LLC ("Berkshire Investors") and Berkshire Investors III LLC ("Berkshire Investors III") may be deemed to constitute a "group" for purposes of Section 13(d) of the Exchange Act although they do not admit to being part of a group nor have they agreed to act as part of a group.</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held by Berkshire Investors.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held by Berkshire Investors III.</w:t>
      </w:r>
    </w:p>
    <w:p>
      <w:pPr>
        <w:sectPr>
          <w:pgSz w:w="11900" w:h="16845" w:orient="portrait"/>
          <w:cols w:equalWidth="0" w:num="1">
            <w:col w:w="11340"/>
          </w:cols>
          <w:pgMar w:left="260" w:top="118" w:right="299" w:bottom="0" w:gutter="0" w:footer="0" w:header="0"/>
        </w:sectPr>
      </w:pPr>
    </w:p>
    <w:bookmarkStart w:id="2" w:name="page3"/>
    <w:bookmarkEnd w:id="2"/>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6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35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Associates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8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of Berkshire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3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Fund VI,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76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Berkshire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3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2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23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BPSP, L.P.,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6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member of Berkshire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0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087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Sharlyn C. Heslam,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64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Managing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21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Berkshire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7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200"/>
          </w:cols>
          <w:pgMar w:left="280" w:top="145"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5"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12" Type="http://schemas.openxmlformats.org/officeDocument/2006/relationships/hyperlink" Target="http://www.sec.gov/cgi-bin/browse-edgar?action=getcompany&amp;CIK=0001597786"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376601" TargetMode="External"/><Relationship Id="rId16" Type="http://schemas.openxmlformats.org/officeDocument/2006/relationships/hyperlink" Target="http://www.sec.gov/cgi-bin/browse-edgar?action=getcompany&amp;CIK=0001223654" TargetMode="External"/><Relationship Id="rId18" Type="http://schemas.openxmlformats.org/officeDocument/2006/relationships/hyperlink" Target="http://www.sec.gov/cgi-bin/browse-edgar?action=getcompany&amp;CIK=0001597787" TargetMode="External"/><Relationship Id="rId19" Type="http://schemas.openxmlformats.org/officeDocument/2006/relationships/hyperlink" Target="http://www.sec.gov/cgi-bin/browse-edgar?action=getcompany&amp;CIK=0001312988" TargetMode="External"/><Relationship Id="rId20" Type="http://schemas.openxmlformats.org/officeDocument/2006/relationships/hyperlink" Target="http://www.sec.gov/cgi-bin/browse-edgar?action=getcompany&amp;CIK=0001122645" TargetMode="External"/><Relationship Id="rId21" Type="http://schemas.openxmlformats.org/officeDocument/2006/relationships/hyperlink" Target="http://www.sec.gov/cgi-bin/browse-edgar?action=getcompany&amp;CIK=0001505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2019-12-23T16:16:47Z</dcterms:created>
  <dcterms:modified xsi:type="dcterms:W3CDTF">2019-12-23T16:16:47Z</dcterms:modified>
</cp:coreProperties>
</file>