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 xml:space="preserve">FORM 8-K </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8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76" w:before="0" w:after="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76" w:before="0" w:after="8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lineRule="auto" w:line="276" w:before="0" w:after="80"/>
        <w:jc w:val="center"/>
        <w:rPr>
          <w:rFonts w:ascii="Arial;sans-serif" w:hAnsi="Arial;sans-serif"/>
          <w:b/>
          <w:color w:val="000000"/>
          <w:sz w:val="18"/>
        </w:rPr>
      </w:pPr>
      <w:r>
        <w:rPr>
          <w:rFonts w:ascii="Arial;sans-serif" w:hAnsi="Arial;sans-serif"/>
          <w:b/>
          <w:color w:val="000000"/>
          <w:sz w:val="18"/>
        </w:rPr>
        <w:t>June 22 2026 (June 17, 2026)</w:t>
      </w:r>
    </w:p>
    <w:p>
      <w:pPr>
        <w:pStyle w:val="TextBody"/>
        <w:bidi w:val="0"/>
        <w:spacing w:lineRule="auto" w:line="276" w:before="0" w:after="8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 xml:space="preserve">National Vision Holdings, Inc. </w:t>
      </w:r>
    </w:p>
    <w:p>
      <w:pPr>
        <w:pStyle w:val="TextBody"/>
        <w:bidi w:val="0"/>
        <w:spacing w:lineRule="auto" w:line="276"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001-38257 </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(Commission file number)</w:t>
      </w:r>
    </w:p>
    <w:tbl>
      <w:tblPr>
        <w:tblW w:w="5156" w:type="dxa"/>
        <w:jc w:val="center"/>
        <w:tblInd w:w="0" w:type="dxa"/>
        <w:tblLayout w:type="fixed"/>
        <w:tblCellMar>
          <w:top w:w="28" w:type="dxa"/>
          <w:left w:w="28" w:type="dxa"/>
          <w:bottom w:w="28" w:type="dxa"/>
          <w:right w:w="28" w:type="dxa"/>
        </w:tblCellMar>
      </w:tblPr>
      <w:tblGrid>
        <w:gridCol w:w="404"/>
        <w:gridCol w:w="355"/>
        <w:gridCol w:w="355"/>
        <w:gridCol w:w="355"/>
        <w:gridCol w:w="355"/>
        <w:gridCol w:w="355"/>
        <w:gridCol w:w="355"/>
        <w:gridCol w:w="355"/>
        <w:gridCol w:w="366"/>
        <w:gridCol w:w="109"/>
        <w:gridCol w:w="109"/>
        <w:gridCol w:w="109"/>
        <w:gridCol w:w="459"/>
        <w:gridCol w:w="459"/>
        <w:gridCol w:w="656"/>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46-4841717</w:t>
            </w:r>
          </w:p>
        </w:tc>
      </w:tr>
      <w:tr>
        <w:trPr/>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2435 Commerce Ave.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Building 2200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30096</w:t>
            </w:r>
          </w:p>
        </w:tc>
      </w:tr>
      <w:tr>
        <w:trPr/>
        <w:tc>
          <w:tcPr>
            <w:tcW w:w="217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Duluth,</w:t>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(770) 822</w:t>
        <w:noBreakHyphen/>
        <w:t xml:space="preserve">3600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76" w:before="100" w:after="12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hanging="36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60" w:after="12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116" w:type="dxa"/>
        <w:jc w:val="left"/>
        <w:tblInd w:w="0" w:type="dxa"/>
        <w:tblLayout w:type="fixed"/>
        <w:tblCellMar>
          <w:top w:w="28" w:type="dxa"/>
          <w:left w:w="28" w:type="dxa"/>
          <w:bottom w:w="28" w:type="dxa"/>
          <w:right w:w="28" w:type="dxa"/>
        </w:tblCellMar>
      </w:tblPr>
      <w:tblGrid>
        <w:gridCol w:w="1363"/>
        <w:gridCol w:w="1194"/>
        <w:gridCol w:w="1207"/>
        <w:gridCol w:w="109"/>
        <w:gridCol w:w="109"/>
        <w:gridCol w:w="109"/>
        <w:gridCol w:w="564"/>
        <w:gridCol w:w="564"/>
        <w:gridCol w:w="566"/>
        <w:gridCol w:w="109"/>
        <w:gridCol w:w="109"/>
        <w:gridCol w:w="109"/>
        <w:gridCol w:w="1170"/>
        <w:gridCol w:w="1170"/>
        <w:gridCol w:w="166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4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On June 17, 2026, National Vision Holdings, Inc. (“National Vision” or the “Company”) held its 2026 annual meeting of stockholders (the “Annual Meeting”). The matters submitted to stockholders at the Annual Meeting and the voting results are as follows:</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Proposal 1: Election of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Stockholders elected eleven director nominees to hold office for terms expiring at the 2027 annual meeting of stockholders and until his or her successor is duly elected and qualified.</w:t>
      </w:r>
    </w:p>
    <w:tbl>
      <w:tblPr>
        <w:tblW w:w="8376" w:type="dxa"/>
        <w:jc w:val="left"/>
        <w:tblInd w:w="0" w:type="dxa"/>
        <w:tblLayout w:type="fixed"/>
        <w:tblCellMar>
          <w:top w:w="28" w:type="dxa"/>
          <w:left w:w="28" w:type="dxa"/>
          <w:bottom w:w="28" w:type="dxa"/>
          <w:right w:w="28" w:type="dxa"/>
        </w:tblCellMar>
      </w:tblPr>
      <w:tblGrid>
        <w:gridCol w:w="1043"/>
        <w:gridCol w:w="916"/>
        <w:gridCol w:w="918"/>
        <w:gridCol w:w="354"/>
        <w:gridCol w:w="354"/>
        <w:gridCol w:w="358"/>
        <w:gridCol w:w="109"/>
        <w:gridCol w:w="109"/>
        <w:gridCol w:w="109"/>
        <w:gridCol w:w="319"/>
        <w:gridCol w:w="319"/>
        <w:gridCol w:w="323"/>
        <w:gridCol w:w="109"/>
        <w:gridCol w:w="109"/>
        <w:gridCol w:w="109"/>
        <w:gridCol w:w="270"/>
        <w:gridCol w:w="270"/>
        <w:gridCol w:w="271"/>
        <w:gridCol w:w="109"/>
        <w:gridCol w:w="109"/>
        <w:gridCol w:w="109"/>
        <w:gridCol w:w="190"/>
        <w:gridCol w:w="190"/>
        <w:gridCol w:w="1300"/>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ind w:left="0" w:right="0" w:firstLine="612"/>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u w:val="single"/>
              </w:rPr>
            </w:pPr>
            <w:r>
              <w:rPr>
                <w:rFonts w:ascii="Arial;sans-serif" w:hAnsi="Arial;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u w:val="single"/>
              </w:rPr>
            </w:pPr>
            <w:r>
              <w:rPr>
                <w:rFonts w:ascii="Arial;sans-serif" w:hAnsi="Arial;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u w:val="single"/>
              </w:rPr>
            </w:pPr>
            <w:r>
              <w:rPr>
                <w:rFonts w:ascii="Arial;sans-serif" w:hAnsi="Arial;sans-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u w:val="single"/>
              </w:rPr>
            </w:pPr>
            <w:r>
              <w:rPr>
                <w:rFonts w:ascii="Arial;sans-serif" w:hAnsi="Arial;sans-serif"/>
                <w:b/>
                <w:color w:val="000000"/>
                <w:sz w:val="20"/>
                <w:u w:val="single"/>
              </w:rPr>
              <w:t>Broker Non-Vote</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Jose Armario</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71,479,950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746,786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143,014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L. Reade Fahs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70,773,915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1,427,583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168,252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Virginia A. Hepner</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71,450,302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784,077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135,371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Susan Somersille Johnson</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71,231,053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1,002,886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135,811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Naomi Kelman</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71,595,450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638,489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135,811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James M. McGrann</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72,016,968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217,126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135,656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Michael J. Nicholson</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71,993,783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239,889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136,078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Susan O’Farrell</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71,752,548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481,781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D. Randolph Peeler</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70,794,057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1,406,999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168,694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432"/>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Alex Wilkes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72,017,052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217,504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r>
        <w:trPr/>
        <w:tc>
          <w:tcPr>
            <w:tcW w:w="28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32"/>
              <w:jc w:val="left"/>
              <w:rPr>
                <w:rFonts w:ascii="Arial;sans-serif" w:hAnsi="Arial;sans-serif"/>
                <w:b w:val="false"/>
                <w:color w:val="000000"/>
                <w:sz w:val="20"/>
              </w:rPr>
            </w:pPr>
            <w:r>
              <w:rPr>
                <w:rFonts w:ascii="Arial;sans-serif" w:hAnsi="Arial;sans-serif"/>
                <w:b w:val="false"/>
                <w:color w:val="000000"/>
                <w:sz w:val="20"/>
              </w:rPr>
              <w:t>Caitlin Zulla</w:t>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71,906,943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327,857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134,950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3,050,477</w:t>
            </w:r>
          </w:p>
        </w:tc>
      </w:tr>
    </w:tbl>
    <w:p>
      <w:pPr>
        <w:pStyle w:val="TextBody"/>
        <w:bidi w:val="0"/>
        <w:spacing w:before="0" w:after="160"/>
        <w:jc w:val="center"/>
        <w:rPr/>
      </w:pPr>
      <w:r>
        <w:rPr/>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Proposal 2: Advisory Vote on Executive Compensation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Stockholders approved, on a non-binding advisory basis, the compensation paid to the Company’s named executive officers.</w:t>
      </w:r>
    </w:p>
    <w:tbl>
      <w:tblPr>
        <w:tblW w:w="4533" w:type="dxa"/>
        <w:jc w:val="center"/>
        <w:tblInd w:w="0" w:type="dxa"/>
        <w:tblLayout w:type="fixed"/>
        <w:tblCellMar>
          <w:top w:w="28" w:type="dxa"/>
          <w:left w:w="28" w:type="dxa"/>
          <w:bottom w:w="28" w:type="dxa"/>
          <w:right w:w="28" w:type="dxa"/>
        </w:tblCellMar>
      </w:tblPr>
      <w:tblGrid>
        <w:gridCol w:w="391"/>
        <w:gridCol w:w="342"/>
        <w:gridCol w:w="348"/>
        <w:gridCol w:w="319"/>
        <w:gridCol w:w="319"/>
        <w:gridCol w:w="323"/>
        <w:gridCol w:w="270"/>
        <w:gridCol w:w="270"/>
        <w:gridCol w:w="271"/>
        <w:gridCol w:w="491"/>
        <w:gridCol w:w="491"/>
        <w:gridCol w:w="698"/>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For</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Against</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Abstain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Broker Non-Vote</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70,210,320</w:t>
            </w:r>
          </w:p>
        </w:tc>
        <w:tc>
          <w:tcPr>
            <w:tcW w:w="9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2,022,774</w:t>
            </w:r>
          </w:p>
        </w:tc>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136,656</w:t>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3,050,477</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Proposal 3: Ratification of the Appointment of the Independent Registered Public Accounting Firm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Stockholders ratified the appointment of Deloitte &amp; Touche LLP as our independent registered public accounting firm for fiscal 2026.</w:t>
      </w:r>
    </w:p>
    <w:tbl>
      <w:tblPr>
        <w:tblW w:w="3007" w:type="dxa"/>
        <w:jc w:val="center"/>
        <w:tblInd w:w="0" w:type="dxa"/>
        <w:tblLayout w:type="fixed"/>
        <w:tblCellMar>
          <w:top w:w="28" w:type="dxa"/>
          <w:left w:w="28" w:type="dxa"/>
          <w:bottom w:w="28" w:type="dxa"/>
          <w:right w:w="28" w:type="dxa"/>
        </w:tblCellMar>
      </w:tblPr>
      <w:tblGrid>
        <w:gridCol w:w="391"/>
        <w:gridCol w:w="342"/>
        <w:gridCol w:w="348"/>
        <w:gridCol w:w="319"/>
        <w:gridCol w:w="319"/>
        <w:gridCol w:w="323"/>
        <w:gridCol w:w="270"/>
        <w:gridCol w:w="270"/>
        <w:gridCol w:w="271"/>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For</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Against</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Abstain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73,341,054</w:t>
            </w:r>
          </w:p>
        </w:tc>
        <w:tc>
          <w:tcPr>
            <w:tcW w:w="9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1,913,162</w:t>
            </w:r>
          </w:p>
        </w:tc>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166,011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pPr>
      <w:r>
        <w:rPr>
          <w:rFonts w:ascii="Arial;sans-serif" w:hAnsi="Arial;sans-serif"/>
          <w:b w:val="false"/>
          <w:color w:val="000000"/>
          <w:sz w:val="20"/>
        </w:rPr>
        <w:t xml:space="preserve">(d) </w:t>
      </w:r>
      <w:r>
        <w:rPr>
          <w:rFonts w:ascii="Arial;sans-serif" w:hAnsi="Arial;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82"/>
        <w:gridCol w:w="335"/>
        <w:gridCol w:w="338"/>
        <w:gridCol w:w="2672"/>
        <w:gridCol w:w="2672"/>
        <w:gridCol w:w="3806"/>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91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7822" w:type="dxa"/>
        <w:jc w:val="center"/>
        <w:tblInd w:w="0" w:type="dxa"/>
        <w:tblLayout w:type="fixed"/>
        <w:tblCellMar>
          <w:top w:w="28" w:type="dxa"/>
          <w:left w:w="28" w:type="dxa"/>
          <w:bottom w:w="28" w:type="dxa"/>
          <w:right w:w="28" w:type="dxa"/>
        </w:tblCellMar>
      </w:tblPr>
      <w:tblGrid>
        <w:gridCol w:w="678"/>
        <w:gridCol w:w="595"/>
        <w:gridCol w:w="601"/>
        <w:gridCol w:w="109"/>
        <w:gridCol w:w="109"/>
        <w:gridCol w:w="109"/>
        <w:gridCol w:w="223"/>
        <w:gridCol w:w="223"/>
        <w:gridCol w:w="228"/>
        <w:gridCol w:w="109"/>
        <w:gridCol w:w="109"/>
        <w:gridCol w:w="109"/>
        <w:gridCol w:w="1351"/>
        <w:gridCol w:w="1351"/>
        <w:gridCol w:w="1918"/>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June 22,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Jared Brandman</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Jared Brandman</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&amp; Strategy Officer,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3895</Characters>
  <CharactersWithSpaces>4396</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