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630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630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Moore Patrick R.</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460"/>
        <w:spacing w:after="0" w:line="379"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6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420" w:type="dxa"/>
            <w:vAlign w:val="bottom"/>
            <w:tcBorders>
              <w:bottom w:val="single" w:sz="8" w:color="2C2C2C"/>
            </w:tcBorders>
          </w:tcPr>
          <w:p>
            <w:pPr>
              <w:spacing w:after="0"/>
              <w:rPr>
                <w:sz w:val="16"/>
                <w:szCs w:val="16"/>
                <w:color w:val="auto"/>
              </w:rPr>
            </w:pPr>
          </w:p>
        </w:tc>
        <w:tc>
          <w:tcPr>
            <w:tcW w:w="120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15"/>
        </w:trPr>
        <w:tc>
          <w:tcPr>
            <w:tcW w:w="2620" w:type="dxa"/>
            <w:vAlign w:val="bottom"/>
            <w:gridSpan w:val="3"/>
          </w:tcPr>
          <w:p>
            <w:pPr>
              <w:ind w:left="60"/>
              <w:spacing w:after="0"/>
              <w:rPr>
                <w:sz w:val="20"/>
                <w:szCs w:val="20"/>
                <w:color w:val="auto"/>
              </w:rPr>
            </w:pPr>
            <w:r>
              <w:rPr>
                <w:rFonts w:ascii="Arial" w:cs="Arial" w:eastAsia="Arial" w:hAnsi="Arial"/>
                <w:sz w:val="17"/>
                <w:szCs w:val="17"/>
                <w:color w:val="0000FF"/>
              </w:rPr>
              <w:t>03/02/2023</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jc w:val="center"/>
              <w:ind w:left="55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51"/>
              <w:spacing w:after="0"/>
              <w:rPr>
                <w:sz w:val="20"/>
                <w:szCs w:val="20"/>
                <w:color w:val="auto"/>
              </w:rPr>
            </w:pPr>
            <w:r>
              <w:rPr>
                <w:rFonts w:ascii="Arial" w:cs="Arial" w:eastAsia="Arial" w:hAnsi="Arial"/>
                <w:sz w:val="17"/>
                <w:szCs w:val="17"/>
                <w:color w:val="0000FF"/>
                <w:w w:val="89"/>
              </w:rPr>
              <w:t>03/02/2023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left="150"/>
              <w:spacing w:after="0"/>
              <w:rPr>
                <w:sz w:val="20"/>
                <w:szCs w:val="20"/>
                <w:color w:val="auto"/>
              </w:rPr>
            </w:pPr>
            <w:r>
              <w:rPr>
                <w:rFonts w:ascii="Arial" w:cs="Arial" w:eastAsia="Arial" w:hAnsi="Arial"/>
                <w:sz w:val="17"/>
                <w:szCs w:val="17"/>
                <w:color w:val="0000FF"/>
                <w:w w:val="89"/>
              </w:rPr>
              <w:t>3,062</w:t>
            </w: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right"/>
              <w:ind w:right="2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34,089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51"/>
              <w:spacing w:after="0"/>
              <w:rPr>
                <w:sz w:val="20"/>
                <w:szCs w:val="20"/>
                <w:color w:val="auto"/>
              </w:rPr>
            </w:pPr>
            <w:r>
              <w:rPr>
                <w:rFonts w:ascii="Arial" w:cs="Arial" w:eastAsia="Arial" w:hAnsi="Arial"/>
                <w:sz w:val="17"/>
                <w:szCs w:val="17"/>
                <w:color w:val="0000FF"/>
                <w:w w:val="89"/>
              </w:rPr>
              <w:t>03/02/2023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Arial" w:cs="Arial" w:eastAsia="Arial" w:hAnsi="Arial"/>
                <w:sz w:val="13"/>
                <w:szCs w:val="13"/>
                <w:color w:val="0000FF"/>
              </w:rPr>
              <w:t>F</w:t>
            </w:r>
          </w:p>
        </w:tc>
        <w:tc>
          <w:tcPr>
            <w:tcW w:w="160" w:type="dxa"/>
            <w:vAlign w:val="bottom"/>
          </w:tcPr>
          <w:p>
            <w:pPr>
              <w:spacing w:after="0"/>
              <w:rPr>
                <w:sz w:val="22"/>
                <w:szCs w:val="22"/>
                <w:color w:val="auto"/>
              </w:rPr>
            </w:pPr>
          </w:p>
        </w:tc>
        <w:tc>
          <w:tcPr>
            <w:tcW w:w="600" w:type="dxa"/>
            <w:vAlign w:val="bottom"/>
          </w:tcPr>
          <w:p>
            <w:pPr>
              <w:jc w:val="center"/>
              <w:ind w:left="130"/>
              <w:spacing w:after="0"/>
              <w:rPr>
                <w:sz w:val="20"/>
                <w:szCs w:val="20"/>
                <w:color w:val="auto"/>
              </w:rPr>
            </w:pPr>
            <w:r>
              <w:rPr>
                <w:rFonts w:ascii="Arial" w:cs="Arial" w:eastAsia="Arial" w:hAnsi="Arial"/>
                <w:sz w:val="17"/>
                <w:szCs w:val="17"/>
                <w:color w:val="0000FF"/>
                <w:w w:val="84"/>
              </w:rPr>
              <w:t>922</w:t>
            </w:r>
          </w:p>
        </w:tc>
        <w:tc>
          <w:tcPr>
            <w:tcW w:w="100" w:type="dxa"/>
            <w:vAlign w:val="bottom"/>
          </w:tcPr>
          <w:p>
            <w:pPr>
              <w:spacing w:after="0"/>
              <w:rPr>
                <w:sz w:val="22"/>
                <w:szCs w:val="22"/>
                <w:color w:val="auto"/>
              </w:rPr>
            </w:pPr>
          </w:p>
        </w:tc>
        <w:tc>
          <w:tcPr>
            <w:tcW w:w="520" w:type="dxa"/>
            <w:vAlign w:val="bottom"/>
          </w:tcPr>
          <w:p>
            <w:pPr>
              <w:ind w:left="320"/>
              <w:spacing w:after="0"/>
              <w:rPr>
                <w:sz w:val="20"/>
                <w:szCs w:val="20"/>
                <w:color w:val="auto"/>
              </w:rPr>
            </w:pPr>
            <w:r>
              <w:rPr>
                <w:rFonts w:ascii="Arial" w:cs="Arial" w:eastAsia="Arial" w:hAnsi="Arial"/>
                <w:sz w:val="17"/>
                <w:szCs w:val="17"/>
                <w:color w:val="0000FF"/>
              </w:rPr>
              <w:t>D</w:t>
            </w:r>
          </w:p>
        </w:tc>
        <w:tc>
          <w:tcPr>
            <w:tcW w:w="520" w:type="dxa"/>
            <w:vAlign w:val="bottom"/>
          </w:tcPr>
          <w:p>
            <w:pPr>
              <w:jc w:val="right"/>
              <w:ind w:right="1"/>
              <w:spacing w:after="0"/>
              <w:rPr>
                <w:sz w:val="20"/>
                <w:szCs w:val="20"/>
                <w:color w:val="auto"/>
              </w:rPr>
            </w:pPr>
            <w:r>
              <w:rPr>
                <w:rFonts w:ascii="Arial" w:cs="Arial" w:eastAsia="Arial" w:hAnsi="Arial"/>
                <w:sz w:val="11"/>
                <w:szCs w:val="11"/>
                <w:color w:val="008000"/>
              </w:rPr>
              <w:t>(2)</w:t>
            </w:r>
          </w:p>
        </w:tc>
        <w:tc>
          <w:tcPr>
            <w:tcW w:w="60" w:type="dxa"/>
            <w:vAlign w:val="bottom"/>
          </w:tcPr>
          <w:p>
            <w:pPr>
              <w:spacing w:after="0"/>
              <w:rPr>
                <w:sz w:val="22"/>
                <w:szCs w:val="22"/>
                <w:color w:val="auto"/>
              </w:rPr>
            </w:pPr>
          </w:p>
        </w:tc>
        <w:tc>
          <w:tcPr>
            <w:tcW w:w="1320" w:type="dxa"/>
            <w:vAlign w:val="bottom"/>
            <w:gridSpan w:val="3"/>
          </w:tcPr>
          <w:p>
            <w:pPr>
              <w:jc w:val="right"/>
              <w:ind w:right="321"/>
              <w:spacing w:after="0"/>
              <w:rPr>
                <w:sz w:val="20"/>
                <w:szCs w:val="20"/>
                <w:color w:val="auto"/>
              </w:rPr>
            </w:pPr>
            <w:r>
              <w:rPr>
                <w:rFonts w:ascii="Arial" w:cs="Arial" w:eastAsia="Arial" w:hAnsi="Arial"/>
                <w:sz w:val="17"/>
                <w:szCs w:val="17"/>
                <w:color w:val="0000FF"/>
              </w:rPr>
              <w:t>33,167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51"/>
              <w:spacing w:after="0"/>
              <w:rPr>
                <w:sz w:val="20"/>
                <w:szCs w:val="20"/>
                <w:color w:val="auto"/>
              </w:rPr>
            </w:pPr>
            <w:r>
              <w:rPr>
                <w:rFonts w:ascii="Arial" w:cs="Arial" w:eastAsia="Arial" w:hAnsi="Arial"/>
                <w:sz w:val="17"/>
                <w:szCs w:val="17"/>
                <w:color w:val="0000FF"/>
                <w:w w:val="89"/>
              </w:rPr>
              <w:t>03/02/2023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30"/>
              <w:spacing w:after="0"/>
              <w:rPr>
                <w:sz w:val="20"/>
                <w:szCs w:val="20"/>
                <w:color w:val="auto"/>
              </w:rPr>
            </w:pPr>
            <w:r>
              <w:rPr>
                <w:rFonts w:ascii="Arial" w:cs="Arial" w:eastAsia="Arial" w:hAnsi="Arial"/>
                <w:sz w:val="17"/>
                <w:szCs w:val="17"/>
                <w:color w:val="0000FF"/>
                <w:w w:val="86"/>
              </w:rPr>
              <w:t>15,532</w:t>
            </w:r>
            <w:r>
              <w:rPr>
                <w:rFonts w:ascii="Arial" w:cs="Arial" w:eastAsia="Arial" w:hAnsi="Arial"/>
                <w:sz w:val="21"/>
                <w:szCs w:val="21"/>
                <w:color w:val="008000"/>
                <w:w w:val="86"/>
                <w:vertAlign w:val="superscript"/>
              </w:rPr>
              <w:t>(3)</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right"/>
              <w:ind w:right="2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(4)</w:t>
            </w:r>
          </w:p>
        </w:tc>
        <w:tc>
          <w:tcPr>
            <w:tcW w:w="132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48,699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jc w:val="center"/>
              <w:ind w:left="551"/>
              <w:spacing w:after="0"/>
              <w:rPr>
                <w:sz w:val="20"/>
                <w:szCs w:val="20"/>
                <w:color w:val="auto"/>
              </w:rPr>
            </w:pPr>
            <w:r>
              <w:rPr>
                <w:rFonts w:ascii="Arial" w:cs="Arial" w:eastAsia="Arial" w:hAnsi="Arial"/>
                <w:sz w:val="17"/>
                <w:szCs w:val="17"/>
                <w:color w:val="0000FF"/>
                <w:w w:val="89"/>
              </w:rPr>
              <w:t>03/02/2023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Arial" w:cs="Arial" w:eastAsia="Arial" w:hAnsi="Arial"/>
                <w:sz w:val="13"/>
                <w:szCs w:val="13"/>
                <w:color w:val="0000FF"/>
              </w:rPr>
              <w:t>F</w:t>
            </w:r>
          </w:p>
        </w:tc>
        <w:tc>
          <w:tcPr>
            <w:tcW w:w="160" w:type="dxa"/>
            <w:vAlign w:val="bottom"/>
          </w:tcPr>
          <w:p>
            <w:pPr>
              <w:spacing w:after="0"/>
              <w:rPr>
                <w:sz w:val="22"/>
                <w:szCs w:val="22"/>
                <w:color w:val="auto"/>
              </w:rPr>
            </w:pPr>
          </w:p>
        </w:tc>
        <w:tc>
          <w:tcPr>
            <w:tcW w:w="600" w:type="dxa"/>
            <w:vAlign w:val="bottom"/>
          </w:tcPr>
          <w:p>
            <w:pPr>
              <w:jc w:val="center"/>
              <w:ind w:left="150"/>
              <w:spacing w:after="0"/>
              <w:rPr>
                <w:sz w:val="20"/>
                <w:szCs w:val="20"/>
                <w:color w:val="auto"/>
              </w:rPr>
            </w:pPr>
            <w:r>
              <w:rPr>
                <w:rFonts w:ascii="Arial" w:cs="Arial" w:eastAsia="Arial" w:hAnsi="Arial"/>
                <w:sz w:val="17"/>
                <w:szCs w:val="17"/>
                <w:color w:val="0000FF"/>
                <w:w w:val="89"/>
              </w:rPr>
              <w:t>4,668</w:t>
            </w:r>
          </w:p>
        </w:tc>
        <w:tc>
          <w:tcPr>
            <w:tcW w:w="100" w:type="dxa"/>
            <w:vAlign w:val="bottom"/>
          </w:tcPr>
          <w:p>
            <w:pPr>
              <w:spacing w:after="0"/>
              <w:rPr>
                <w:sz w:val="22"/>
                <w:szCs w:val="22"/>
                <w:color w:val="auto"/>
              </w:rPr>
            </w:pPr>
          </w:p>
        </w:tc>
        <w:tc>
          <w:tcPr>
            <w:tcW w:w="520" w:type="dxa"/>
            <w:vAlign w:val="bottom"/>
          </w:tcPr>
          <w:p>
            <w:pPr>
              <w:ind w:left="320"/>
              <w:spacing w:after="0"/>
              <w:rPr>
                <w:sz w:val="20"/>
                <w:szCs w:val="20"/>
                <w:color w:val="auto"/>
              </w:rPr>
            </w:pPr>
            <w:r>
              <w:rPr>
                <w:rFonts w:ascii="Arial" w:cs="Arial" w:eastAsia="Arial" w:hAnsi="Arial"/>
                <w:sz w:val="17"/>
                <w:szCs w:val="17"/>
                <w:color w:val="0000FF"/>
              </w:rPr>
              <w:t>D</w:t>
            </w:r>
          </w:p>
        </w:tc>
        <w:tc>
          <w:tcPr>
            <w:tcW w:w="520" w:type="dxa"/>
            <w:vAlign w:val="bottom"/>
          </w:tcPr>
          <w:p>
            <w:pPr>
              <w:jc w:val="right"/>
              <w:ind w:right="1"/>
              <w:spacing w:after="0"/>
              <w:rPr>
                <w:sz w:val="20"/>
                <w:szCs w:val="20"/>
                <w:color w:val="auto"/>
              </w:rPr>
            </w:pPr>
            <w:r>
              <w:rPr>
                <w:rFonts w:ascii="Arial" w:cs="Arial" w:eastAsia="Arial" w:hAnsi="Arial"/>
                <w:sz w:val="11"/>
                <w:szCs w:val="11"/>
                <w:color w:val="008000"/>
              </w:rPr>
              <w:t>(5)</w:t>
            </w:r>
          </w:p>
        </w:tc>
        <w:tc>
          <w:tcPr>
            <w:tcW w:w="60" w:type="dxa"/>
            <w:vAlign w:val="bottom"/>
          </w:tcPr>
          <w:p>
            <w:pPr>
              <w:spacing w:after="0"/>
              <w:rPr>
                <w:sz w:val="22"/>
                <w:szCs w:val="22"/>
                <w:color w:val="auto"/>
              </w:rPr>
            </w:pPr>
          </w:p>
        </w:tc>
        <w:tc>
          <w:tcPr>
            <w:tcW w:w="1320" w:type="dxa"/>
            <w:vAlign w:val="bottom"/>
            <w:gridSpan w:val="3"/>
          </w:tcPr>
          <w:p>
            <w:pPr>
              <w:jc w:val="right"/>
              <w:ind w:right="321"/>
              <w:spacing w:after="0"/>
              <w:rPr>
                <w:sz w:val="20"/>
                <w:szCs w:val="20"/>
                <w:color w:val="auto"/>
              </w:rPr>
            </w:pPr>
            <w:r>
              <w:rPr>
                <w:rFonts w:ascii="Arial" w:cs="Arial" w:eastAsia="Arial" w:hAnsi="Arial"/>
                <w:sz w:val="17"/>
                <w:szCs w:val="17"/>
                <w:color w:val="0000FF"/>
              </w:rPr>
              <w:t>44,031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2"/>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18"/>
              <w:spacing w:after="0"/>
              <w:rPr>
                <w:sz w:val="20"/>
                <w:szCs w:val="20"/>
                <w:color w:val="auto"/>
              </w:rPr>
            </w:pPr>
            <w:r>
              <w:rPr>
                <w:rFonts w:ascii="Arial" w:cs="Arial" w:eastAsia="Arial" w:hAnsi="Arial"/>
                <w:sz w:val="11"/>
                <w:szCs w:val="11"/>
                <w:color w:val="008000"/>
                <w:w w:val="88"/>
              </w:rPr>
              <w:t>(6)</w:t>
            </w:r>
          </w:p>
        </w:tc>
        <w:tc>
          <w:tcPr>
            <w:tcW w:w="160" w:type="dxa"/>
            <w:vAlign w:val="bottom"/>
          </w:tcPr>
          <w:p>
            <w:pPr>
              <w:spacing w:after="0"/>
              <w:rPr>
                <w:sz w:val="16"/>
                <w:szCs w:val="16"/>
                <w:color w:val="auto"/>
              </w:rPr>
            </w:pPr>
          </w:p>
        </w:tc>
        <w:tc>
          <w:tcPr>
            <w:tcW w:w="600" w:type="dxa"/>
            <w:vAlign w:val="bottom"/>
            <w:vMerge w:val="restart"/>
          </w:tcPr>
          <w:p>
            <w:pPr>
              <w:ind w:left="120"/>
              <w:spacing w:after="0"/>
              <w:rPr>
                <w:sz w:val="20"/>
                <w:szCs w:val="20"/>
                <w:color w:val="auto"/>
              </w:rPr>
            </w:pPr>
            <w:r>
              <w:rPr>
                <w:rFonts w:ascii="Arial" w:cs="Arial" w:eastAsia="Arial" w:hAnsi="Arial"/>
                <w:sz w:val="11"/>
                <w:szCs w:val="11"/>
                <w:color w:val="008000"/>
              </w:rPr>
              <w:t>(6)</w:t>
            </w: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41"/>
              <w:spacing w:after="0"/>
              <w:rPr>
                <w:sz w:val="20"/>
                <w:szCs w:val="20"/>
                <w:color w:val="auto"/>
              </w:rPr>
            </w:pPr>
            <w:r>
              <w:rPr>
                <w:rFonts w:ascii="Arial" w:cs="Arial" w:eastAsia="Arial" w:hAnsi="Arial"/>
                <w:sz w:val="17"/>
                <w:szCs w:val="17"/>
                <w:color w:val="0000FF"/>
                <w:w w:val="93"/>
              </w:rPr>
              <w:t>3,062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03/02/2023</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3,062</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20,092</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40" w:right="7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 2023, 3,062 restricted stock units vested and 922 shares of the Company's common stock were withheld to satisfy tax withholding obligations. The closing price on March 2, 2023 of theCompany's common stock on NASDAQ was $22.88 per share.</w:t>
      </w:r>
    </w:p>
    <w:p>
      <w:pPr>
        <w:spacing w:after="0" w:line="24" w:lineRule="exact"/>
        <w:rPr>
          <w:rFonts w:ascii="Arial" w:cs="Arial" w:eastAsia="Arial" w:hAnsi="Arial"/>
          <w:sz w:val="13"/>
          <w:szCs w:val="13"/>
          <w:color w:val="008000"/>
        </w:rPr>
      </w:pPr>
    </w:p>
    <w:p>
      <w:pPr>
        <w:ind w:left="40" w:right="520" w:firstLine="3"/>
        <w:spacing w:after="0" w:line="320" w:lineRule="auto"/>
        <w:tabs>
          <w:tab w:leader="none" w:pos="17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Represents shares earned by the reporting person pursuant to certain performance restricted stock units (the "PSUs"), which were granted to the reporting person on February 28, 2020. The PSUs were earnedbased on the attainment of certain performance metrics, which performance metrics were certified by the Compensation Committee of the Board of Directors of the Company on March 2, 2023.</w:t>
      </w: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performance restricted stock unit represents a right to receive one share of NVHI common stock.</w:t>
      </w:r>
    </w:p>
    <w:p>
      <w:pPr>
        <w:spacing w:after="0" w:line="45" w:lineRule="exact"/>
        <w:rPr>
          <w:rFonts w:ascii="Arial" w:cs="Arial" w:eastAsia="Arial" w:hAnsi="Arial"/>
          <w:sz w:val="13"/>
          <w:szCs w:val="13"/>
          <w:color w:val="008000"/>
        </w:rPr>
      </w:pPr>
    </w:p>
    <w:p>
      <w:pPr>
        <w:ind w:left="40" w:right="60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 2023, 15,532 PSUs vested and 4,668 shares of the Company's common stock were withheld to satisfy tax withholding obligations. The closing price on March 2, 2023 of the Company's commonstock on NASDAQ was $22.88 per share.</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 2022, the reporting person was granted 9,187 restricted stock units, vesting in three equal annual installments beginning on the first anniversary of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Jared Brandman, as</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03/06/2023</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19844"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2023-03-06T18:42:07Z</dcterms:created>
  <dcterms:modified xsi:type="dcterms:W3CDTF">2023-03-06T18:42:07Z</dcterms:modified>
</cp:coreProperties>
</file>