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63845R107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Burgundy Asset Management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3,351,452.00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4,675,539.00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4,675,539.00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2435 Commerce Avenue, Building 2200, Duluth, GA, 30096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Burgundy Asset Management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181 Bay Street, Suite 4510, Toronto, ON, M5J 2T3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Canada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63845R107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4,675,539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5.9371 %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7"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3,351,452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4,675,539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Clients for whom Burgundy Asset Management Ltd. acts as investment adviser may withdraw dividends or the proceeds from the sale of securities from the accounts managed by Burgundy Asset Management Ltd. No one client's interest in the common stock of National Vision Holdings Inc. is more than five percent of the total outstanding common shares.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7"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67" w:orient="portrait"/>
          <w:cols w:equalWidth="0" w:num="1">
            <w:col w:w="11140"/>
          </w:cols>
          <w:pgMar w:left="360" w:top="111" w:right="399" w:bottom="0" w:gutter="0" w:footer="0" w:header="0"/>
          <w:type w:val="continuous"/>
        </w:sectPr>
      </w:pPr>
    </w:p>
    <w:bookmarkStart w:id="3" w:name="page4"/>
    <w:bookmarkEnd w:id="3"/>
    <w:p>
      <w:pPr>
        <w:ind w:left="2100"/>
        <w:spacing w:after="0"/>
        <w:rPr>
          <w:sz w:val="20"/>
          <w:szCs w:val="20"/>
          <w:color w:val="auto"/>
        </w:rPr>
      </w:pPr>
      <w:r>
        <w:rPr>
          <w:rFonts w:ascii="Times New Roman" w:cs="Times New Roman" w:eastAsia="Times New Roman" w:hAnsi="Times New Roman"/>
          <w:sz w:val="22"/>
          <w:szCs w:val="22"/>
          <w:color w:val="auto"/>
        </w:rPr>
        <w:t>Burgundy Asset Management Ltd.</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Karen Mintz</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Karen Mintz, VP, CCO and Associate General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Counsel</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sectPr>
      <w:pgSz w:w="11900" w:h="16838" w:orient="portrait"/>
      <w:cols w:equalWidth="0" w:num="1">
        <w:col w:w="9680"/>
      </w:cols>
      <w:pgMar w:left="1440" w:top="477"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2025-02-13T15:08:58Z</dcterms:created>
  <dcterms:modified xsi:type="dcterms:W3CDTF">2025-02-13T15:08:58Z</dcterms:modified>
</cp:coreProperties>
</file>