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4608491944093.xml.htm"/>
      <w:bookmarkStart w:id="1" w:name="kswfform4_164608491944093"/>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Rasmussen Melissa</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NATIONAL VISION HOLDINGS,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2435 COMMERCE AVENUE, BLDG. 2200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DULUTH</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GA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30096-4980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National Vision Holdings, Inc.</w:t>
              </w:r>
            </w:hyperlink>
            <w:r>
              <w:rPr/>
              <w:t xml:space="preserve"> [ </w:t>
            </w:r>
            <w:r>
              <w:rPr>
                <w:rFonts w:ascii="Times;serif" w:hAnsi="Times;serif"/>
                <w:color w:val="0000FF"/>
                <w:sz w:val="24"/>
                <w:highlight w:val="white"/>
              </w:rPr>
              <w:t>EYE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SVP, Chief Accounting Officer</w:t>
                  </w:r>
                  <w:r>
                    <w:rPr/>
                    <w:t xml:space="preserve"> </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02/24/2022</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4"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8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02/24/2022</w:t>
            </w:r>
          </w:p>
        </w:tc>
        <w:tc>
          <w:tcPr>
            <w:tcW w:w="77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4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9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3,906</w:t>
            </w:r>
            <w:r>
              <w:rPr>
                <w:rFonts w:ascii="Times;serif" w:hAnsi="Times;serif"/>
                <w:color w:val="008000"/>
                <w:position w:val="7"/>
                <w:sz w:val="16"/>
                <w:sz w:val="20"/>
                <w:highlight w:val="white"/>
              </w:rPr>
              <w:t>(1)</w:t>
            </w:r>
            <w:r>
              <w:rPr/>
              <w:t xml:space="preserve"> </w:t>
            </w:r>
          </w:p>
        </w:tc>
        <w:tc>
          <w:tcPr>
            <w:tcW w:w="4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7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rFonts w:ascii="Times;serif" w:hAnsi="Times;serif"/>
                <w:color w:val="008000"/>
                <w:position w:val="7"/>
                <w:sz w:val="16"/>
                <w:sz w:val="20"/>
                <w:highlight w:val="white"/>
              </w:rPr>
              <w:t>(2)</w:t>
            </w:r>
            <w:r>
              <w:rPr/>
              <w:t xml:space="preserve"> </w:t>
            </w:r>
          </w:p>
        </w:tc>
        <w:tc>
          <w:tcPr>
            <w:tcW w:w="116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8,100</w:t>
            </w:r>
            <w:r>
              <w:rPr>
                <w:rFonts w:ascii="Times;serif" w:hAnsi="Times;serif"/>
                <w:color w:val="008000"/>
                <w:position w:val="7"/>
                <w:sz w:val="16"/>
                <w:sz w:val="20"/>
                <w:highlight w:val="white"/>
              </w:rPr>
              <w:t>(3)</w:t>
            </w:r>
            <w:r>
              <w:rPr/>
              <w:t xml:space="preserve"> </w:t>
            </w:r>
          </w:p>
        </w:tc>
        <w:tc>
          <w:tcPr>
            <w:tcW w:w="9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02/24/2022</w:t>
            </w:r>
          </w:p>
        </w:tc>
        <w:tc>
          <w:tcPr>
            <w:tcW w:w="77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4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9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1,315</w:t>
            </w:r>
            <w:r>
              <w:rPr>
                <w:rFonts w:ascii="Times;serif" w:hAnsi="Times;serif"/>
                <w:color w:val="008000"/>
                <w:position w:val="7"/>
                <w:sz w:val="16"/>
                <w:sz w:val="20"/>
                <w:highlight w:val="white"/>
              </w:rPr>
              <w:t>(4)</w:t>
            </w:r>
            <w:r>
              <w:rPr/>
              <w:t xml:space="preserve"> </w:t>
            </w:r>
          </w:p>
        </w:tc>
        <w:tc>
          <w:tcPr>
            <w:tcW w:w="45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5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36.64</w:t>
            </w:r>
            <w:r>
              <w:rPr/>
              <w:t xml:space="preserve"> </w:t>
            </w:r>
          </w:p>
        </w:tc>
        <w:tc>
          <w:tcPr>
            <w:tcW w:w="116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6,785</w:t>
            </w:r>
          </w:p>
        </w:tc>
        <w:tc>
          <w:tcPr>
            <w:tcW w:w="9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Represents shares earned by the reporting person pursuant to certain performance restricted stock units (the "PSUs"), which were granted to the reporting person on July 29, 2019. The PSUs were earned based on the attainment of certain performance metrics, which performance metrics were certified by the Compensation Committee of the Board of Directors of the Company on February 24, 2022.</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Each performance restricted stock unit represents a right to receive one share of the Company's common stock.</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These shares include 184 shares that were acquired pursuant to the employee stock purchase plan, which acquisitions are exempt from Section 16.</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On February 24, 2022, 3,906 PSUs vested and 1,315 shares of the Company's common stock were withheld to satisfy tax withholding obligations. The closing price on February 24, 2022 of the Company's common stock on NASDAQ was $36.64 per share.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Jared Brandman, as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02/28/2022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82487" TargetMode="External"/><Relationship Id="rId4" Type="http://schemas.openxmlformats.org/officeDocument/2006/relationships/hyperlink" Target="http://www.sec.gov/cgi-bin/browse-edgar?action=getcompany&amp;CIK=0001710155"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679</Words>
  <CharactersWithSpaces>4308</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