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38" w:lineRule="exact"/>
        <w:rPr>
          <w:sz w:val="24"/>
          <w:szCs w:val="24"/>
          <w:color w:val="auto"/>
        </w:rPr>
      </w:pPr>
    </w:p>
    <w:p>
      <w:pPr>
        <w:jc w:val="center"/>
        <w:ind w:right="-780"/>
        <w:spacing w:after="0"/>
        <w:rPr>
          <w:sz w:val="20"/>
          <w:szCs w:val="20"/>
          <w:color w:val="auto"/>
        </w:rPr>
      </w:pPr>
      <w:r>
        <w:rPr>
          <w:rFonts w:ascii="Arial" w:cs="Arial" w:eastAsia="Arial" w:hAnsi="Arial"/>
          <w:sz w:val="29"/>
          <w:szCs w:val="29"/>
          <w:b w:val="1"/>
          <w:bCs w:val="1"/>
          <w:color w:val="auto"/>
        </w:rPr>
        <w:t>UNITED STATES</w:t>
      </w:r>
    </w:p>
    <w:p>
      <w:pPr>
        <w:jc w:val="center"/>
        <w:ind w:right="-920"/>
        <w:spacing w:after="0"/>
        <w:rPr>
          <w:sz w:val="20"/>
          <w:szCs w:val="20"/>
          <w:color w:val="auto"/>
        </w:rPr>
      </w:pPr>
      <w:r>
        <w:rPr>
          <w:rFonts w:ascii="Arial" w:cs="Arial" w:eastAsia="Arial" w:hAnsi="Arial"/>
          <w:sz w:val="29"/>
          <w:szCs w:val="29"/>
          <w:b w:val="1"/>
          <w:bCs w:val="1"/>
          <w:color w:val="auto"/>
        </w:rPr>
        <w:t>SECURITIES AND EXCHANGE COMMISSION</w:t>
      </w:r>
      <w:r>
        <w:rPr>
          <w:rFonts w:ascii="Arial" w:cs="Arial" w:eastAsia="Arial" w:hAnsi="Arial"/>
          <w:sz w:val="17"/>
          <w:szCs w:val="17"/>
          <w:b w:val="1"/>
          <w:bCs w:val="1"/>
          <w:color w:val="auto"/>
        </w:rPr>
        <w:t>​</w:t>
      </w:r>
    </w:p>
    <w:p>
      <w:pPr>
        <w:spacing w:after="0" w:line="33"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WASHINGTON, D.C. 20549</w:t>
      </w:r>
    </w:p>
    <w:p>
      <w:pPr>
        <w:spacing w:after="0" w:line="206" w:lineRule="exact"/>
        <w:rPr>
          <w:sz w:val="24"/>
          <w:szCs w:val="24"/>
          <w:color w:val="auto"/>
        </w:rPr>
      </w:pPr>
    </w:p>
    <w:p>
      <w:pPr>
        <w:ind w:left="4280"/>
        <w:spacing w:after="0"/>
        <w:rPr>
          <w:sz w:val="20"/>
          <w:szCs w:val="20"/>
          <w:color w:val="auto"/>
        </w:rPr>
      </w:pPr>
      <w:r>
        <w:rPr>
          <w:rFonts w:ascii="Arial" w:cs="Arial" w:eastAsia="Arial" w:hAnsi="Arial"/>
          <w:sz w:val="29"/>
          <w:szCs w:val="29"/>
          <w:b w:val="1"/>
          <w:bCs w:val="1"/>
          <w:color w:val="auto"/>
        </w:rPr>
        <w:t>SCHEDULE 14A</w:t>
      </w:r>
      <w:r>
        <w:rPr>
          <w:rFonts w:ascii="Times New Roman" w:cs="Times New Roman" w:eastAsia="Times New Roman" w:hAnsi="Times New Roman"/>
          <w:sz w:val="17"/>
          <w:szCs w:val="17"/>
          <w:color w:val="auto"/>
        </w:rPr>
        <w:t>​</w:t>
      </w:r>
    </w:p>
    <w:p>
      <w:pPr>
        <w:spacing w:after="0" w:line="15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(Amendment No.     )</w:t>
      </w:r>
    </w:p>
    <w:p>
      <w:pPr>
        <w:spacing w:after="0" w:line="71" w:lineRule="exact"/>
        <w:rPr>
          <w:sz w:val="24"/>
          <w:szCs w:val="24"/>
          <w:color w:val="auto"/>
        </w:rPr>
      </w:pPr>
    </w:p>
    <w:p>
      <w:pPr>
        <w:ind w:left="1260"/>
        <w:spacing w:after="0" w:line="207" w:lineRule="exact"/>
        <w:tabs>
          <w:tab w:leader="none" w:pos="38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5"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1620" w:hanging="354"/>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1260" w:right="1919" w:firstLine="6"/>
        <w:spacing w:after="0" w:line="289" w:lineRule="exact"/>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70" w:lineRule="exact"/>
        <w:rPr>
          <w:rFonts w:ascii="MS PGothic" w:cs="MS PGothic" w:eastAsia="MS PGothic" w:hAnsi="MS PGothic"/>
          <w:sz w:val="18"/>
          <w:szCs w:val="18"/>
          <w:color w:val="auto"/>
        </w:rPr>
      </w:pPr>
    </w:p>
    <w:p>
      <w:pPr>
        <w:ind w:left="1620" w:hanging="354"/>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1620" w:hanging="354"/>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0" w:lineRule="exact"/>
        <w:rPr>
          <w:sz w:val="24"/>
          <w:szCs w:val="24"/>
          <w:color w:val="auto"/>
        </w:rPr>
      </w:pPr>
    </w:p>
    <w:p>
      <w:pPr>
        <w:jc w:val="center"/>
        <w:ind w:right="-920"/>
        <w:spacing w:after="0"/>
        <w:rPr>
          <w:sz w:val="20"/>
          <w:szCs w:val="20"/>
          <w:color w:val="auto"/>
        </w:rPr>
      </w:pPr>
      <w:r>
        <w:rPr>
          <w:rFonts w:ascii="Arial" w:cs="Arial" w:eastAsia="Arial" w:hAnsi="Arial"/>
          <w:sz w:val="29"/>
          <w:szCs w:val="29"/>
          <w:b w:val="1"/>
          <w:bCs w:val="1"/>
          <w:color w:val="auto"/>
        </w:rPr>
        <w:t>NATIONAL VISION HOLDINGS, INC.</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84455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5" w:lineRule="exact"/>
        <w:rPr>
          <w:sz w:val="24"/>
          <w:szCs w:val="24"/>
          <w:color w:val="auto"/>
        </w:rPr>
      </w:pPr>
    </w:p>
    <w:p>
      <w:pPr>
        <w:jc w:val="center"/>
        <w:ind w:right="-92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114"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1"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1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1620" w:hanging="354"/>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620" w:hanging="354"/>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620" w:right="439" w:hanging="354"/>
        <w:spacing w:after="0" w:line="287"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3345180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40"/>
        <w:spacing w:after="0"/>
        <w:rPr>
          <w:sz w:val="20"/>
          <w:szCs w:val="20"/>
          <w:color w:val="auto"/>
        </w:rPr>
      </w:pPr>
      <w:r>
        <w:rPr>
          <w:rFonts w:ascii="Arial" w:cs="Arial" w:eastAsia="Arial" w:hAnsi="Arial"/>
          <w:sz w:val="57"/>
          <w:szCs w:val="57"/>
          <w:b w:val="1"/>
          <w:bCs w:val="1"/>
          <w:color w:val="3C5896"/>
        </w:rPr>
        <w:t>National Vision Holdings, Inc.</w:t>
      </w:r>
    </w:p>
    <w:p>
      <w:pPr>
        <w:spacing w:after="0" w:line="200" w:lineRule="exact"/>
        <w:rPr>
          <w:sz w:val="20"/>
          <w:szCs w:val="20"/>
          <w:color w:val="auto"/>
        </w:rPr>
      </w:pPr>
    </w:p>
    <w:p>
      <w:pPr>
        <w:spacing w:after="0" w:line="234" w:lineRule="exact"/>
        <w:rPr>
          <w:sz w:val="20"/>
          <w:szCs w:val="20"/>
          <w:color w:val="auto"/>
        </w:rPr>
      </w:pPr>
    </w:p>
    <w:p>
      <w:pPr>
        <w:jc w:val="center"/>
        <w:ind w:right="-720"/>
        <w:spacing w:after="0"/>
        <w:rPr>
          <w:sz w:val="20"/>
          <w:szCs w:val="20"/>
          <w:color w:val="auto"/>
        </w:rPr>
      </w:pPr>
      <w:r>
        <w:rPr>
          <w:rFonts w:ascii="Arial" w:cs="Arial" w:eastAsia="Arial" w:hAnsi="Arial"/>
          <w:sz w:val="40"/>
          <w:szCs w:val="40"/>
          <w:color w:val="3C5896"/>
        </w:rPr>
        <w:t>2022 Proxy Statement</w:t>
      </w:r>
    </w:p>
    <w:p>
      <w:pPr>
        <w:spacing w:after="0" w:line="10" w:lineRule="exact"/>
        <w:rPr>
          <w:sz w:val="20"/>
          <w:szCs w:val="20"/>
          <w:color w:val="auto"/>
        </w:rPr>
      </w:pPr>
    </w:p>
    <w:p>
      <w:pPr>
        <w:jc w:val="center"/>
        <w:ind w:right="-840"/>
        <w:spacing w:after="0"/>
        <w:rPr>
          <w:sz w:val="20"/>
          <w:szCs w:val="20"/>
          <w:color w:val="auto"/>
        </w:rPr>
      </w:pPr>
      <w:r>
        <w:rPr>
          <w:rFonts w:ascii="Arial" w:cs="Arial" w:eastAsia="Arial" w:hAnsi="Arial"/>
          <w:sz w:val="40"/>
          <w:szCs w:val="40"/>
          <w:color w:val="3C5896"/>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1186815</wp:posOffset>
            </wp:positionV>
            <wp:extent cx="3017520" cy="2305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40"/>
        <w:spacing w:after="0"/>
        <w:rPr>
          <w:sz w:val="20"/>
          <w:szCs w:val="20"/>
          <w:color w:val="auto"/>
        </w:rPr>
      </w:pPr>
      <w:r>
        <w:rPr>
          <w:rFonts w:ascii="Arial" w:cs="Arial" w:eastAsia="Arial" w:hAnsi="Arial"/>
          <w:sz w:val="40"/>
          <w:szCs w:val="40"/>
          <w:color w:val="3C5896"/>
        </w:rPr>
        <w:t>Wednesday, June 15, 2022</w:t>
      </w:r>
    </w:p>
    <w:p>
      <w:pPr>
        <w:spacing w:after="0" w:line="64" w:lineRule="exact"/>
        <w:rPr>
          <w:sz w:val="20"/>
          <w:szCs w:val="20"/>
          <w:color w:val="auto"/>
        </w:rPr>
      </w:pPr>
    </w:p>
    <w:p>
      <w:pPr>
        <w:ind w:left="3700"/>
        <w:spacing w:after="0"/>
        <w:rPr>
          <w:sz w:val="20"/>
          <w:szCs w:val="20"/>
          <w:color w:val="auto"/>
        </w:rPr>
      </w:pPr>
      <w:r>
        <w:rPr>
          <w:rFonts w:ascii="Arial" w:cs="Arial" w:eastAsia="Arial" w:hAnsi="Arial"/>
          <w:sz w:val="32"/>
          <w:szCs w:val="32"/>
          <w:color w:val="3C5896"/>
        </w:rPr>
        <w:t>1:00 p.m. Eastern Time</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932815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TABLE OF CONTENTS</w:t>
      </w:r>
    </w:p>
    <w:p>
      <w:pPr>
        <w:spacing w:after="0" w:line="138"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7380" w:type="dxa"/>
            <w:vAlign w:val="bottom"/>
            <w:tcBorders>
              <w:bottom w:val="single" w:sz="8" w:color="3C5896"/>
            </w:tcBorders>
            <w:gridSpan w:val="7"/>
            <w:shd w:val="clear" w:color="auto" w:fill="CCEEFF"/>
          </w:tcPr>
          <w:p>
            <w:pPr>
              <w:spacing w:after="0"/>
              <w:rPr>
                <w:sz w:val="20"/>
                <w:szCs w:val="20"/>
                <w:color w:val="auto"/>
              </w:rPr>
            </w:pPr>
            <w:r>
              <w:rPr>
                <w:rFonts w:ascii="Arial" w:cs="Arial" w:eastAsia="Arial" w:hAnsi="Arial"/>
                <w:sz w:val="22"/>
                <w:szCs w:val="22"/>
                <w:b w:val="1"/>
                <w:bCs w:val="1"/>
                <w:color w:val="3C5896"/>
                <w:w w:val="98"/>
              </w:rPr>
              <w:t>Letter to Stockholders from our Chairman of the Board of Directors and</w:t>
            </w:r>
          </w:p>
        </w:tc>
        <w:tc>
          <w:tcPr>
            <w:tcW w:w="1720" w:type="dxa"/>
            <w:vAlign w:val="bottom"/>
            <w:tcBorders>
              <w:bottom w:val="single" w:sz="8" w:color="CCEEFF"/>
            </w:tcBorders>
            <w:gridSpan w:val="3"/>
            <w:vMerge w:val="restart"/>
            <w:shd w:val="clear" w:color="auto" w:fill="CCEEFF"/>
          </w:tcPr>
          <w:p>
            <w:pPr>
              <w:ind w:left="1380"/>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gridSpan w:val="2"/>
            <w:vMerge w:val="restart"/>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230"/>
        </w:trPr>
        <w:tc>
          <w:tcPr>
            <w:tcW w:w="7380" w:type="dxa"/>
            <w:vAlign w:val="bottom"/>
            <w:gridSpan w:val="7"/>
            <w:shd w:val="clear" w:color="auto" w:fill="CCEEFF"/>
          </w:tcPr>
          <w:p>
            <w:pPr>
              <w:spacing w:after="0" w:line="195" w:lineRule="exact"/>
              <w:rPr>
                <w:sz w:val="20"/>
                <w:szCs w:val="20"/>
                <w:color w:val="auto"/>
              </w:rPr>
            </w:pPr>
            <w:r>
              <w:rPr>
                <w:rFonts w:ascii="Arial" w:cs="Arial" w:eastAsia="Arial" w:hAnsi="Arial"/>
                <w:sz w:val="22"/>
                <w:szCs w:val="22"/>
                <w:b w:val="1"/>
                <w:bCs w:val="1"/>
                <w:color w:val="3C5896"/>
              </w:rPr>
              <w:t>​Chief Executive Officer</w:t>
            </w:r>
          </w:p>
        </w:tc>
        <w:tc>
          <w:tcPr>
            <w:tcW w:w="172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3C5896"/>
                <w:w w:val="79"/>
              </w:rPr>
              <w:t>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3C5896"/>
            </w:tcBorders>
            <w:shd w:val="clear" w:color="auto" w:fill="000000"/>
          </w:tcPr>
          <w:p>
            <w:pPr>
              <w:spacing w:after="0" w:line="20" w:lineRule="exact"/>
              <w:rPr>
                <w:sz w:val="1"/>
                <w:szCs w:val="1"/>
                <w:color w:val="auto"/>
              </w:rPr>
            </w:pPr>
          </w:p>
        </w:tc>
        <w:tc>
          <w:tcPr>
            <w:tcW w:w="1020" w:type="dxa"/>
            <w:vAlign w:val="bottom"/>
            <w:tcBorders>
              <w:top w:val="single" w:sz="8" w:color="3C5896"/>
            </w:tcBorders>
            <w:shd w:val="clear" w:color="auto" w:fill="000000"/>
          </w:tcPr>
          <w:p>
            <w:pPr>
              <w:spacing w:after="0" w:line="20" w:lineRule="exact"/>
              <w:rPr>
                <w:sz w:val="1"/>
                <w:szCs w:val="1"/>
                <w:color w:val="auto"/>
              </w:rPr>
            </w:pPr>
          </w:p>
        </w:tc>
        <w:tc>
          <w:tcPr>
            <w:tcW w:w="660" w:type="dxa"/>
            <w:vAlign w:val="bottom"/>
            <w:tcBorders>
              <w:top w:val="single" w:sz="8" w:color="3C5896"/>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52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2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3C5896"/>
            </w:tcBorders>
            <w:shd w:val="clear" w:color="auto" w:fill="000000"/>
          </w:tcPr>
          <w:p>
            <w:pPr>
              <w:spacing w:after="0" w:line="20" w:lineRule="exact"/>
              <w:rPr>
                <w:sz w:val="1"/>
                <w:szCs w:val="1"/>
                <w:color w:val="auto"/>
              </w:rPr>
            </w:pPr>
          </w:p>
        </w:tc>
        <w:tc>
          <w:tcPr>
            <w:tcW w:w="20" w:type="dxa"/>
            <w:vAlign w:val="bottom"/>
            <w:tcBorders>
              <w:top w:val="single" w:sz="8" w:color="3C589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0" w:type="dxa"/>
            <w:vAlign w:val="bottom"/>
          </w:tcPr>
          <w:p>
            <w:pPr>
              <w:spacing w:after="0" w:line="249" w:lineRule="exact"/>
              <w:rPr>
                <w:sz w:val="20"/>
                <w:szCs w:val="20"/>
                <w:color w:val="auto"/>
              </w:rPr>
            </w:pPr>
            <w:r>
              <w:rPr>
                <w:rFonts w:ascii="Arial" w:cs="Arial" w:eastAsia="Arial" w:hAnsi="Arial"/>
                <w:sz w:val="22"/>
                <w:szCs w:val="22"/>
                <w:b w:val="1"/>
                <w:bCs w:val="1"/>
                <w:color w:val="3C5896"/>
                <w:w w:val="98"/>
              </w:rPr>
              <w:t>Notice</w:t>
            </w:r>
            <w:r>
              <w:rPr>
                <w:rFonts w:ascii="Arial" w:cs="Arial" w:eastAsia="Arial" w:hAnsi="Arial"/>
                <w:sz w:val="17"/>
                <w:szCs w:val="17"/>
                <w:b w:val="1"/>
                <w:bCs w:val="1"/>
                <w:color w:val="3C5896"/>
                <w:w w:val="98"/>
              </w:rPr>
              <w:t>​</w:t>
            </w:r>
          </w:p>
        </w:tc>
        <w:tc>
          <w:tcPr>
            <w:tcW w:w="6700" w:type="dxa"/>
            <w:vAlign w:val="bottom"/>
            <w:gridSpan w:val="6"/>
          </w:tcPr>
          <w:p>
            <w:pPr>
              <w:ind w:left="40"/>
              <w:spacing w:after="0" w:line="249" w:lineRule="exact"/>
              <w:rPr>
                <w:sz w:val="20"/>
                <w:szCs w:val="20"/>
                <w:color w:val="auto"/>
              </w:rPr>
            </w:pPr>
            <w:r>
              <w:rPr>
                <w:rFonts w:ascii="Arial" w:cs="Arial" w:eastAsia="Arial" w:hAnsi="Arial"/>
                <w:sz w:val="22"/>
                <w:szCs w:val="22"/>
                <w:b w:val="1"/>
                <w:bCs w:val="1"/>
                <w:color w:val="3C5896"/>
              </w:rPr>
              <w:t>of Annual Meeting of Stockholders</w:t>
            </w:r>
          </w:p>
        </w:tc>
        <w:tc>
          <w:tcPr>
            <w:tcW w:w="1540" w:type="dxa"/>
            <w:vAlign w:val="bottom"/>
          </w:tcPr>
          <w:p>
            <w:pPr>
              <w:ind w:left="1380"/>
              <w:spacing w:after="0"/>
              <w:rPr>
                <w:sz w:val="20"/>
                <w:szCs w:val="20"/>
                <w:color w:val="auto"/>
              </w:rPr>
            </w:pPr>
            <w:r>
              <w:rPr>
                <w:rFonts w:ascii="Arial" w:cs="Arial" w:eastAsia="Arial" w:hAnsi="Arial"/>
                <w:sz w:val="18"/>
                <w:szCs w:val="18"/>
                <w:b w:val="1"/>
                <w:bCs w:val="1"/>
                <w:color w:val="3C5896"/>
              </w:rPr>
              <w:t>​ ​</w:t>
            </w:r>
          </w:p>
        </w:tc>
        <w:tc>
          <w:tcPr>
            <w:tcW w:w="180" w:type="dxa"/>
            <w:vAlign w:val="bottom"/>
            <w:gridSpan w:val="2"/>
            <w:vMerge w:val="restart"/>
          </w:tcPr>
          <w:p>
            <w:pPr>
              <w:spacing w:after="0"/>
              <w:rPr>
                <w:sz w:val="20"/>
                <w:szCs w:val="20"/>
                <w:color w:val="auto"/>
              </w:rPr>
            </w:pPr>
            <w:r>
              <w:rPr>
                <w:rFonts w:ascii="Arial" w:cs="Arial" w:eastAsia="Arial" w:hAnsi="Arial"/>
                <w:sz w:val="18"/>
                <w:szCs w:val="18"/>
                <w:b w:val="1"/>
                <w:bCs w:val="1"/>
                <w:color w:val="3C5896"/>
              </w:rPr>
              <w:t>​</w:t>
            </w:r>
          </w:p>
        </w:tc>
        <w:tc>
          <w:tcPr>
            <w:tcW w:w="100" w:type="dxa"/>
            <w:vAlign w:val="bottom"/>
          </w:tcPr>
          <w:p>
            <w:pPr>
              <w:spacing w:after="0"/>
              <w:rPr>
                <w:sz w:val="21"/>
                <w:szCs w:val="21"/>
                <w:color w:val="auto"/>
              </w:rPr>
            </w:pPr>
          </w:p>
        </w:tc>
        <w:tc>
          <w:tcPr>
            <w:tcW w:w="60" w:type="dxa"/>
            <w:vAlign w:val="bottom"/>
            <w:gridSpan w:val="2"/>
          </w:tcPr>
          <w:p>
            <w:pPr>
              <w:spacing w:after="0"/>
              <w:rPr>
                <w:sz w:val="20"/>
                <w:szCs w:val="20"/>
                <w:color w:val="auto"/>
              </w:rPr>
            </w:pPr>
            <w:r>
              <w:rPr>
                <w:rFonts w:ascii="Arial" w:cs="Arial" w:eastAsia="Arial" w:hAnsi="Arial"/>
                <w:sz w:val="18"/>
                <w:szCs w:val="18"/>
                <w:b w:val="1"/>
                <w:bCs w:val="1"/>
                <w:color w:val="3C5896"/>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60" w:type="dxa"/>
            <w:vAlign w:val="bottom"/>
            <w:gridSpan w:val="3"/>
          </w:tcPr>
          <w:p>
            <w:pPr>
              <w:jc w:val="right"/>
              <w:spacing w:after="0" w:line="157" w:lineRule="exact"/>
              <w:rPr>
                <w:sz w:val="20"/>
                <w:szCs w:val="20"/>
                <w:color w:val="auto"/>
              </w:rPr>
            </w:pPr>
            <w:r>
              <w:rPr>
                <w:rFonts w:ascii="Arial" w:cs="Arial" w:eastAsia="Arial" w:hAnsi="Arial"/>
                <w:sz w:val="18"/>
                <w:szCs w:val="18"/>
                <w:b w:val="1"/>
                <w:bCs w:val="1"/>
                <w:color w:val="3C5896"/>
                <w:w w:val="79"/>
              </w:rPr>
              <w:t>2</w:t>
            </w:r>
          </w:p>
        </w:tc>
        <w:tc>
          <w:tcPr>
            <w:tcW w:w="0" w:type="dxa"/>
            <w:vAlign w:val="bottom"/>
          </w:tcPr>
          <w:p>
            <w:pPr>
              <w:spacing w:after="0"/>
              <w:rPr>
                <w:sz w:val="1"/>
                <w:szCs w:val="1"/>
                <w:color w:val="auto"/>
              </w:rPr>
            </w:pPr>
          </w:p>
        </w:tc>
      </w:tr>
      <w:tr>
        <w:trPr>
          <w:trHeight w:val="20"/>
        </w:trPr>
        <w:tc>
          <w:tcPr>
            <w:tcW w:w="680" w:type="dxa"/>
            <w:vAlign w:val="bottom"/>
            <w:tcBorders>
              <w:top w:val="single" w:sz="8" w:color="3C5896"/>
              <w:bottom w:val="single" w:sz="8" w:color="auto"/>
            </w:tcBorders>
          </w:tcPr>
          <w:p>
            <w:pPr>
              <w:spacing w:after="0" w:line="20" w:lineRule="exact"/>
              <w:rPr>
                <w:sz w:val="1"/>
                <w:szCs w:val="1"/>
                <w:color w:val="auto"/>
              </w:rPr>
            </w:pPr>
          </w:p>
        </w:tc>
        <w:tc>
          <w:tcPr>
            <w:tcW w:w="1020" w:type="dxa"/>
            <w:vAlign w:val="bottom"/>
            <w:tcBorders>
              <w:top w:val="single" w:sz="8" w:color="3C5896"/>
              <w:bottom w:val="single" w:sz="8" w:color="auto"/>
            </w:tcBorders>
          </w:tcPr>
          <w:p>
            <w:pPr>
              <w:spacing w:after="0" w:line="20" w:lineRule="exact"/>
              <w:rPr>
                <w:sz w:val="1"/>
                <w:szCs w:val="1"/>
                <w:color w:val="auto"/>
              </w:rPr>
            </w:pPr>
          </w:p>
        </w:tc>
        <w:tc>
          <w:tcPr>
            <w:tcW w:w="660" w:type="dxa"/>
            <w:vAlign w:val="bottom"/>
            <w:tcBorders>
              <w:top w:val="single" w:sz="8" w:color="3C5896"/>
              <w:bottom w:val="single" w:sz="8" w:color="auto"/>
            </w:tcBorders>
          </w:tcPr>
          <w:p>
            <w:pPr>
              <w:spacing w:after="0" w:line="20" w:lineRule="exact"/>
              <w:rPr>
                <w:sz w:val="1"/>
                <w:szCs w:val="1"/>
                <w:color w:val="auto"/>
              </w:rPr>
            </w:pPr>
          </w:p>
        </w:tc>
        <w:tc>
          <w:tcPr>
            <w:tcW w:w="380" w:type="dxa"/>
            <w:vAlign w:val="bottom"/>
            <w:tcBorders>
              <w:top w:val="single" w:sz="8" w:color="3C5896"/>
              <w:bottom w:val="single" w:sz="8" w:color="auto"/>
            </w:tcBorders>
          </w:tcPr>
          <w:p>
            <w:pPr>
              <w:spacing w:after="0" w:line="20" w:lineRule="exact"/>
              <w:rPr>
                <w:sz w:val="1"/>
                <w:szCs w:val="1"/>
                <w:color w:val="auto"/>
              </w:rPr>
            </w:pPr>
          </w:p>
        </w:tc>
        <w:tc>
          <w:tcPr>
            <w:tcW w:w="1520" w:type="dxa"/>
            <w:vAlign w:val="bottom"/>
            <w:tcBorders>
              <w:top w:val="single" w:sz="8" w:color="3C5896"/>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3C5896"/>
              <w:bottom w:val="single" w:sz="8" w:color="auto"/>
            </w:tcBorders>
          </w:tcPr>
          <w:p>
            <w:pPr>
              <w:spacing w:after="0" w:line="20" w:lineRule="exact"/>
              <w:rPr>
                <w:sz w:val="1"/>
                <w:szCs w:val="1"/>
                <w:color w:val="auto"/>
              </w:rPr>
            </w:pPr>
          </w:p>
        </w:tc>
        <w:tc>
          <w:tcPr>
            <w:tcW w:w="20" w:type="dxa"/>
            <w:vAlign w:val="bottom"/>
            <w:tcBorders>
              <w:top w:val="single" w:sz="8" w:color="3C589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38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22"/>
                <w:szCs w:val="22"/>
                <w:b w:val="1"/>
                <w:bCs w:val="1"/>
                <w:color w:val="3C5896"/>
              </w:rPr>
              <w:t>​Proxy Statement Summary</w:t>
            </w:r>
          </w:p>
        </w:tc>
        <w:tc>
          <w:tcPr>
            <w:tcW w:w="1720" w:type="dxa"/>
            <w:vAlign w:val="bottom"/>
            <w:tcBorders>
              <w:bottom w:val="single" w:sz="8" w:color="CCEEFF"/>
            </w:tcBorders>
            <w:gridSpan w:val="3"/>
            <w:shd w:val="clear" w:color="auto" w:fill="CCEEFF"/>
          </w:tcPr>
          <w:p>
            <w:pPr>
              <w:ind w:left="1380"/>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p>
        </w:tc>
        <w:tc>
          <w:tcPr>
            <w:tcW w:w="100" w:type="dxa"/>
            <w:vAlign w:val="bottom"/>
            <w:tcBorders>
              <w:bottom w:val="single" w:sz="8" w:color="3C5896"/>
            </w:tcBorders>
            <w:shd w:val="clear" w:color="auto" w:fill="CCEEFF"/>
          </w:tcPr>
          <w:p>
            <w:pPr>
              <w:jc w:val="right"/>
              <w:spacing w:after="0"/>
              <w:rPr>
                <w:sz w:val="20"/>
                <w:szCs w:val="20"/>
                <w:color w:val="auto"/>
              </w:rPr>
            </w:pPr>
            <w:r>
              <w:rPr>
                <w:rFonts w:ascii="Arial" w:cs="Arial" w:eastAsia="Arial" w:hAnsi="Arial"/>
                <w:sz w:val="18"/>
                <w:szCs w:val="18"/>
                <w:b w:val="1"/>
                <w:bCs w:val="1"/>
                <w:color w:val="3C5896"/>
                <w:w w:val="79"/>
              </w:rPr>
              <w:t>3</w:t>
            </w:r>
          </w:p>
        </w:tc>
        <w:tc>
          <w:tcPr>
            <w:tcW w:w="20" w:type="dxa"/>
            <w:vAlign w:val="bottom"/>
            <w:tcBorders>
              <w:bottom w:val="single" w:sz="8" w:color="3C5896"/>
            </w:tcBorders>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440"/>
        </w:trPr>
        <w:tc>
          <w:tcPr>
            <w:tcW w:w="738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22"/>
                <w:szCs w:val="22"/>
                <w:b w:val="1"/>
                <w:bCs w:val="1"/>
                <w:color w:val="3C5896"/>
              </w:rPr>
              <w:t>​Proxy Statement</w:t>
            </w:r>
          </w:p>
        </w:tc>
        <w:tc>
          <w:tcPr>
            <w:tcW w:w="1620" w:type="dxa"/>
            <w:vAlign w:val="bottom"/>
            <w:tcBorders>
              <w:top w:val="single" w:sz="8" w:color="auto"/>
              <w:bottom w:val="single" w:sz="8" w:color="auto"/>
            </w:tcBorders>
            <w:gridSpan w:val="2"/>
          </w:tcPr>
          <w:p>
            <w:pPr>
              <w:ind w:left="1380"/>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p>
        </w:tc>
        <w:tc>
          <w:tcPr>
            <w:tcW w:w="200" w:type="dxa"/>
            <w:vAlign w:val="bottom"/>
            <w:tcBorders>
              <w:top w:val="single" w:sz="8" w:color="auto"/>
              <w:bottom w:val="single" w:sz="8" w:color="3C5896"/>
            </w:tcBorders>
            <w:gridSpan w:val="2"/>
          </w:tcPr>
          <w:p>
            <w:pPr>
              <w:jc w:val="right"/>
              <w:spacing w:after="0"/>
              <w:rPr>
                <w:sz w:val="20"/>
                <w:szCs w:val="20"/>
                <w:color w:val="auto"/>
              </w:rPr>
            </w:pPr>
            <w:r>
              <w:rPr>
                <w:rFonts w:ascii="Arial" w:cs="Arial" w:eastAsia="Arial" w:hAnsi="Arial"/>
                <w:sz w:val="18"/>
                <w:szCs w:val="18"/>
                <w:b w:val="1"/>
                <w:bCs w:val="1"/>
                <w:color w:val="3C5896"/>
                <w:w w:val="89"/>
              </w:rPr>
              <w:t>10</w:t>
            </w:r>
          </w:p>
        </w:tc>
        <w:tc>
          <w:tcPr>
            <w:tcW w:w="20" w:type="dxa"/>
            <w:vAlign w:val="bottom"/>
            <w:tcBorders>
              <w:bottom w:val="single" w:sz="8" w:color="3C5896"/>
            </w:tcBorders>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20"/>
        </w:trPr>
        <w:tc>
          <w:tcPr>
            <w:tcW w:w="680" w:type="dxa"/>
            <w:vAlign w:val="bottom"/>
            <w:tcBorders>
              <w:top w:val="single" w:sz="8" w:color="3C5896"/>
              <w:bottom w:val="single" w:sz="8" w:color="auto"/>
            </w:tcBorders>
          </w:tcPr>
          <w:p>
            <w:pPr>
              <w:spacing w:after="0" w:line="20" w:lineRule="exact"/>
              <w:rPr>
                <w:sz w:val="1"/>
                <w:szCs w:val="1"/>
                <w:color w:val="auto"/>
              </w:rPr>
            </w:pPr>
          </w:p>
        </w:tc>
        <w:tc>
          <w:tcPr>
            <w:tcW w:w="1020" w:type="dxa"/>
            <w:vAlign w:val="bottom"/>
            <w:tcBorders>
              <w:top w:val="single" w:sz="8" w:color="3C5896"/>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738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22"/>
                <w:szCs w:val="22"/>
                <w:b w:val="1"/>
                <w:bCs w:val="1"/>
                <w:color w:val="3C5896"/>
              </w:rPr>
              <w:t>​Board of Directors and Certain Governance Matters</w:t>
            </w:r>
          </w:p>
        </w:tc>
        <w:tc>
          <w:tcPr>
            <w:tcW w:w="16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p>
        </w:tc>
        <w:tc>
          <w:tcPr>
            <w:tcW w:w="200" w:type="dxa"/>
            <w:vAlign w:val="bottom"/>
            <w:tcBorders>
              <w:bottom w:val="single" w:sz="8" w:color="3C5896"/>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C5896"/>
                <w:w w:val="89"/>
              </w:rPr>
              <w:t>10</w:t>
            </w:r>
          </w:p>
        </w:tc>
        <w:tc>
          <w:tcPr>
            <w:tcW w:w="20" w:type="dxa"/>
            <w:vAlign w:val="bottom"/>
            <w:tcBorders>
              <w:bottom w:val="single" w:sz="8" w:color="3C5896"/>
            </w:tcBorders>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20"/>
        </w:trPr>
        <w:tc>
          <w:tcPr>
            <w:tcW w:w="680" w:type="dxa"/>
            <w:vAlign w:val="bottom"/>
            <w:tcBorders>
              <w:top w:val="single" w:sz="8" w:color="3C5896"/>
            </w:tcBorders>
            <w:shd w:val="clear" w:color="auto" w:fill="000000"/>
          </w:tcPr>
          <w:p>
            <w:pPr>
              <w:spacing w:after="0" w:line="20" w:lineRule="exact"/>
              <w:rPr>
                <w:sz w:val="1"/>
                <w:szCs w:val="1"/>
                <w:color w:val="auto"/>
              </w:rPr>
            </w:pPr>
          </w:p>
        </w:tc>
        <w:tc>
          <w:tcPr>
            <w:tcW w:w="1020" w:type="dxa"/>
            <w:vAlign w:val="bottom"/>
            <w:tcBorders>
              <w:top w:val="single" w:sz="8" w:color="3C5896"/>
            </w:tcBorders>
            <w:shd w:val="clear" w:color="auto" w:fill="000000"/>
          </w:tcPr>
          <w:p>
            <w:pPr>
              <w:spacing w:after="0" w:line="20" w:lineRule="exact"/>
              <w:rPr>
                <w:sz w:val="1"/>
                <w:szCs w:val="1"/>
                <w:color w:val="auto"/>
              </w:rPr>
            </w:pPr>
          </w:p>
        </w:tc>
        <w:tc>
          <w:tcPr>
            <w:tcW w:w="660" w:type="dxa"/>
            <w:vAlign w:val="bottom"/>
            <w:tcBorders>
              <w:top w:val="single" w:sz="8" w:color="3C5896"/>
            </w:tcBorders>
            <w:shd w:val="clear" w:color="auto" w:fill="000000"/>
          </w:tcPr>
          <w:p>
            <w:pPr>
              <w:spacing w:after="0" w:line="20" w:lineRule="exact"/>
              <w:rPr>
                <w:sz w:val="1"/>
                <w:szCs w:val="1"/>
                <w:color w:val="auto"/>
              </w:rPr>
            </w:pPr>
          </w:p>
        </w:tc>
        <w:tc>
          <w:tcPr>
            <w:tcW w:w="380" w:type="dxa"/>
            <w:vAlign w:val="bottom"/>
            <w:tcBorders>
              <w:top w:val="single" w:sz="8" w:color="3C5896"/>
            </w:tcBorders>
            <w:shd w:val="clear" w:color="auto" w:fill="000000"/>
          </w:tcPr>
          <w:p>
            <w:pPr>
              <w:spacing w:after="0" w:line="20" w:lineRule="exact"/>
              <w:rPr>
                <w:sz w:val="1"/>
                <w:szCs w:val="1"/>
                <w:color w:val="auto"/>
              </w:rPr>
            </w:pPr>
          </w:p>
        </w:tc>
        <w:tc>
          <w:tcPr>
            <w:tcW w:w="1520" w:type="dxa"/>
            <w:vAlign w:val="bottom"/>
            <w:tcBorders>
              <w:top w:val="single" w:sz="8" w:color="3C5896"/>
            </w:tcBorders>
            <w:shd w:val="clear" w:color="auto" w:fill="000000"/>
          </w:tcPr>
          <w:p>
            <w:pPr>
              <w:spacing w:after="0" w:line="20" w:lineRule="exact"/>
              <w:rPr>
                <w:sz w:val="1"/>
                <w:szCs w:val="1"/>
                <w:color w:val="auto"/>
              </w:rPr>
            </w:pPr>
          </w:p>
        </w:tc>
        <w:tc>
          <w:tcPr>
            <w:tcW w:w="1000" w:type="dxa"/>
            <w:vAlign w:val="bottom"/>
            <w:tcBorders>
              <w:top w:val="single" w:sz="8" w:color="3C5896"/>
            </w:tcBorders>
            <w:shd w:val="clear" w:color="auto" w:fill="000000"/>
          </w:tcPr>
          <w:p>
            <w:pPr>
              <w:spacing w:after="0" w:line="20" w:lineRule="exact"/>
              <w:rPr>
                <w:sz w:val="1"/>
                <w:szCs w:val="1"/>
                <w:color w:val="auto"/>
              </w:rPr>
            </w:pPr>
          </w:p>
        </w:tc>
        <w:tc>
          <w:tcPr>
            <w:tcW w:w="2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10020"/>
          </w:cols>
          <w:pgMar w:left="580" w:top="97" w:right="1299" w:bottom="1440" w:gutter="0" w:footer="0" w:header="0"/>
        </w:sectPr>
      </w:pPr>
    </w:p>
    <w:p>
      <w:pPr>
        <w:ind w:left="1080" w:hanging="318"/>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3C5896"/>
        </w:rPr>
        <w:t>Proposal No. 1—Election of Directors</w:t>
      </w:r>
    </w:p>
    <w:p>
      <w:pPr>
        <w:spacing w:after="0" w:line="53" w:lineRule="exact"/>
        <w:rPr>
          <w:rFonts w:ascii="Arial" w:cs="Arial" w:eastAsia="Arial" w:hAnsi="Arial"/>
          <w:sz w:val="18"/>
          <w:szCs w:val="18"/>
          <w:b w:val="1"/>
          <w:bCs w:val="1"/>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Board Oversight</w:t>
      </w:r>
    </w:p>
    <w:p>
      <w:pPr>
        <w:spacing w:after="0" w:line="28"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Director Independence</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Composition of the Board of Directors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Director Nomination Process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Leadership Structure of the Board of Directors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Board Oversight of Risk Management</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Management Succession Planning</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Executive Sessions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Board and Committee Evaluations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Communications with the Board</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Board Committees and Meetings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Committee Charters &amp; Corporate Governance Guidelines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Code of Conduct</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Hedging &amp; Pledging Policies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Transactions with Related Persons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Stockholder Engagement</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Corporate Responsibility</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Human Capital Management</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-2927985</wp:posOffset>
            </wp:positionV>
            <wp:extent cx="583755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-2619375</wp:posOffset>
            </wp:positionV>
            <wp:extent cx="583755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-2310765</wp:posOffset>
            </wp:positionV>
            <wp:extent cx="583755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-2002155</wp:posOffset>
            </wp:positionV>
            <wp:extent cx="583755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-1693545</wp:posOffset>
            </wp:positionV>
            <wp:extent cx="583755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-1384935</wp:posOffset>
            </wp:positionV>
            <wp:extent cx="583755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-1076325</wp:posOffset>
            </wp:positionV>
            <wp:extent cx="583755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-767715</wp:posOffset>
            </wp:positionV>
            <wp:extent cx="583755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-459105</wp:posOffset>
            </wp:positionV>
            <wp:extent cx="583755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-150495</wp:posOffset>
            </wp:positionV>
            <wp:extent cx="583755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7555" cy="154305"/>
                    </a:xfrm>
                    <a:prstGeom prst="rect">
                      <a:avLst/>
                    </a:prstGeom>
                    <a:noFill/>
                  </pic:spPr>
                </pic:pic>
              </a:graphicData>
            </a:graphic>
          </wp:anchor>
        </w:drawing>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12065</wp:posOffset>
            </wp:positionV>
            <wp:extent cx="583755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483870</wp:posOffset>
            </wp:positionH>
            <wp:positionV relativeFrom="paragraph">
              <wp:posOffset>-13335</wp:posOffset>
            </wp:positionV>
            <wp:extent cx="16243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38" w:lineRule="exact"/>
        <w:rPr>
          <w:sz w:val="20"/>
          <w:szCs w:val="20"/>
          <w:color w:val="auto"/>
        </w:rPr>
      </w:pPr>
    </w:p>
    <w:p>
      <w:pPr>
        <w:ind w:left="1080" w:hanging="318"/>
        <w:spacing w:after="0"/>
        <w:tabs>
          <w:tab w:leader="none" w:pos="10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3C5896"/>
        </w:rPr>
        <w:t>Proposal No. 2—Non-Binding Advisory Vote on Executive Compensation</w:t>
      </w:r>
    </w:p>
    <w:p>
      <w:pPr>
        <w:spacing w:after="0" w:line="60" w:lineRule="exact"/>
        <w:rPr>
          <w:rFonts w:ascii="Arial" w:cs="Arial" w:eastAsia="Arial" w:hAnsi="Arial"/>
          <w:sz w:val="17"/>
          <w:szCs w:val="17"/>
          <w:b w:val="1"/>
          <w:bCs w:val="1"/>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Compensation Discussion and Analysis</w:t>
      </w:r>
    </w:p>
    <w:p>
      <w:pPr>
        <w:spacing w:after="0" w:line="28"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Compensation Committee Report</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Summary Compensation Table</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Grants of Plan-Based Awards</w:t>
      </w:r>
    </w:p>
    <w:p>
      <w:pPr>
        <w:spacing w:after="0" w:line="36"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Outstanding Equity Awards at Fiscal Year End</w:t>
      </w:r>
    </w:p>
    <w:p>
      <w:pPr>
        <w:spacing w:after="0" w:line="40"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Option Exercises and Stock Vested</w:t>
      </w:r>
    </w:p>
    <w:p>
      <w:pPr>
        <w:spacing w:after="0" w:line="49"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Pension Benefits</w:t>
      </w:r>
    </w:p>
    <w:p>
      <w:pPr>
        <w:spacing w:after="0" w:line="49"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Non-Qualified Deferred Compensation</w:t>
      </w:r>
    </w:p>
    <w:p>
      <w:pPr>
        <w:spacing w:after="0" w:line="49"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Potential Payments on Termination or Change in Control</w:t>
      </w:r>
    </w:p>
    <w:p>
      <w:pPr>
        <w:spacing w:after="0" w:line="49"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Compensation Committee Interlocks and Insider Participation</w:t>
      </w:r>
    </w:p>
    <w:p>
      <w:pPr>
        <w:spacing w:after="0" w:line="49"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Equity Compensation Plan Information</w:t>
      </w:r>
    </w:p>
    <w:p>
      <w:pPr>
        <w:spacing w:after="0" w:line="49" w:lineRule="exact"/>
        <w:rPr>
          <w:rFonts w:ascii="Arial" w:cs="Arial" w:eastAsia="Arial" w:hAnsi="Arial"/>
          <w:sz w:val="18"/>
          <w:szCs w:val="18"/>
          <w:color w:val="auto"/>
        </w:rPr>
      </w:pPr>
    </w:p>
    <w:p>
      <w:pPr>
        <w:ind w:left="1080" w:hanging="318"/>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-1747520</wp:posOffset>
            </wp:positionV>
            <wp:extent cx="583755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-1438910</wp:posOffset>
            </wp:positionV>
            <wp:extent cx="583755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37555" cy="1543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-1130300</wp:posOffset>
            </wp:positionV>
            <wp:extent cx="583755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7555" cy="16319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-804545</wp:posOffset>
            </wp:positionV>
            <wp:extent cx="583755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7555" cy="1625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-478790</wp:posOffset>
            </wp:positionV>
            <wp:extent cx="583755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7555" cy="16256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-153035</wp:posOffset>
            </wp:positionV>
            <wp:extent cx="583755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755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u w:val="single" w:color="auto"/>
          <w:color w:val="0000EE"/>
        </w:rPr>
        <w:t>10</w:t>
      </w:r>
      <w:r>
        <w:rPr>
          <w:rFonts w:ascii="Arial" w:cs="Arial" w:eastAsia="Arial" w:hAnsi="Arial"/>
          <w:sz w:val="18"/>
          <w:szCs w:val="18"/>
          <w:b w:val="1"/>
          <w:bCs w:val="1"/>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14</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16</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17</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19</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21</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22</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25</w:t>
      </w: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r>
        <w:rPr>
          <w:rFonts w:ascii="Arial" w:cs="Arial" w:eastAsia="Arial" w:hAnsi="Arial"/>
          <w:sz w:val="17"/>
          <w:szCs w:val="17"/>
          <w:b w:val="1"/>
          <w:bCs w:val="1"/>
          <w:u w:val="single" w:color="auto"/>
          <w:color w:val="3C5896"/>
        </w:rPr>
        <w:t>27</w:t>
      </w:r>
      <w:r>
        <w:rPr>
          <w:rFonts w:ascii="Arial" w:cs="Arial" w:eastAsia="Arial" w:hAnsi="Arial"/>
          <w:sz w:val="22"/>
          <w:szCs w:val="22"/>
          <w:b w:val="1"/>
          <w:bCs w:val="1"/>
          <w:color w:val="3C5896"/>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u w:val="single" w:color="auto"/>
          <w:color w:val="0000EE"/>
        </w:rPr>
        <w:t>27</w:t>
      </w:r>
      <w:r>
        <w:rPr>
          <w:rFonts w:ascii="Arial" w:cs="Arial" w:eastAsia="Arial" w:hAnsi="Arial"/>
          <w:sz w:val="18"/>
          <w:szCs w:val="18"/>
          <w:b w:val="1"/>
          <w:bCs w:val="1"/>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28</w:t>
      </w:r>
      <w:r>
        <w:rPr>
          <w:rFonts w:ascii="Arial" w:cs="Arial" w:eastAsia="Arial" w:hAnsi="Arial"/>
          <w:sz w:val="18"/>
          <w:szCs w:val="18"/>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38</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39</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41</w:t>
      </w: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w:t>
      </w:r>
      <w:r>
        <w:rPr>
          <w:rFonts w:ascii="Arial" w:cs="Arial" w:eastAsia="Arial" w:hAnsi="Arial"/>
          <w:sz w:val="18"/>
          <w:szCs w:val="18"/>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43</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43</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43</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44</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46</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47</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48</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800" w:space="720"/>
            <w:col w:w="500"/>
          </w:cols>
          <w:pgMar w:left="580" w:top="97" w:right="1299" w:bottom="1440" w:gutter="0" w:footer="0" w:header="0"/>
          <w:type w:val="continuous"/>
        </w:sectPr>
      </w:pPr>
    </w:p>
    <w:p>
      <w:pPr>
        <w:spacing w:after="0" w:line="239"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760" w:type="dxa"/>
        <w:tblCellMar>
          <w:top w:w="0" w:type="dxa"/>
          <w:left w:w="0" w:type="dxa"/>
          <w:bottom w:w="0" w:type="dxa"/>
          <w:right w:w="0" w:type="dxa"/>
        </w:tblCellMar>
      </w:tblPr>
      <w:tr>
        <w:trPr>
          <w:trHeight w:val="84"/>
        </w:trPr>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220"/>
        </w:trPr>
        <w:tc>
          <w:tcPr>
            <w:tcW w:w="7940" w:type="dxa"/>
            <w:vAlign w:val="bottom"/>
            <w:tcBorders>
              <w:bottom w:val="single" w:sz="8" w:color="CCEEFF"/>
            </w:tcBorders>
            <w:gridSpan w:val="14"/>
            <w:shd w:val="clear" w:color="auto" w:fill="CCEEFF"/>
          </w:tcPr>
          <w:p>
            <w:pPr>
              <w:spacing w:after="0" w:line="169" w:lineRule="exact"/>
              <w:rPr>
                <w:sz w:val="20"/>
                <w:szCs w:val="20"/>
                <w:color w:val="auto"/>
              </w:rPr>
            </w:pPr>
            <w:r>
              <w:rPr>
                <w:rFonts w:ascii="Arial" w:cs="Arial" w:eastAsia="Arial" w:hAnsi="Arial"/>
                <w:sz w:val="19"/>
                <w:szCs w:val="19"/>
                <w:b w:val="1"/>
                <w:bCs w:val="1"/>
                <w:color w:val="3C5896"/>
              </w:rPr>
              <w:t>​Ownership of Our Securities</w:t>
            </w:r>
          </w:p>
        </w:tc>
        <w:tc>
          <w:tcPr>
            <w:tcW w:w="1060" w:type="dxa"/>
            <w:vAlign w:val="bottom"/>
            <w:tcBorders>
              <w:bottom w:val="single" w:sz="8" w:color="CCEEFF"/>
            </w:tcBorders>
            <w:shd w:val="clear" w:color="auto" w:fill="CCEEFF"/>
          </w:tcPr>
          <w:p>
            <w:pPr>
              <w:ind w:left="820"/>
              <w:spacing w:after="0" w:line="169" w:lineRule="exact"/>
              <w:rPr>
                <w:sz w:val="20"/>
                <w:szCs w:val="20"/>
                <w:color w:val="auto"/>
              </w:rPr>
            </w:pPr>
            <w:r>
              <w:rPr>
                <w:rFonts w:ascii="Arial" w:cs="Arial" w:eastAsia="Arial" w:hAnsi="Arial"/>
                <w:sz w:val="19"/>
                <w:szCs w:val="19"/>
                <w:b w:val="1"/>
                <w:bCs w:val="1"/>
                <w:color w:val="3C5896"/>
              </w:rPr>
              <w:t>​ ​</w:t>
            </w:r>
            <w:r>
              <w:rPr>
                <w:rFonts w:ascii="Arial" w:cs="Arial" w:eastAsia="Arial" w:hAnsi="Arial"/>
                <w:sz w:val="15"/>
                <w:szCs w:val="15"/>
                <w:b w:val="1"/>
                <w:bCs w:val="1"/>
                <w:color w:val="3C5896"/>
              </w:rPr>
              <w:t>​</w:t>
            </w:r>
          </w:p>
        </w:tc>
        <w:tc>
          <w:tcPr>
            <w:tcW w:w="200" w:type="dxa"/>
            <w:vAlign w:val="bottom"/>
            <w:tcBorders>
              <w:bottom w:val="single" w:sz="8" w:color="3C5896"/>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3C5896"/>
                <w:w w:val="89"/>
              </w:rPr>
              <w:t>49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3C5896"/>
            </w:tcBorders>
            <w:shd w:val="clear" w:color="auto" w:fill="000000"/>
          </w:tcPr>
          <w:p>
            <w:pPr>
              <w:spacing w:after="0" w:line="20" w:lineRule="exact"/>
              <w:rPr>
                <w:sz w:val="1"/>
                <w:szCs w:val="1"/>
                <w:color w:val="auto"/>
              </w:rPr>
            </w:pPr>
          </w:p>
        </w:tc>
        <w:tc>
          <w:tcPr>
            <w:tcW w:w="1240" w:type="dxa"/>
            <w:vAlign w:val="bottom"/>
            <w:tcBorders>
              <w:top w:val="single" w:sz="8" w:color="3C5896"/>
            </w:tcBorders>
            <w:shd w:val="clear" w:color="auto" w:fill="000000"/>
          </w:tcPr>
          <w:p>
            <w:pPr>
              <w:spacing w:after="0" w:line="20" w:lineRule="exact"/>
              <w:rPr>
                <w:sz w:val="1"/>
                <w:szCs w:val="1"/>
                <w:color w:val="auto"/>
              </w:rPr>
            </w:pPr>
          </w:p>
        </w:tc>
        <w:tc>
          <w:tcPr>
            <w:tcW w:w="980" w:type="dxa"/>
            <w:vAlign w:val="bottom"/>
            <w:tcBorders>
              <w:top w:val="single" w:sz="8" w:color="3C5896"/>
            </w:tcBorders>
            <w:shd w:val="clear" w:color="auto" w:fill="000000"/>
          </w:tcPr>
          <w:p>
            <w:pPr>
              <w:spacing w:after="0" w:line="20" w:lineRule="exact"/>
              <w:rPr>
                <w:sz w:val="1"/>
                <w:szCs w:val="1"/>
                <w:color w:val="auto"/>
              </w:rPr>
            </w:pPr>
          </w:p>
        </w:tc>
        <w:tc>
          <w:tcPr>
            <w:tcW w:w="200" w:type="dxa"/>
            <w:vAlign w:val="bottom"/>
            <w:tcBorders>
              <w:top w:val="single" w:sz="8" w:color="3C5896"/>
            </w:tcBorders>
            <w:shd w:val="clear" w:color="auto" w:fill="000000"/>
          </w:tcPr>
          <w:p>
            <w:pPr>
              <w:spacing w:after="0" w:line="20" w:lineRule="exact"/>
              <w:rPr>
                <w:sz w:val="1"/>
                <w:szCs w:val="1"/>
                <w:color w:val="auto"/>
              </w:rPr>
            </w:pPr>
          </w:p>
        </w:tc>
        <w:tc>
          <w:tcPr>
            <w:tcW w:w="160" w:type="dxa"/>
            <w:vAlign w:val="bottom"/>
            <w:tcBorders>
              <w:top w:val="single" w:sz="8" w:color="3C5896"/>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gridSpan w:val="14"/>
          </w:tcPr>
          <w:p>
            <w:pPr>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Delinquent Section 16(a) Reports</w:t>
            </w:r>
          </w:p>
        </w:tc>
        <w:tc>
          <w:tcPr>
            <w:tcW w:w="1320" w:type="dxa"/>
            <w:vAlign w:val="bottom"/>
            <w:gridSpan w:val="3"/>
          </w:tcPr>
          <w:p>
            <w:pPr>
              <w:ind w:left="820"/>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gridSpan w:val="14"/>
            <w:shd w:val="clear" w:color="auto" w:fill="CCEEFF"/>
          </w:tcPr>
          <w:p>
            <w:pPr>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Beneficial Ownership of National Vision Common Stock</w:t>
            </w:r>
          </w:p>
        </w:tc>
        <w:tc>
          <w:tcPr>
            <w:tcW w:w="1260" w:type="dxa"/>
            <w:vAlign w:val="bottom"/>
            <w:gridSpan w:val="2"/>
            <w:shd w:val="clear" w:color="auto" w:fill="CCEEFF"/>
          </w:tcPr>
          <w:p>
            <w:pPr>
              <w:ind w:left="820"/>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49</w:t>
            </w:r>
          </w:p>
        </w:tc>
        <w:tc>
          <w:tcPr>
            <w:tcW w:w="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2"/>
        </w:trPr>
        <w:tc>
          <w:tcPr>
            <w:tcW w:w="7940" w:type="dxa"/>
            <w:vAlign w:val="bottom"/>
            <w:gridSpan w:val="14"/>
          </w:tcPr>
          <w:p>
            <w:pPr>
              <w:spacing w:after="0"/>
              <w:rPr>
                <w:sz w:val="20"/>
                <w:szCs w:val="20"/>
                <w:color w:val="auto"/>
              </w:rPr>
            </w:pPr>
            <w:r>
              <w:rPr>
                <w:rFonts w:ascii="Arial" w:cs="Arial" w:eastAsia="Arial" w:hAnsi="Arial"/>
                <w:sz w:val="22"/>
                <w:szCs w:val="22"/>
                <w:b w:val="1"/>
                <w:bCs w:val="1"/>
                <w:color w:val="3C5896"/>
              </w:rPr>
              <w:t>​Audit Committee Matters</w:t>
            </w:r>
          </w:p>
        </w:tc>
        <w:tc>
          <w:tcPr>
            <w:tcW w:w="1060" w:type="dxa"/>
            <w:vAlign w:val="bottom"/>
          </w:tcPr>
          <w:p>
            <w:pPr>
              <w:ind w:left="820"/>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p>
        </w:tc>
        <w:tc>
          <w:tcPr>
            <w:tcW w:w="200" w:type="dxa"/>
            <w:vAlign w:val="bottom"/>
            <w:tcBorders>
              <w:bottom w:val="single" w:sz="8" w:color="3C5896"/>
            </w:tcBorders>
          </w:tcPr>
          <w:p>
            <w:pPr>
              <w:jc w:val="right"/>
              <w:spacing w:after="0"/>
              <w:rPr>
                <w:sz w:val="20"/>
                <w:szCs w:val="20"/>
                <w:color w:val="auto"/>
              </w:rPr>
            </w:pPr>
            <w:r>
              <w:rPr>
                <w:rFonts w:ascii="Arial" w:cs="Arial" w:eastAsia="Arial" w:hAnsi="Arial"/>
                <w:sz w:val="18"/>
                <w:szCs w:val="18"/>
                <w:b w:val="1"/>
                <w:bCs w:val="1"/>
                <w:color w:val="3C5896"/>
                <w:w w:val="89"/>
              </w:rPr>
              <w:t>52</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20"/>
        </w:trPr>
        <w:tc>
          <w:tcPr>
            <w:tcW w:w="320" w:type="dxa"/>
            <w:vAlign w:val="bottom"/>
            <w:tcBorders>
              <w:top w:val="single" w:sz="8" w:color="3C5896"/>
              <w:bottom w:val="single" w:sz="8" w:color="auto"/>
            </w:tcBorders>
          </w:tcPr>
          <w:p>
            <w:pPr>
              <w:spacing w:after="0" w:line="20" w:lineRule="exact"/>
              <w:rPr>
                <w:sz w:val="1"/>
                <w:szCs w:val="1"/>
                <w:color w:val="auto"/>
              </w:rPr>
            </w:pPr>
          </w:p>
        </w:tc>
        <w:tc>
          <w:tcPr>
            <w:tcW w:w="1240" w:type="dxa"/>
            <w:vAlign w:val="bottom"/>
            <w:tcBorders>
              <w:top w:val="single" w:sz="8" w:color="3C5896"/>
              <w:bottom w:val="single" w:sz="8" w:color="auto"/>
            </w:tcBorders>
          </w:tcPr>
          <w:p>
            <w:pPr>
              <w:spacing w:after="0" w:line="20" w:lineRule="exact"/>
              <w:rPr>
                <w:sz w:val="1"/>
                <w:szCs w:val="1"/>
                <w:color w:val="auto"/>
              </w:rPr>
            </w:pPr>
          </w:p>
        </w:tc>
        <w:tc>
          <w:tcPr>
            <w:tcW w:w="980" w:type="dxa"/>
            <w:vAlign w:val="bottom"/>
            <w:tcBorders>
              <w:top w:val="single" w:sz="8" w:color="3C5896"/>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gridSpan w:val="14"/>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b w:val="1"/>
                <w:bCs w:val="1"/>
                <w:color w:val="3C5896"/>
              </w:rPr>
              <w:t>Proposal No. 3—Ratification of Independent Registered Public Accounting Firm</w:t>
            </w:r>
          </w:p>
        </w:tc>
        <w:tc>
          <w:tcPr>
            <w:tcW w:w="1260" w:type="dxa"/>
            <w:vAlign w:val="bottom"/>
            <w:gridSpan w:val="2"/>
            <w:shd w:val="clear" w:color="auto" w:fill="CCEEFF"/>
          </w:tcPr>
          <w:p>
            <w:pPr>
              <w:ind w:left="820"/>
              <w:spacing w:after="0" w:line="182" w:lineRule="exact"/>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0000EE"/>
              </w:rPr>
              <w:t>52</w:t>
            </w:r>
          </w:p>
        </w:tc>
        <w:tc>
          <w:tcPr>
            <w:tcW w:w="60" w:type="dxa"/>
            <w:vAlign w:val="bottom"/>
          </w:tcPr>
          <w:p>
            <w:pPr>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1240" w:type="dxa"/>
            <w:vAlign w:val="bottom"/>
            <w:shd w:val="clear" w:color="auto" w:fill="3C5896"/>
          </w:tcPr>
          <w:p>
            <w:pPr>
              <w:spacing w:after="0"/>
              <w:rPr>
                <w:sz w:val="2"/>
                <w:szCs w:val="2"/>
                <w:color w:val="auto"/>
              </w:rPr>
            </w:pPr>
          </w:p>
        </w:tc>
        <w:tc>
          <w:tcPr>
            <w:tcW w:w="980" w:type="dxa"/>
            <w:vAlign w:val="bottom"/>
            <w:shd w:val="clear" w:color="auto" w:fill="3C5896"/>
          </w:tcPr>
          <w:p>
            <w:pPr>
              <w:spacing w:after="0"/>
              <w:rPr>
                <w:sz w:val="2"/>
                <w:szCs w:val="2"/>
                <w:color w:val="auto"/>
              </w:rPr>
            </w:pPr>
          </w:p>
        </w:tc>
        <w:tc>
          <w:tcPr>
            <w:tcW w:w="200" w:type="dxa"/>
            <w:vAlign w:val="bottom"/>
            <w:shd w:val="clear" w:color="auto" w:fill="3C5896"/>
          </w:tcPr>
          <w:p>
            <w:pPr>
              <w:spacing w:after="0"/>
              <w:rPr>
                <w:sz w:val="2"/>
                <w:szCs w:val="2"/>
                <w:color w:val="auto"/>
              </w:rPr>
            </w:pPr>
          </w:p>
        </w:tc>
        <w:tc>
          <w:tcPr>
            <w:tcW w:w="160" w:type="dxa"/>
            <w:vAlign w:val="bottom"/>
            <w:shd w:val="clear" w:color="auto" w:fill="3C5896"/>
          </w:tcPr>
          <w:p>
            <w:pPr>
              <w:spacing w:after="0"/>
              <w:rPr>
                <w:sz w:val="2"/>
                <w:szCs w:val="2"/>
                <w:color w:val="auto"/>
              </w:rPr>
            </w:pPr>
          </w:p>
        </w:tc>
        <w:tc>
          <w:tcPr>
            <w:tcW w:w="80" w:type="dxa"/>
            <w:vAlign w:val="bottom"/>
            <w:shd w:val="clear" w:color="auto" w:fill="3C5896"/>
          </w:tcPr>
          <w:p>
            <w:pPr>
              <w:spacing w:after="0"/>
              <w:rPr>
                <w:sz w:val="2"/>
                <w:szCs w:val="2"/>
                <w:color w:val="auto"/>
              </w:rPr>
            </w:pPr>
          </w:p>
        </w:tc>
        <w:tc>
          <w:tcPr>
            <w:tcW w:w="600" w:type="dxa"/>
            <w:vAlign w:val="bottom"/>
            <w:shd w:val="clear" w:color="auto" w:fill="3C5896"/>
          </w:tcPr>
          <w:p>
            <w:pPr>
              <w:spacing w:after="0"/>
              <w:rPr>
                <w:sz w:val="2"/>
                <w:szCs w:val="2"/>
                <w:color w:val="auto"/>
              </w:rPr>
            </w:pPr>
          </w:p>
        </w:tc>
        <w:tc>
          <w:tcPr>
            <w:tcW w:w="840" w:type="dxa"/>
            <w:vAlign w:val="bottom"/>
            <w:shd w:val="clear" w:color="auto" w:fill="3C5896"/>
          </w:tcPr>
          <w:p>
            <w:pPr>
              <w:spacing w:after="0"/>
              <w:rPr>
                <w:sz w:val="2"/>
                <w:szCs w:val="2"/>
                <w:color w:val="auto"/>
              </w:rPr>
            </w:pPr>
          </w:p>
        </w:tc>
        <w:tc>
          <w:tcPr>
            <w:tcW w:w="140" w:type="dxa"/>
            <w:vAlign w:val="bottom"/>
            <w:shd w:val="clear" w:color="auto" w:fill="3C5896"/>
          </w:tcPr>
          <w:p>
            <w:pPr>
              <w:spacing w:after="0"/>
              <w:rPr>
                <w:sz w:val="2"/>
                <w:szCs w:val="2"/>
                <w:color w:val="auto"/>
              </w:rPr>
            </w:pPr>
          </w:p>
        </w:tc>
        <w:tc>
          <w:tcPr>
            <w:tcW w:w="160" w:type="dxa"/>
            <w:vAlign w:val="bottom"/>
            <w:shd w:val="clear" w:color="auto" w:fill="3C5896"/>
          </w:tcPr>
          <w:p>
            <w:pPr>
              <w:spacing w:after="0"/>
              <w:rPr>
                <w:sz w:val="2"/>
                <w:szCs w:val="2"/>
                <w:color w:val="auto"/>
              </w:rPr>
            </w:pPr>
          </w:p>
        </w:tc>
        <w:tc>
          <w:tcPr>
            <w:tcW w:w="500" w:type="dxa"/>
            <w:vAlign w:val="bottom"/>
            <w:shd w:val="clear" w:color="auto" w:fill="3C5896"/>
          </w:tcPr>
          <w:p>
            <w:pPr>
              <w:spacing w:after="0"/>
              <w:rPr>
                <w:sz w:val="2"/>
                <w:szCs w:val="2"/>
                <w:color w:val="auto"/>
              </w:rPr>
            </w:pPr>
          </w:p>
        </w:tc>
        <w:tc>
          <w:tcPr>
            <w:tcW w:w="700" w:type="dxa"/>
            <w:vAlign w:val="bottom"/>
            <w:shd w:val="clear" w:color="auto" w:fill="3C5896"/>
          </w:tcPr>
          <w:p>
            <w:pPr>
              <w:spacing w:after="0"/>
              <w:rPr>
                <w:sz w:val="2"/>
                <w:szCs w:val="2"/>
                <w:color w:val="auto"/>
              </w:rPr>
            </w:pPr>
          </w:p>
        </w:tc>
        <w:tc>
          <w:tcPr>
            <w:tcW w:w="1180" w:type="dxa"/>
            <w:vAlign w:val="bottom"/>
            <w:shd w:val="clear" w:color="auto" w:fill="3C5896"/>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gridSpan w:val="14"/>
          </w:tcPr>
          <w:p>
            <w:pPr>
              <w:spacing w:after="0" w:line="18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Report of the Audit Committee</w:t>
            </w:r>
          </w:p>
        </w:tc>
        <w:tc>
          <w:tcPr>
            <w:tcW w:w="1320" w:type="dxa"/>
            <w:vAlign w:val="bottom"/>
            <w:gridSpan w:val="3"/>
          </w:tcPr>
          <w:p>
            <w:pPr>
              <w:ind w:left="820"/>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7"/>
        </w:trPr>
        <w:tc>
          <w:tcPr>
            <w:tcW w:w="794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22"/>
                <w:szCs w:val="22"/>
                <w:b w:val="1"/>
                <w:bCs w:val="1"/>
                <w:color w:val="3C5896"/>
              </w:rPr>
              <w:t>​Important Information About Voting at the Annual Meeting</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p>
        </w:tc>
        <w:tc>
          <w:tcPr>
            <w:tcW w:w="200" w:type="dxa"/>
            <w:vAlign w:val="bottom"/>
            <w:tcBorders>
              <w:bottom w:val="single" w:sz="8" w:color="3C5896"/>
            </w:tcBorders>
            <w:shd w:val="clear" w:color="auto" w:fill="CCEEFF"/>
          </w:tcPr>
          <w:p>
            <w:pPr>
              <w:jc w:val="right"/>
              <w:spacing w:after="0"/>
              <w:rPr>
                <w:sz w:val="20"/>
                <w:szCs w:val="20"/>
                <w:color w:val="auto"/>
              </w:rPr>
            </w:pPr>
            <w:r>
              <w:rPr>
                <w:rFonts w:ascii="Arial" w:cs="Arial" w:eastAsia="Arial" w:hAnsi="Arial"/>
                <w:sz w:val="18"/>
                <w:szCs w:val="18"/>
                <w:b w:val="1"/>
                <w:bCs w:val="1"/>
                <w:color w:val="3C5896"/>
                <w:w w:val="89"/>
              </w:rPr>
              <w:t>54</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453"/>
        </w:trPr>
        <w:tc>
          <w:tcPr>
            <w:tcW w:w="7940" w:type="dxa"/>
            <w:vAlign w:val="bottom"/>
            <w:tcBorders>
              <w:top w:val="single" w:sz="8" w:color="auto"/>
              <w:bottom w:val="single" w:sz="8" w:color="auto"/>
            </w:tcBorders>
            <w:gridSpan w:val="14"/>
          </w:tcPr>
          <w:p>
            <w:pPr>
              <w:spacing w:after="0"/>
              <w:rPr>
                <w:sz w:val="20"/>
                <w:szCs w:val="20"/>
                <w:color w:val="auto"/>
              </w:rPr>
            </w:pPr>
            <w:r>
              <w:rPr>
                <w:rFonts w:ascii="Arial" w:cs="Arial" w:eastAsia="Arial" w:hAnsi="Arial"/>
                <w:sz w:val="22"/>
                <w:szCs w:val="22"/>
                <w:b w:val="1"/>
                <w:bCs w:val="1"/>
                <w:color w:val="3C5896"/>
              </w:rPr>
              <w:t>​Other Information for Stockholders</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p>
        </w:tc>
        <w:tc>
          <w:tcPr>
            <w:tcW w:w="200" w:type="dxa"/>
            <w:vAlign w:val="bottom"/>
            <w:tcBorders>
              <w:top w:val="single" w:sz="8" w:color="auto"/>
              <w:bottom w:val="single" w:sz="8" w:color="3C5896"/>
            </w:tcBorders>
          </w:tcPr>
          <w:p>
            <w:pPr>
              <w:jc w:val="right"/>
              <w:spacing w:after="0"/>
              <w:rPr>
                <w:sz w:val="20"/>
                <w:szCs w:val="20"/>
                <w:color w:val="auto"/>
              </w:rPr>
            </w:pPr>
            <w:r>
              <w:rPr>
                <w:rFonts w:ascii="Arial" w:cs="Arial" w:eastAsia="Arial" w:hAnsi="Arial"/>
                <w:sz w:val="18"/>
                <w:szCs w:val="18"/>
                <w:b w:val="1"/>
                <w:bCs w:val="1"/>
                <w:color w:val="3C5896"/>
                <w:w w:val="89"/>
              </w:rPr>
              <w:t>56</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20"/>
        </w:trPr>
        <w:tc>
          <w:tcPr>
            <w:tcW w:w="320" w:type="dxa"/>
            <w:vAlign w:val="bottom"/>
            <w:tcBorders>
              <w:top w:val="single" w:sz="8" w:color="3C5896"/>
              <w:bottom w:val="single" w:sz="8" w:color="auto"/>
            </w:tcBorders>
          </w:tcPr>
          <w:p>
            <w:pPr>
              <w:spacing w:after="0" w:line="20" w:lineRule="exact"/>
              <w:rPr>
                <w:sz w:val="1"/>
                <w:szCs w:val="1"/>
                <w:color w:val="auto"/>
              </w:rPr>
            </w:pPr>
          </w:p>
        </w:tc>
        <w:tc>
          <w:tcPr>
            <w:tcW w:w="1240" w:type="dxa"/>
            <w:vAlign w:val="bottom"/>
            <w:tcBorders>
              <w:top w:val="single" w:sz="8" w:color="3C5896"/>
              <w:bottom w:val="single" w:sz="8" w:color="auto"/>
            </w:tcBorders>
          </w:tcPr>
          <w:p>
            <w:pPr>
              <w:spacing w:after="0" w:line="20" w:lineRule="exact"/>
              <w:rPr>
                <w:sz w:val="1"/>
                <w:szCs w:val="1"/>
                <w:color w:val="auto"/>
              </w:rPr>
            </w:pPr>
          </w:p>
        </w:tc>
        <w:tc>
          <w:tcPr>
            <w:tcW w:w="980" w:type="dxa"/>
            <w:vAlign w:val="bottom"/>
            <w:tcBorders>
              <w:top w:val="single" w:sz="8" w:color="3C5896"/>
              <w:bottom w:val="single" w:sz="8" w:color="auto"/>
            </w:tcBorders>
          </w:tcPr>
          <w:p>
            <w:pPr>
              <w:spacing w:after="0" w:line="20" w:lineRule="exact"/>
              <w:rPr>
                <w:sz w:val="1"/>
                <w:szCs w:val="1"/>
                <w:color w:val="auto"/>
              </w:rPr>
            </w:pPr>
          </w:p>
        </w:tc>
        <w:tc>
          <w:tcPr>
            <w:tcW w:w="200" w:type="dxa"/>
            <w:vAlign w:val="bottom"/>
            <w:tcBorders>
              <w:top w:val="single" w:sz="8" w:color="3C5896"/>
              <w:bottom w:val="single" w:sz="8" w:color="auto"/>
            </w:tcBorders>
          </w:tcPr>
          <w:p>
            <w:pPr>
              <w:spacing w:after="0" w:line="20" w:lineRule="exact"/>
              <w:rPr>
                <w:sz w:val="1"/>
                <w:szCs w:val="1"/>
                <w:color w:val="auto"/>
              </w:rPr>
            </w:pPr>
          </w:p>
        </w:tc>
        <w:tc>
          <w:tcPr>
            <w:tcW w:w="160" w:type="dxa"/>
            <w:vAlign w:val="bottom"/>
            <w:tcBorders>
              <w:top w:val="single" w:sz="8" w:color="3C5896"/>
              <w:bottom w:val="single" w:sz="8" w:color="auto"/>
            </w:tcBorders>
          </w:tcPr>
          <w:p>
            <w:pPr>
              <w:spacing w:after="0" w:line="20" w:lineRule="exact"/>
              <w:rPr>
                <w:sz w:val="1"/>
                <w:szCs w:val="1"/>
                <w:color w:val="auto"/>
              </w:rPr>
            </w:pPr>
          </w:p>
        </w:tc>
        <w:tc>
          <w:tcPr>
            <w:tcW w:w="80" w:type="dxa"/>
            <w:vAlign w:val="bottom"/>
            <w:tcBorders>
              <w:top w:val="single" w:sz="8" w:color="3C5896"/>
              <w:bottom w:val="single" w:sz="8" w:color="auto"/>
            </w:tcBorders>
          </w:tcPr>
          <w:p>
            <w:pPr>
              <w:spacing w:after="0" w:line="20" w:lineRule="exact"/>
              <w:rPr>
                <w:sz w:val="1"/>
                <w:szCs w:val="1"/>
                <w:color w:val="auto"/>
              </w:rPr>
            </w:pPr>
          </w:p>
        </w:tc>
        <w:tc>
          <w:tcPr>
            <w:tcW w:w="600" w:type="dxa"/>
            <w:vAlign w:val="bottom"/>
            <w:tcBorders>
              <w:top w:val="single" w:sz="8" w:color="3C5896"/>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gridSpan w:val="14"/>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Stockholder Proposals for the 2023 Annual Meeting</w:t>
            </w:r>
          </w:p>
        </w:tc>
        <w:tc>
          <w:tcPr>
            <w:tcW w:w="1260" w:type="dxa"/>
            <w:vAlign w:val="bottom"/>
            <w:gridSpan w:val="2"/>
            <w:shd w:val="clear" w:color="auto" w:fill="CCEEFF"/>
          </w:tcPr>
          <w:p>
            <w:pPr>
              <w:ind w:left="8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56</w:t>
            </w: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14"/>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Householding of Proxy Materials</w:t>
            </w:r>
          </w:p>
        </w:tc>
        <w:tc>
          <w:tcPr>
            <w:tcW w:w="1320" w:type="dxa"/>
            <w:vAlign w:val="bottom"/>
            <w:gridSpan w:val="3"/>
          </w:tcPr>
          <w:p>
            <w:pPr>
              <w:ind w:left="8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14"/>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Other Business</w:t>
            </w:r>
          </w:p>
        </w:tc>
        <w:tc>
          <w:tcPr>
            <w:tcW w:w="1260" w:type="dxa"/>
            <w:vAlign w:val="bottom"/>
            <w:gridSpan w:val="2"/>
            <w:shd w:val="clear" w:color="auto" w:fill="CCEEFF"/>
          </w:tcPr>
          <w:p>
            <w:pPr>
              <w:ind w:left="8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56</w:t>
            </w:r>
          </w:p>
        </w:tc>
        <w:tc>
          <w:tcPr>
            <w:tcW w:w="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14"/>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Questions and Answers About the Annual Meeting and Voting</w:t>
            </w:r>
          </w:p>
        </w:tc>
        <w:tc>
          <w:tcPr>
            <w:tcW w:w="1320" w:type="dxa"/>
            <w:vAlign w:val="bottom"/>
            <w:gridSpan w:val="3"/>
          </w:tcPr>
          <w:p>
            <w:pPr>
              <w:ind w:left="8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1"/>
        </w:trPr>
        <w:tc>
          <w:tcPr>
            <w:tcW w:w="794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22"/>
                <w:szCs w:val="22"/>
                <w:b w:val="1"/>
                <w:bCs w:val="1"/>
                <w:color w:val="3C5896"/>
              </w:rPr>
              <w:t>​Appendix A—Non-GAAP Financial Measures</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22"/>
                <w:szCs w:val="22"/>
                <w:b w:val="1"/>
                <w:bCs w:val="1"/>
                <w:color w:val="3C5896"/>
              </w:rPr>
              <w:t>​ ​</w:t>
            </w:r>
            <w:r>
              <w:rPr>
                <w:rFonts w:ascii="Arial" w:cs="Arial" w:eastAsia="Arial" w:hAnsi="Arial"/>
                <w:sz w:val="17"/>
                <w:szCs w:val="17"/>
                <w:b w:val="1"/>
                <w:bCs w:val="1"/>
                <w:color w:val="3C5896"/>
              </w:rPr>
              <w:t>​</w:t>
            </w:r>
          </w:p>
        </w:tc>
        <w:tc>
          <w:tcPr>
            <w:tcW w:w="200" w:type="dxa"/>
            <w:vAlign w:val="bottom"/>
            <w:tcBorders>
              <w:bottom w:val="single" w:sz="8" w:color="3C5896"/>
            </w:tcBorders>
            <w:shd w:val="clear" w:color="auto" w:fill="CCEEFF"/>
          </w:tcPr>
          <w:p>
            <w:pPr>
              <w:jc w:val="right"/>
              <w:spacing w:after="0"/>
              <w:rPr>
                <w:sz w:val="20"/>
                <w:szCs w:val="20"/>
                <w:color w:val="auto"/>
              </w:rPr>
            </w:pPr>
            <w:r>
              <w:rPr>
                <w:rFonts w:ascii="Arial" w:cs="Arial" w:eastAsia="Arial" w:hAnsi="Arial"/>
                <w:sz w:val="18"/>
                <w:szCs w:val="18"/>
                <w:b w:val="1"/>
                <w:bCs w:val="1"/>
                <w:color w:val="3C5896"/>
                <w:w w:val="89"/>
              </w:rPr>
              <w:t>60</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c>
          <w:tcPr>
            <w:tcW w:w="0" w:type="dxa"/>
            <w:vAlign w:val="bottom"/>
          </w:tcPr>
          <w:p>
            <w:pPr>
              <w:spacing w:after="0"/>
              <w:rPr>
                <w:sz w:val="1"/>
                <w:szCs w:val="1"/>
                <w:color w:val="auto"/>
              </w:rPr>
            </w:pPr>
          </w:p>
        </w:tc>
      </w:tr>
      <w:tr>
        <w:trPr>
          <w:trHeight w:val="20"/>
        </w:trPr>
        <w:tc>
          <w:tcPr>
            <w:tcW w:w="320" w:type="dxa"/>
            <w:vAlign w:val="bottom"/>
            <w:tcBorders>
              <w:top w:val="single" w:sz="8" w:color="3C5896"/>
            </w:tcBorders>
            <w:shd w:val="clear" w:color="auto" w:fill="000000"/>
          </w:tcPr>
          <w:p>
            <w:pPr>
              <w:spacing w:after="0" w:line="20" w:lineRule="exact"/>
              <w:rPr>
                <w:sz w:val="1"/>
                <w:szCs w:val="1"/>
                <w:color w:val="auto"/>
              </w:rPr>
            </w:pPr>
          </w:p>
        </w:tc>
        <w:tc>
          <w:tcPr>
            <w:tcW w:w="1240" w:type="dxa"/>
            <w:vAlign w:val="bottom"/>
            <w:tcBorders>
              <w:top w:val="single" w:sz="8" w:color="3C5896"/>
            </w:tcBorders>
            <w:shd w:val="clear" w:color="auto" w:fill="000000"/>
          </w:tcPr>
          <w:p>
            <w:pPr>
              <w:spacing w:after="0" w:line="20" w:lineRule="exact"/>
              <w:rPr>
                <w:sz w:val="1"/>
                <w:szCs w:val="1"/>
                <w:color w:val="auto"/>
              </w:rPr>
            </w:pPr>
          </w:p>
        </w:tc>
        <w:tc>
          <w:tcPr>
            <w:tcW w:w="980" w:type="dxa"/>
            <w:vAlign w:val="bottom"/>
            <w:tcBorders>
              <w:top w:val="single" w:sz="8" w:color="3C5896"/>
            </w:tcBorders>
            <w:shd w:val="clear" w:color="auto" w:fill="000000"/>
          </w:tcPr>
          <w:p>
            <w:pPr>
              <w:spacing w:after="0" w:line="20" w:lineRule="exact"/>
              <w:rPr>
                <w:sz w:val="1"/>
                <w:szCs w:val="1"/>
                <w:color w:val="auto"/>
              </w:rPr>
            </w:pPr>
          </w:p>
        </w:tc>
        <w:tc>
          <w:tcPr>
            <w:tcW w:w="200" w:type="dxa"/>
            <w:vAlign w:val="bottom"/>
            <w:tcBorders>
              <w:top w:val="single" w:sz="8" w:color="3C5896"/>
            </w:tcBorders>
            <w:shd w:val="clear" w:color="auto" w:fill="000000"/>
          </w:tcPr>
          <w:p>
            <w:pPr>
              <w:spacing w:after="0" w:line="20" w:lineRule="exact"/>
              <w:rPr>
                <w:sz w:val="1"/>
                <w:szCs w:val="1"/>
                <w:color w:val="auto"/>
              </w:rPr>
            </w:pPr>
          </w:p>
        </w:tc>
        <w:tc>
          <w:tcPr>
            <w:tcW w:w="160" w:type="dxa"/>
            <w:vAlign w:val="bottom"/>
            <w:tcBorders>
              <w:top w:val="single" w:sz="8" w:color="3C5896"/>
            </w:tcBorders>
            <w:shd w:val="clear" w:color="auto" w:fill="000000"/>
          </w:tcPr>
          <w:p>
            <w:pPr>
              <w:spacing w:after="0" w:line="20" w:lineRule="exact"/>
              <w:rPr>
                <w:sz w:val="1"/>
                <w:szCs w:val="1"/>
                <w:color w:val="auto"/>
              </w:rPr>
            </w:pPr>
          </w:p>
        </w:tc>
        <w:tc>
          <w:tcPr>
            <w:tcW w:w="80" w:type="dxa"/>
            <w:vAlign w:val="bottom"/>
            <w:tcBorders>
              <w:top w:val="single" w:sz="8" w:color="3C5896"/>
            </w:tcBorders>
            <w:shd w:val="clear" w:color="auto" w:fill="000000"/>
          </w:tcPr>
          <w:p>
            <w:pPr>
              <w:spacing w:after="0" w:line="20" w:lineRule="exact"/>
              <w:rPr>
                <w:sz w:val="1"/>
                <w:szCs w:val="1"/>
                <w:color w:val="auto"/>
              </w:rPr>
            </w:pPr>
          </w:p>
        </w:tc>
        <w:tc>
          <w:tcPr>
            <w:tcW w:w="600" w:type="dxa"/>
            <w:vAlign w:val="bottom"/>
            <w:tcBorders>
              <w:top w:val="single" w:sz="8" w:color="3C5896"/>
            </w:tcBorders>
            <w:shd w:val="clear" w:color="auto" w:fill="000000"/>
          </w:tcPr>
          <w:p>
            <w:pPr>
              <w:spacing w:after="0" w:line="20" w:lineRule="exact"/>
              <w:rPr>
                <w:sz w:val="1"/>
                <w:szCs w:val="1"/>
                <w:color w:val="auto"/>
              </w:rPr>
            </w:pPr>
          </w:p>
        </w:tc>
        <w:tc>
          <w:tcPr>
            <w:tcW w:w="840" w:type="dxa"/>
            <w:vAlign w:val="bottom"/>
            <w:tcBorders>
              <w:top w:val="single" w:sz="8" w:color="3C5896"/>
            </w:tcBorders>
            <w:shd w:val="clear" w:color="auto" w:fill="000000"/>
          </w:tcPr>
          <w:p>
            <w:pPr>
              <w:spacing w:after="0" w:line="20" w:lineRule="exact"/>
              <w:rPr>
                <w:sz w:val="1"/>
                <w:szCs w:val="1"/>
                <w:color w:val="auto"/>
              </w:rPr>
            </w:pPr>
          </w:p>
        </w:tc>
        <w:tc>
          <w:tcPr>
            <w:tcW w:w="140" w:type="dxa"/>
            <w:vAlign w:val="bottom"/>
            <w:tcBorders>
              <w:top w:val="single" w:sz="8" w:color="3C5896"/>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left="760" w:right="60"/>
        <w:spacing w:after="0" w:line="262" w:lineRule="auto"/>
        <w:rPr>
          <w:sz w:val="20"/>
          <w:szCs w:val="20"/>
          <w:color w:val="auto"/>
        </w:rPr>
      </w:pPr>
      <w:r>
        <w:rPr>
          <w:rFonts w:ascii="Arial" w:cs="Arial" w:eastAsia="Arial" w:hAnsi="Arial"/>
          <w:sz w:val="18"/>
          <w:szCs w:val="18"/>
          <w:i w:val="1"/>
          <w:iCs w:val="1"/>
          <w:color w:val="auto"/>
        </w:rPr>
        <w:t>This proxy statement includes links to websites, which are provided solely for convenience purposes. The information contained or linked on these websites or otherwise connected thereto are not, and will not be deemed to be, a part of or incorporated by reference into this proxy statement or any other Company filings with the Securities and Exchange Commission (the “SEC”).</w:t>
      </w:r>
    </w:p>
    <w:p>
      <w:pPr>
        <w:spacing w:after="0" w:line="68" w:lineRule="exact"/>
        <w:rPr>
          <w:sz w:val="20"/>
          <w:szCs w:val="20"/>
          <w:color w:val="auto"/>
        </w:rPr>
      </w:pPr>
    </w:p>
    <w:p>
      <w:pPr>
        <w:jc w:val="both"/>
        <w:ind w:left="760" w:right="60"/>
        <w:spacing w:after="0" w:line="252" w:lineRule="auto"/>
        <w:rPr>
          <w:sz w:val="20"/>
          <w:szCs w:val="20"/>
          <w:color w:val="auto"/>
        </w:rPr>
      </w:pPr>
      <w:r>
        <w:rPr>
          <w:rFonts w:ascii="Arial" w:cs="Arial" w:eastAsia="Arial" w:hAnsi="Arial"/>
          <w:sz w:val="18"/>
          <w:szCs w:val="18"/>
          <w:i w:val="1"/>
          <w:iCs w:val="1"/>
          <w:color w:val="auto"/>
        </w:rPr>
        <w:t>This proxy statement contains forward-looking statements. All statements, other than statements of historical facts included in this proxy statement, including statements concerning our plans, objectives, goals, beliefs, business strategies, future events, business conditions, results of operations, financial position, business outlook, business trends and other information, may be forward-looking statements. 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 All forward-looking statements in this proxy statement, apply only as of the date of this proxy statement or as of the date they were made and, except as required by applicable law, we undertake no obligation to publicly update or revise any forward-looking statement, whether as a result of new information, future developments or otherwise. There are a number of risks, uncertainties and other important factors, many of which are beyond our control, that could cause our actual results to differ materially from the forward-looking statements contained in this proxy statement. These risks and uncertainties include, but are not limited to, those described in Part I. Item 1A. “Risk Factors” in our Annual Report on Form 10-K for the year ended January 1, 2022 (the “2021 10-K”) and those described from time to time in our future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ii  </w:t>
      </w:r>
      <w:r>
        <w:rPr>
          <w:sz w:val="1"/>
          <w:szCs w:val="1"/>
          <w:color w:val="auto"/>
        </w:rPr>
        <w:drawing>
          <wp:inline distT="0" distB="0" distL="0" distR="0">
            <wp:extent cx="299720" cy="2400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FFFFFF"/>
        </w:rPr>
        <w:t>LETTER TO STOCKHOLDERS​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32"/>
          <w:szCs w:val="32"/>
          <w:color w:val="auto"/>
        </w:rPr>
        <w:t>Dear Stockholders:</w:t>
      </w:r>
    </w:p>
    <w:p>
      <w:pPr>
        <w:spacing w:after="0" w:line="61" w:lineRule="exact"/>
        <w:rPr>
          <w:sz w:val="20"/>
          <w:szCs w:val="20"/>
          <w:color w:val="auto"/>
        </w:rPr>
      </w:pPr>
    </w:p>
    <w:p>
      <w:pPr>
        <w:jc w:val="both"/>
        <w:ind w:left="760" w:right="760"/>
        <w:spacing w:after="0" w:line="237" w:lineRule="auto"/>
        <w:rPr>
          <w:sz w:val="20"/>
          <w:szCs w:val="20"/>
          <w:color w:val="auto"/>
        </w:rPr>
      </w:pPr>
      <w:r>
        <w:rPr>
          <w:rFonts w:ascii="Arial" w:cs="Arial" w:eastAsia="Arial" w:hAnsi="Arial"/>
          <w:sz w:val="18"/>
          <w:szCs w:val="18"/>
          <w:color w:val="auto"/>
        </w:rPr>
        <w:t>We are pleased to invite you to attend the National Vision Holdings, Inc. 2022 Annual Meeting of Stockholders on Wednesday, June 15, 2022, at 1:00 p.m., Eastern Time. Due to continued concerns related to the coronavirus (COVID-19) pandemic, we will be holding a virtual Annual Meeting, as described further below.</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32"/>
          <w:szCs w:val="32"/>
          <w:color w:val="auto"/>
        </w:rPr>
        <w:t>Year in Review</w:t>
      </w:r>
    </w:p>
    <w:p>
      <w:pPr>
        <w:spacing w:after="0" w:line="61" w:lineRule="exact"/>
        <w:rPr>
          <w:sz w:val="20"/>
          <w:szCs w:val="20"/>
          <w:color w:val="auto"/>
        </w:rPr>
      </w:pPr>
    </w:p>
    <w:p>
      <w:pPr>
        <w:jc w:val="both"/>
        <w:ind w:left="760" w:right="760"/>
        <w:spacing w:after="0" w:line="223" w:lineRule="auto"/>
        <w:rPr>
          <w:sz w:val="20"/>
          <w:szCs w:val="20"/>
          <w:color w:val="auto"/>
        </w:rPr>
      </w:pPr>
      <w:r>
        <w:rPr>
          <w:rFonts w:ascii="Arial" w:cs="Arial" w:eastAsia="Arial" w:hAnsi="Arial"/>
          <w:sz w:val="18"/>
          <w:szCs w:val="18"/>
          <w:color w:val="auto"/>
        </w:rPr>
        <w:t>2021 was another year testing our Company’s ability to navigate the continued uncertainty and challenges of the ongoing COVID-19 pandemic. National Vision has been resilient in difficult times, including economic crises, and we are proud that we continued to adapt to the unknown, while staying true to our mission, prioritizing the health and safety of our associates, doctors, patients and customers, and serving our local communities. Most importantly, our associates and doctors continued to meet every challenge that came their way and we are grateful for their resilience and dedication to customer and patient care. Despite the continued volatility in 2021, we delivered another year of record annual sales and profitability, along with an increase in our overall store count by 6.1%, ending the year with 1,278 stores. Although the macro-economic environment remains dynamic, we remain confident in our ability to deliver consistent, long-term sustainable growth and capitalize on future opportunities.</w:t>
      </w:r>
    </w:p>
    <w:p>
      <w:pPr>
        <w:spacing w:after="0" w:line="5" w:lineRule="exact"/>
        <w:rPr>
          <w:sz w:val="20"/>
          <w:szCs w:val="20"/>
          <w:color w:val="auto"/>
        </w:rPr>
      </w:pPr>
    </w:p>
    <w:p>
      <w:pPr>
        <w:ind w:left="760" w:right="1140"/>
        <w:spacing w:after="0" w:line="243" w:lineRule="auto"/>
        <w:rPr>
          <w:sz w:val="20"/>
          <w:szCs w:val="20"/>
          <w:color w:val="auto"/>
        </w:rPr>
      </w:pPr>
      <w:r>
        <w:rPr>
          <w:rFonts w:ascii="Arial" w:cs="Arial" w:eastAsia="Arial" w:hAnsi="Arial"/>
          <w:sz w:val="32"/>
          <w:szCs w:val="32"/>
          <w:color w:val="auto"/>
        </w:rPr>
        <w:t>Our Commitment to Corporate Responsibility—A World Worth Seeing</w:t>
      </w:r>
    </w:p>
    <w:p>
      <w:pPr>
        <w:spacing w:after="0" w:line="3" w:lineRule="exact"/>
        <w:rPr>
          <w:sz w:val="20"/>
          <w:szCs w:val="20"/>
          <w:color w:val="auto"/>
        </w:rPr>
      </w:pPr>
    </w:p>
    <w:p>
      <w:pPr>
        <w:jc w:val="both"/>
        <w:ind w:left="760" w:right="760"/>
        <w:spacing w:after="0" w:line="226" w:lineRule="auto"/>
        <w:rPr>
          <w:sz w:val="20"/>
          <w:szCs w:val="20"/>
          <w:color w:val="auto"/>
        </w:rPr>
      </w:pPr>
      <w:r>
        <w:rPr>
          <w:rFonts w:ascii="Arial" w:cs="Arial" w:eastAsia="Arial" w:hAnsi="Arial"/>
          <w:sz w:val="18"/>
          <w:szCs w:val="18"/>
          <w:color w:val="auto"/>
        </w:rPr>
        <w:t>We are excited to have published our first Corporate Responsibility Report in 2021, allowing us to highlight our strong mission-focused culture, pursuant to which we believe everyone deserves to see their best to live their best. The report highlights our approach to environmental, social and governance (ESG) topics from a broad perspective. Our “SEE + G” framework outlines our key Corporate Responsibility pillars of social, employees, environment, and governance and serves as the foundation of our Corporate Responsibility efforts to ensure we focus on the areas in which we have the greatest opportunity to create positive impacts in our local and global communities while we grow a resilient business. We look forward to reporting on our progress through our website’s Corporate Responsibility page and future Corporate Responsibility reports.</w:t>
      </w:r>
    </w:p>
    <w:p>
      <w:pPr>
        <w:spacing w:after="0" w:line="5" w:lineRule="exact"/>
        <w:rPr>
          <w:sz w:val="20"/>
          <w:szCs w:val="20"/>
          <w:color w:val="auto"/>
        </w:rPr>
      </w:pPr>
    </w:p>
    <w:p>
      <w:pPr>
        <w:jc w:val="both"/>
        <w:ind w:left="760" w:right="760"/>
        <w:spacing w:after="0" w:line="233" w:lineRule="auto"/>
        <w:rPr>
          <w:sz w:val="20"/>
          <w:szCs w:val="20"/>
          <w:color w:val="auto"/>
        </w:rPr>
      </w:pPr>
      <w:r>
        <w:rPr>
          <w:rFonts w:ascii="Arial" w:cs="Arial" w:eastAsia="Arial" w:hAnsi="Arial"/>
          <w:sz w:val="18"/>
          <w:szCs w:val="18"/>
          <w:color w:val="auto"/>
        </w:rPr>
        <w:t>We believe the foundation of Corporate Responsibility is responsible corporate governance. We are proud that our Board of Directors, a group of industry-leading experts with diverse genders, ethnicities, skills, experiences and backgrounds, who oversee the Company’s strategy and drive long-term value for our stockholders, reflects our commitment to diversity, with four women and two directors of racial/ethnic diversity.</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32"/>
          <w:szCs w:val="32"/>
          <w:color w:val="auto"/>
        </w:rPr>
        <w:t>Looking Ahead</w:t>
      </w:r>
    </w:p>
    <w:p>
      <w:pPr>
        <w:spacing w:after="0" w:line="61" w:lineRule="exact"/>
        <w:rPr>
          <w:sz w:val="20"/>
          <w:szCs w:val="20"/>
          <w:color w:val="auto"/>
        </w:rPr>
      </w:pPr>
    </w:p>
    <w:p>
      <w:pPr>
        <w:jc w:val="both"/>
        <w:ind w:left="760" w:right="760"/>
        <w:spacing w:after="0" w:line="229" w:lineRule="auto"/>
        <w:rPr>
          <w:sz w:val="20"/>
          <w:szCs w:val="20"/>
          <w:color w:val="auto"/>
        </w:rPr>
      </w:pPr>
      <w:r>
        <w:rPr>
          <w:rFonts w:ascii="Arial" w:cs="Arial" w:eastAsia="Arial" w:hAnsi="Arial"/>
          <w:sz w:val="18"/>
          <w:szCs w:val="18"/>
          <w:color w:val="auto"/>
        </w:rPr>
        <w:t>The safety and health of our associates, doctors, patients, and customers remains our highest priority as we continue to navigate the pandemic and provide reliable and quality low cost eye care and eyewear to our patients and customers. Despite the uncertainty created by the continued pandemic and the volatility in the global economy, we remain focused on delivering value for you, our stockholders, over the long term.</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32"/>
          <w:szCs w:val="32"/>
          <w:color w:val="auto"/>
        </w:rPr>
        <w:t>Our 2022 Annual Meeting</w:t>
      </w:r>
    </w:p>
    <w:p>
      <w:pPr>
        <w:spacing w:after="0" w:line="56" w:lineRule="exact"/>
        <w:rPr>
          <w:sz w:val="20"/>
          <w:szCs w:val="20"/>
          <w:color w:val="auto"/>
        </w:rPr>
      </w:pPr>
    </w:p>
    <w:p>
      <w:pPr>
        <w:jc w:val="both"/>
        <w:ind w:left="760" w:right="760"/>
        <w:spacing w:after="0" w:line="223" w:lineRule="auto"/>
        <w:rPr>
          <w:sz w:val="20"/>
          <w:szCs w:val="20"/>
          <w:color w:val="auto"/>
        </w:rPr>
      </w:pPr>
      <w:r>
        <w:rPr>
          <w:rFonts w:ascii="Arial" w:cs="Arial" w:eastAsia="Arial" w:hAnsi="Arial"/>
          <w:sz w:val="18"/>
          <w:szCs w:val="18"/>
          <w:color w:val="auto"/>
        </w:rPr>
        <w:t>Whether you own a few shares or many, and whether or not you plan to attend the virtual Annual Meeting, your vote is important to us. We encourage you to review the proxy materials and submit your vote today. Detailed information concerning the Annual Meeting is set forth in the Notice of Annual Meeting of Stockholders, Notice of Internet Availability of Proxy Materials and proxy statement, which describe the business to be conducted at the meeting. Whether or not you plan to attend, it is important that your shares be represented and voted during the meeting. Instructions for voting your shares are set forth in the proxy statement as well as in the Notice of Internet Availability of Proxy Materials you received in the mail. The Notice of Internet Availability of Proxy Materials, the proxy statement, and the enclosed proxy card and annual report are first being sent to stockholders on or about April 26, 2022.</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behalf of the Board of Directors and everyone at National Vision, we are grateful for your continued support.</w:t>
      </w:r>
    </w:p>
    <w:p>
      <w:pPr>
        <w:ind w:left="760"/>
        <w:spacing w:after="0"/>
        <w:rPr>
          <w:sz w:val="20"/>
          <w:szCs w:val="20"/>
          <w:color w:val="auto"/>
        </w:rPr>
      </w:pPr>
      <w:r>
        <w:rPr>
          <w:rFonts w:ascii="Arial" w:cs="Arial" w:eastAsia="Arial" w:hAnsi="Arial"/>
          <w:sz w:val="18"/>
          <w:szCs w:val="18"/>
          <w:color w:val="auto"/>
        </w:rPr>
        <w:t>Thank you for being a stockholder of National Vision Holdings, Inc.</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80" w:type="dxa"/>
            <w:vAlign w:val="bottom"/>
          </w:tcPr>
          <w:p>
            <w:pPr>
              <w:ind w:left="760"/>
              <w:spacing w:after="0"/>
              <w:rPr>
                <w:sz w:val="20"/>
                <w:szCs w:val="20"/>
                <w:color w:val="auto"/>
              </w:rPr>
            </w:pPr>
            <w:r>
              <w:rPr>
                <w:rFonts w:ascii="Arial" w:cs="Arial" w:eastAsia="Arial" w:hAnsi="Arial"/>
                <w:sz w:val="18"/>
                <w:szCs w:val="18"/>
                <w:color w:val="auto"/>
              </w:rPr>
              <w:t>Sincerely,</w:t>
            </w:r>
          </w:p>
        </w:tc>
        <w:tc>
          <w:tcPr>
            <w:tcW w:w="10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380" w:type="dxa"/>
            <w:vAlign w:val="bottom"/>
          </w:tcPr>
          <w:p>
            <w:pPr>
              <w:ind w:left="76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rPr>
              <w:t>​ ​</w:t>
            </w:r>
          </w:p>
        </w:tc>
        <w:tc>
          <w:tcPr>
            <w:tcW w:w="400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1"/>
        </w:trPr>
        <w:tc>
          <w:tcPr>
            <w:tcW w:w="4380" w:type="dxa"/>
            <w:vAlign w:val="bottom"/>
          </w:tcPr>
          <w:p>
            <w:pPr>
              <w:ind w:left="76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rPr>
              <w:t>​ ​</w:t>
            </w:r>
          </w:p>
        </w:tc>
        <w:tc>
          <w:tcPr>
            <w:tcW w:w="4000" w:type="dxa"/>
            <w:vAlign w:val="bottom"/>
            <w:vMerge w:val="restart"/>
          </w:tcPr>
          <w:p>
            <w:pPr>
              <w:ind w:left="20"/>
              <w:spacing w:after="0"/>
              <w:rPr>
                <w:sz w:val="20"/>
                <w:szCs w:val="20"/>
                <w:color w:val="auto"/>
              </w:rPr>
            </w:pPr>
            <w:r>
              <w:rPr>
                <w:rFonts w:ascii="Arial" w:cs="Arial" w:eastAsia="Arial" w:hAnsi="Arial"/>
                <w:sz w:val="18"/>
                <w:szCs w:val="18"/>
                <w:color w:val="auto"/>
              </w:rPr>
              <w:t>L. Reade Fahs</w:t>
            </w:r>
          </w:p>
        </w:tc>
        <w:tc>
          <w:tcPr>
            <w:tcW w:w="128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380" w:type="dxa"/>
            <w:vAlign w:val="bottom"/>
          </w:tcPr>
          <w:p>
            <w:pPr>
              <w:ind w:left="760"/>
              <w:spacing w:after="0" w:line="63" w:lineRule="exact"/>
              <w:rPr>
                <w:sz w:val="20"/>
                <w:szCs w:val="20"/>
                <w:color w:val="auto"/>
              </w:rPr>
            </w:pPr>
            <w:r>
              <w:rPr>
                <w:rFonts w:ascii="Arial" w:cs="Arial" w:eastAsia="Arial" w:hAnsi="Arial"/>
                <w:sz w:val="7"/>
                <w:szCs w:val="7"/>
                <w:color w:val="auto"/>
              </w:rPr>
              <w:t>D. Randolph Peeler</w:t>
            </w:r>
          </w:p>
        </w:tc>
        <w:tc>
          <w:tcPr>
            <w:tcW w:w="106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380" w:type="dxa"/>
            <w:vAlign w:val="bottom"/>
          </w:tcPr>
          <w:p>
            <w:pPr>
              <w:ind w:left="760"/>
              <w:spacing w:after="0"/>
              <w:rPr>
                <w:sz w:val="20"/>
                <w:szCs w:val="20"/>
                <w:color w:val="auto"/>
              </w:rPr>
            </w:pPr>
            <w:r>
              <w:rPr>
                <w:rFonts w:ascii="Arial" w:cs="Arial" w:eastAsia="Arial" w:hAnsi="Arial"/>
                <w:sz w:val="18"/>
                <w:szCs w:val="18"/>
                <w:color w:val="auto"/>
              </w:rPr>
              <w:t>Chairman of the Board of Directors</w:t>
            </w:r>
          </w:p>
        </w:tc>
        <w:tc>
          <w:tcPr>
            <w:tcW w:w="106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380" w:type="dxa"/>
            <w:vAlign w:val="bottom"/>
          </w:tcPr>
          <w:p>
            <w:pPr>
              <w:ind w:left="760"/>
              <w:spacing w:after="0"/>
              <w:rPr>
                <w:sz w:val="20"/>
                <w:szCs w:val="20"/>
                <w:color w:val="auto"/>
              </w:rPr>
            </w:pPr>
            <w:r>
              <w:rPr>
                <w:rFonts w:ascii="Arial" w:cs="Arial" w:eastAsia="Arial" w:hAnsi="Arial"/>
                <w:sz w:val="18"/>
                <w:szCs w:val="18"/>
                <w:color w:val="auto"/>
              </w:rPr>
              <w:t>April 26, 2022</w:t>
            </w:r>
          </w:p>
        </w:tc>
        <w:tc>
          <w:tcPr>
            <w:tcW w:w="10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0" w:type="dxa"/>
            <w:vAlign w:val="bottom"/>
          </w:tcPr>
          <w:p>
            <w:pPr>
              <w:ind w:left="2000"/>
              <w:spacing w:after="0"/>
              <w:rPr>
                <w:sz w:val="20"/>
                <w:szCs w:val="20"/>
                <w:color w:val="auto"/>
              </w:rPr>
            </w:pPr>
            <w:r>
              <w:rPr>
                <w:rFonts w:ascii="Arial" w:cs="Arial" w:eastAsia="Arial" w:hAnsi="Arial"/>
                <w:sz w:val="16"/>
                <w:szCs w:val="16"/>
                <w:color w:val="auto"/>
              </w:rPr>
              <w:t>2022 Proxy Statement</w:t>
            </w:r>
          </w:p>
        </w:tc>
        <w:tc>
          <w:tcPr>
            <w:tcW w:w="1280" w:type="dxa"/>
            <w:vAlign w:val="bottom"/>
          </w:tcPr>
          <w:p>
            <w:pPr>
              <w:jc w:val="right"/>
              <w:ind w:right="713"/>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419"/>
        </w:trPr>
        <w:tc>
          <w:tcPr>
            <w:tcW w:w="4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-1490980</wp:posOffset>
            </wp:positionV>
            <wp:extent cx="1414145" cy="248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24828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-1490980</wp:posOffset>
            </wp:positionV>
            <wp:extent cx="1139825" cy="402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9825" cy="40259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-471170</wp:posOffset>
            </wp:positionV>
            <wp:extent cx="299720"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9720" cy="23177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NOTICE OF ANNUAL MEETING OF STOCKHOLDERS</w:t>
      </w:r>
    </w:p>
    <w:p>
      <w:pPr>
        <w:sectPr>
          <w:pgSz w:w="11900" w:h="16838" w:orient="portrait"/>
          <w:cols w:equalWidth="0" w:num="1">
            <w:col w:w="10000"/>
          </w:cols>
          <w:pgMar w:left="580" w:top="97" w:right="1319" w:bottom="1440" w:gutter="0" w:footer="0" w:header="0"/>
        </w:sectPr>
      </w:pPr>
    </w:p>
    <w:p>
      <w:pPr>
        <w:spacing w:after="0" w:line="2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&amp; TIME</w:t>
      </w:r>
    </w:p>
    <w:p>
      <w:pPr>
        <w:spacing w:after="0" w:line="40" w:lineRule="exact"/>
        <w:rPr>
          <w:sz w:val="20"/>
          <w:szCs w:val="20"/>
          <w:color w:val="auto"/>
        </w:rPr>
      </w:pPr>
    </w:p>
    <w:p>
      <w:pPr>
        <w:ind w:left="760" w:right="180"/>
        <w:spacing w:after="0" w:line="219" w:lineRule="auto"/>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b w:val="1"/>
          <w:bCs w:val="1"/>
          <w:color w:val="auto"/>
        </w:rPr>
        <w:t>VIRTUAL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0"/>
        <w:spacing w:after="0"/>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b w:val="1"/>
          <w:bCs w:val="1"/>
          <w:color w:val="auto"/>
        </w:rPr>
        <w:t>ITEMS OF BUSINESS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ind w:left="240"/>
        <w:spacing w:after="0"/>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tabs>
          <w:tab w:leader="none" w:pos="7160" w:val="left"/>
        </w:tabs>
        <w:rPr>
          <w:sz w:val="20"/>
          <w:szCs w:val="20"/>
          <w:color w:val="auto"/>
        </w:rPr>
      </w:pPr>
      <w:r>
        <w:rPr>
          <w:rFonts w:ascii="Arial" w:cs="Arial" w:eastAsia="Arial" w:hAnsi="Arial"/>
          <w:sz w:val="18"/>
          <w:szCs w:val="18"/>
          <w:color w:val="auto"/>
        </w:rPr>
        <w:t>​ ​ 1:00 p.m. Eastern Time, on Wednesday, June 15, 2022.</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00" w:hanging="215"/>
        <w:spacing w:after="0" w:line="233" w:lineRule="auto"/>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The virtual Annual Meeting will be held exclusively online at </w:t>
      </w:r>
      <w:r>
        <w:rPr>
          <w:rFonts w:ascii="Arial" w:cs="Arial" w:eastAsia="Arial" w:hAnsi="Arial"/>
          <w:sz w:val="18"/>
          <w:szCs w:val="18"/>
          <w:u w:val="single" w:color="auto"/>
          <w:color w:val="auto"/>
        </w:rPr>
        <w:t>meetnow.global/MYH4QL4</w:t>
      </w: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While you will not be able to attend the Annual Meeting at a physical location, we are committed to ensuring that stockholders will be afforded the same rights and opportunities to participate as they would at an in-person meeting. You will be able to attend and participate in the Annual Meeting online, vote your shares electronically and submit questions to be addressed during the meeting. To attend the meeting virtually, please visit the meeting website and enter your control number.</w:t>
      </w:r>
    </w:p>
    <w:tbl>
      <w:tblPr>
        <w:tblLayout w:type="fixed"/>
        <w:tblInd w:w="0" w:type="dxa"/>
        <w:tblCellMar>
          <w:top w:w="0" w:type="dxa"/>
          <w:left w:w="0" w:type="dxa"/>
          <w:bottom w:w="0" w:type="dxa"/>
          <w:right w:w="0" w:type="dxa"/>
        </w:tblCellMar>
      </w:tblPr>
      <w:tr>
        <w:trPr>
          <w:trHeight w:val="307"/>
        </w:trPr>
        <w:tc>
          <w:tcPr>
            <w:tcW w:w="7100" w:type="dxa"/>
            <w:vAlign w:val="bottom"/>
            <w:gridSpan w:val="2"/>
          </w:tcPr>
          <w:p>
            <w:pPr>
              <w:spacing w:after="0" w:line="307"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We are continuing to leverage the latest technology to provide expanded access,</w:t>
            </w:r>
          </w:p>
        </w:tc>
        <w:tc>
          <w:tcPr>
            <w:tcW w:w="1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gridSpan w:val="2"/>
          </w:tcPr>
          <w:p>
            <w:pPr>
              <w:ind w:left="200"/>
              <w:spacing w:after="0"/>
              <w:rPr>
                <w:sz w:val="20"/>
                <w:szCs w:val="20"/>
                <w:color w:val="auto"/>
              </w:rPr>
            </w:pPr>
            <w:r>
              <w:rPr>
                <w:rFonts w:ascii="Arial" w:cs="Arial" w:eastAsia="Arial" w:hAnsi="Arial"/>
                <w:sz w:val="18"/>
                <w:szCs w:val="18"/>
                <w:color w:val="auto"/>
              </w:rPr>
              <w:t>improved communication and cost savings for our stockholders and the Company.</w:t>
            </w:r>
          </w:p>
        </w:tc>
        <w:tc>
          <w:tcPr>
            <w:tcW w:w="120" w:type="dxa"/>
            <w:vAlign w:val="bottom"/>
          </w:tcPr>
          <w:p>
            <w:pPr>
              <w:spacing w:after="0"/>
              <w:rPr>
                <w:sz w:val="18"/>
                <w:szCs w:val="18"/>
                <w:color w:val="auto"/>
              </w:rPr>
            </w:pPr>
          </w:p>
        </w:tc>
      </w:tr>
      <w:tr>
        <w:trPr>
          <w:trHeight w:val="216"/>
        </w:trPr>
        <w:tc>
          <w:tcPr>
            <w:tcW w:w="7100" w:type="dxa"/>
            <w:vAlign w:val="bottom"/>
            <w:gridSpan w:val="2"/>
          </w:tcPr>
          <w:p>
            <w:pPr>
              <w:ind w:left="200"/>
              <w:spacing w:after="0"/>
              <w:rPr>
                <w:sz w:val="20"/>
                <w:szCs w:val="20"/>
                <w:color w:val="auto"/>
              </w:rPr>
            </w:pPr>
            <w:r>
              <w:rPr>
                <w:rFonts w:ascii="Arial" w:cs="Arial" w:eastAsia="Arial" w:hAnsi="Arial"/>
                <w:sz w:val="18"/>
                <w:szCs w:val="18"/>
                <w:color w:val="auto"/>
              </w:rPr>
              <w:t>Thus, it is very important that you retain your Notice, proxy card and related materials,</w:t>
            </w:r>
          </w:p>
        </w:tc>
        <w:tc>
          <w:tcPr>
            <w:tcW w:w="120" w:type="dxa"/>
            <w:vAlign w:val="bottom"/>
          </w:tcPr>
          <w:p>
            <w:pPr>
              <w:spacing w:after="0"/>
              <w:rPr>
                <w:sz w:val="18"/>
                <w:szCs w:val="18"/>
                <w:color w:val="auto"/>
              </w:rPr>
            </w:pPr>
          </w:p>
        </w:tc>
      </w:tr>
      <w:tr>
        <w:trPr>
          <w:trHeight w:val="239"/>
        </w:trPr>
        <w:tc>
          <w:tcPr>
            <w:tcW w:w="7100" w:type="dxa"/>
            <w:vAlign w:val="bottom"/>
            <w:gridSpan w:val="2"/>
          </w:tcPr>
          <w:p>
            <w:pPr>
              <w:ind w:left="200"/>
              <w:spacing w:after="0"/>
              <w:rPr>
                <w:sz w:val="20"/>
                <w:szCs w:val="20"/>
                <w:color w:val="auto"/>
              </w:rPr>
            </w:pPr>
            <w:r>
              <w:rPr>
                <w:rFonts w:ascii="Arial" w:cs="Arial" w:eastAsia="Arial" w:hAnsi="Arial"/>
                <w:sz w:val="18"/>
                <w:szCs w:val="18"/>
                <w:color w:val="auto"/>
              </w:rPr>
              <w:t>including your control number, through the date of the virtual Annual Meeting.</w:t>
            </w:r>
          </w:p>
        </w:tc>
        <w:tc>
          <w:tcPr>
            <w:tcW w:w="120" w:type="dxa"/>
            <w:vAlign w:val="bottom"/>
          </w:tcPr>
          <w:p>
            <w:pPr>
              <w:spacing w:after="0"/>
              <w:rPr>
                <w:sz w:val="20"/>
                <w:szCs w:val="20"/>
                <w:color w:val="auto"/>
              </w:rPr>
            </w:pPr>
          </w:p>
        </w:tc>
      </w:tr>
      <w:tr>
        <w:trPr>
          <w:trHeight w:val="301"/>
        </w:trPr>
        <w:tc>
          <w:tcPr>
            <w:tcW w:w="460" w:type="dxa"/>
            <w:vAlign w:val="bottom"/>
          </w:tcPr>
          <w:p>
            <w:pPr>
              <w:spacing w:after="0" w:line="300"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bscript"/>
              </w:rPr>
              <w:t>1.</w:t>
            </w:r>
          </w:p>
        </w:tc>
        <w:tc>
          <w:tcPr>
            <w:tcW w:w="6640" w:type="dxa"/>
            <w:vAlign w:val="bottom"/>
          </w:tcPr>
          <w:p>
            <w:pPr>
              <w:ind w:left="100"/>
              <w:spacing w:after="0"/>
              <w:rPr>
                <w:sz w:val="20"/>
                <w:szCs w:val="20"/>
                <w:color w:val="auto"/>
              </w:rPr>
            </w:pPr>
            <w:r>
              <w:rPr>
                <w:rFonts w:ascii="Arial" w:cs="Arial" w:eastAsia="Arial" w:hAnsi="Arial"/>
                <w:sz w:val="18"/>
                <w:szCs w:val="18"/>
                <w:color w:val="auto"/>
                <w:w w:val="99"/>
              </w:rPr>
              <w:t>To elect the three director nominees listed in the Proxy Statement, each for a term</w:t>
            </w:r>
          </w:p>
        </w:tc>
        <w:tc>
          <w:tcPr>
            <w:tcW w:w="1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9"/>
        </w:trPr>
        <w:tc>
          <w:tcPr>
            <w:tcW w:w="460" w:type="dxa"/>
            <w:vAlign w:val="bottom"/>
          </w:tcPr>
          <w:p>
            <w:pPr>
              <w:spacing w:after="0"/>
              <w:rPr>
                <w:sz w:val="20"/>
                <w:szCs w:val="20"/>
                <w:color w:val="auto"/>
              </w:rPr>
            </w:pPr>
          </w:p>
        </w:tc>
        <w:tc>
          <w:tcPr>
            <w:tcW w:w="6640" w:type="dxa"/>
            <w:vAlign w:val="bottom"/>
          </w:tcPr>
          <w:p>
            <w:pPr>
              <w:ind w:left="100"/>
              <w:spacing w:after="0"/>
              <w:rPr>
                <w:sz w:val="20"/>
                <w:szCs w:val="20"/>
                <w:color w:val="auto"/>
              </w:rPr>
            </w:pPr>
            <w:r>
              <w:rPr>
                <w:rFonts w:ascii="Arial" w:cs="Arial" w:eastAsia="Arial" w:hAnsi="Arial"/>
                <w:sz w:val="18"/>
                <w:szCs w:val="18"/>
                <w:color w:val="auto"/>
              </w:rPr>
              <w:t>of one year.</w:t>
            </w:r>
          </w:p>
        </w:tc>
        <w:tc>
          <w:tcPr>
            <w:tcW w:w="120" w:type="dxa"/>
            <w:vAlign w:val="bottom"/>
          </w:tcPr>
          <w:p>
            <w:pPr>
              <w:spacing w:after="0"/>
              <w:rPr>
                <w:sz w:val="20"/>
                <w:szCs w:val="20"/>
                <w:color w:val="auto"/>
              </w:rPr>
            </w:pPr>
          </w:p>
        </w:tc>
      </w:tr>
      <w:tr>
        <w:trPr>
          <w:trHeight w:val="301"/>
        </w:trPr>
        <w:tc>
          <w:tcPr>
            <w:tcW w:w="460" w:type="dxa"/>
            <w:vAlign w:val="bottom"/>
          </w:tcPr>
          <w:p>
            <w:pPr>
              <w:spacing w:after="0" w:line="300"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bscript"/>
              </w:rPr>
              <w:t>2.</w:t>
            </w:r>
          </w:p>
        </w:tc>
        <w:tc>
          <w:tcPr>
            <w:tcW w:w="6640" w:type="dxa"/>
            <w:vAlign w:val="bottom"/>
          </w:tcPr>
          <w:p>
            <w:pPr>
              <w:ind w:left="100"/>
              <w:spacing w:after="0"/>
              <w:rPr>
                <w:sz w:val="20"/>
                <w:szCs w:val="20"/>
                <w:color w:val="auto"/>
              </w:rPr>
            </w:pPr>
            <w:r>
              <w:rPr>
                <w:rFonts w:ascii="Arial" w:cs="Arial" w:eastAsia="Arial" w:hAnsi="Arial"/>
                <w:sz w:val="18"/>
                <w:szCs w:val="18"/>
                <w:color w:val="auto"/>
              </w:rPr>
              <w:t>To approve, in a non-binding advisory vote, the compensation paid to the named</w:t>
            </w:r>
          </w:p>
        </w:tc>
        <w:tc>
          <w:tcPr>
            <w:tcW w:w="1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9"/>
        </w:trPr>
        <w:tc>
          <w:tcPr>
            <w:tcW w:w="460" w:type="dxa"/>
            <w:vAlign w:val="bottom"/>
          </w:tcPr>
          <w:p>
            <w:pPr>
              <w:spacing w:after="0"/>
              <w:rPr>
                <w:sz w:val="20"/>
                <w:szCs w:val="20"/>
                <w:color w:val="auto"/>
              </w:rPr>
            </w:pPr>
          </w:p>
        </w:tc>
        <w:tc>
          <w:tcPr>
            <w:tcW w:w="6640" w:type="dxa"/>
            <w:vAlign w:val="bottom"/>
          </w:tcPr>
          <w:p>
            <w:pPr>
              <w:ind w:left="100"/>
              <w:spacing w:after="0"/>
              <w:rPr>
                <w:sz w:val="20"/>
                <w:szCs w:val="20"/>
                <w:color w:val="auto"/>
              </w:rPr>
            </w:pPr>
            <w:r>
              <w:rPr>
                <w:rFonts w:ascii="Arial" w:cs="Arial" w:eastAsia="Arial" w:hAnsi="Arial"/>
                <w:sz w:val="18"/>
                <w:szCs w:val="18"/>
                <w:color w:val="auto"/>
              </w:rPr>
              <w:t>executive officers.</w:t>
            </w:r>
          </w:p>
        </w:tc>
        <w:tc>
          <w:tcPr>
            <w:tcW w:w="120" w:type="dxa"/>
            <w:vAlign w:val="bottom"/>
          </w:tcPr>
          <w:p>
            <w:pPr>
              <w:spacing w:after="0"/>
              <w:rPr>
                <w:sz w:val="20"/>
                <w:szCs w:val="20"/>
                <w:color w:val="auto"/>
              </w:rPr>
            </w:pPr>
          </w:p>
        </w:tc>
      </w:tr>
      <w:tr>
        <w:trPr>
          <w:trHeight w:val="301"/>
        </w:trPr>
        <w:tc>
          <w:tcPr>
            <w:tcW w:w="460" w:type="dxa"/>
            <w:vAlign w:val="bottom"/>
          </w:tcPr>
          <w:p>
            <w:pPr>
              <w:spacing w:after="0" w:line="300"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bscript"/>
              </w:rPr>
              <w:t>3.</w:t>
            </w:r>
          </w:p>
        </w:tc>
        <w:tc>
          <w:tcPr>
            <w:tcW w:w="6640" w:type="dxa"/>
            <w:vAlign w:val="bottom"/>
          </w:tcPr>
          <w:p>
            <w:pPr>
              <w:ind w:left="100"/>
              <w:spacing w:after="0"/>
              <w:rPr>
                <w:sz w:val="20"/>
                <w:szCs w:val="20"/>
                <w:color w:val="auto"/>
              </w:rPr>
            </w:pPr>
            <w:r>
              <w:rPr>
                <w:rFonts w:ascii="Arial" w:cs="Arial" w:eastAsia="Arial" w:hAnsi="Arial"/>
                <w:sz w:val="18"/>
                <w:szCs w:val="18"/>
                <w:color w:val="auto"/>
              </w:rPr>
              <w:t>To ratify the appointment of Deloitte &amp; Touche LLP as our independent registered</w:t>
            </w:r>
          </w:p>
        </w:tc>
        <w:tc>
          <w:tcPr>
            <w:tcW w:w="1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9"/>
        </w:trPr>
        <w:tc>
          <w:tcPr>
            <w:tcW w:w="460" w:type="dxa"/>
            <w:vAlign w:val="bottom"/>
          </w:tcPr>
          <w:p>
            <w:pPr>
              <w:spacing w:after="0"/>
              <w:rPr>
                <w:sz w:val="20"/>
                <w:szCs w:val="20"/>
                <w:color w:val="auto"/>
              </w:rPr>
            </w:pPr>
          </w:p>
        </w:tc>
        <w:tc>
          <w:tcPr>
            <w:tcW w:w="6640" w:type="dxa"/>
            <w:vAlign w:val="bottom"/>
          </w:tcPr>
          <w:p>
            <w:pPr>
              <w:ind w:left="100"/>
              <w:spacing w:after="0"/>
              <w:rPr>
                <w:sz w:val="20"/>
                <w:szCs w:val="20"/>
                <w:color w:val="auto"/>
              </w:rPr>
            </w:pPr>
            <w:r>
              <w:rPr>
                <w:rFonts w:ascii="Arial" w:cs="Arial" w:eastAsia="Arial" w:hAnsi="Arial"/>
                <w:sz w:val="18"/>
                <w:szCs w:val="18"/>
                <w:color w:val="auto"/>
              </w:rPr>
              <w:t>public accounting firm for fiscal 2022.</w:t>
            </w:r>
          </w:p>
        </w:tc>
        <w:tc>
          <w:tcPr>
            <w:tcW w:w="120" w:type="dxa"/>
            <w:vAlign w:val="bottom"/>
          </w:tcPr>
          <w:p>
            <w:pPr>
              <w:spacing w:after="0"/>
              <w:rPr>
                <w:sz w:val="20"/>
                <w:szCs w:val="20"/>
                <w:color w:val="auto"/>
              </w:rPr>
            </w:pPr>
          </w:p>
        </w:tc>
      </w:tr>
      <w:tr>
        <w:trPr>
          <w:trHeight w:val="301"/>
        </w:trPr>
        <w:tc>
          <w:tcPr>
            <w:tcW w:w="460" w:type="dxa"/>
            <w:vAlign w:val="bottom"/>
          </w:tcPr>
          <w:p>
            <w:pPr>
              <w:spacing w:after="0" w:line="300"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bscript"/>
              </w:rPr>
              <w:t>4.</w:t>
            </w:r>
          </w:p>
        </w:tc>
        <w:tc>
          <w:tcPr>
            <w:tcW w:w="6760" w:type="dxa"/>
            <w:vAlign w:val="bottom"/>
            <w:gridSpan w:val="2"/>
          </w:tcPr>
          <w:p>
            <w:pPr>
              <w:ind w:left="100"/>
              <w:spacing w:after="0" w:line="300" w:lineRule="exact"/>
              <w:rPr>
                <w:sz w:val="20"/>
                <w:szCs w:val="20"/>
                <w:color w:val="auto"/>
              </w:rPr>
            </w:pPr>
            <w:r>
              <w:rPr>
                <w:rFonts w:ascii="Arial" w:cs="Arial" w:eastAsia="Arial" w:hAnsi="Arial"/>
                <w:sz w:val="18"/>
                <w:szCs w:val="18"/>
                <w:color w:val="auto"/>
              </w:rPr>
              <w:t xml:space="preserve">To consider such other business as may properly come before the Annual Meeting </w:t>
            </w:r>
            <w:r>
              <w:rPr>
                <w:rFonts w:ascii="Arial" w:cs="Arial" w:eastAsia="Arial" w:hAnsi="Arial"/>
                <w:sz w:val="34"/>
                <w:szCs w:val="34"/>
                <w:color w:val="auto"/>
                <w:vertAlign w:val="superscript"/>
              </w:rPr>
              <w:t>​</w:t>
            </w:r>
          </w:p>
        </w:tc>
      </w:tr>
      <w:tr>
        <w:trPr>
          <w:trHeight w:val="239"/>
        </w:trPr>
        <w:tc>
          <w:tcPr>
            <w:tcW w:w="460" w:type="dxa"/>
            <w:vAlign w:val="bottom"/>
          </w:tcPr>
          <w:p>
            <w:pPr>
              <w:spacing w:after="0"/>
              <w:rPr>
                <w:sz w:val="20"/>
                <w:szCs w:val="20"/>
                <w:color w:val="auto"/>
              </w:rPr>
            </w:pPr>
          </w:p>
        </w:tc>
        <w:tc>
          <w:tcPr>
            <w:tcW w:w="6640" w:type="dxa"/>
            <w:vAlign w:val="bottom"/>
          </w:tcPr>
          <w:p>
            <w:pPr>
              <w:ind w:left="100"/>
              <w:spacing w:after="0"/>
              <w:rPr>
                <w:sz w:val="20"/>
                <w:szCs w:val="20"/>
                <w:color w:val="auto"/>
              </w:rPr>
            </w:pPr>
            <w:r>
              <w:rPr>
                <w:rFonts w:ascii="Arial" w:cs="Arial" w:eastAsia="Arial" w:hAnsi="Arial"/>
                <w:sz w:val="18"/>
                <w:szCs w:val="18"/>
                <w:color w:val="auto"/>
              </w:rPr>
              <w:t>and any adjournments or postponements thereof.</w:t>
            </w:r>
          </w:p>
        </w:tc>
        <w:tc>
          <w:tcPr>
            <w:tcW w:w="120" w:type="dxa"/>
            <w:vAlign w:val="bottom"/>
          </w:tcPr>
          <w:p>
            <w:pPr>
              <w:spacing w:after="0"/>
              <w:rPr>
                <w:sz w:val="20"/>
                <w:szCs w:val="20"/>
                <w:color w:val="auto"/>
              </w:rPr>
            </w:pPr>
          </w:p>
        </w:tc>
      </w:tr>
      <w:tr>
        <w:trPr>
          <w:trHeight w:val="301"/>
        </w:trPr>
        <w:tc>
          <w:tcPr>
            <w:tcW w:w="7100" w:type="dxa"/>
            <w:vAlign w:val="bottom"/>
            <w:gridSpan w:val="2"/>
          </w:tcPr>
          <w:p>
            <w:pPr>
              <w:spacing w:after="0" w:line="300"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color w:val="auto"/>
              </w:rPr>
              <w:t xml:space="preserve"> You may vote at the virtual Annual Meeting if you were a stockholder of record at the</w:t>
            </w:r>
          </w:p>
        </w:tc>
        <w:tc>
          <w:tcPr>
            <w:tcW w:w="1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9"/>
        </w:trPr>
        <w:tc>
          <w:tcPr>
            <w:tcW w:w="7100" w:type="dxa"/>
            <w:vAlign w:val="bottom"/>
            <w:gridSpan w:val="2"/>
          </w:tcPr>
          <w:p>
            <w:pPr>
              <w:ind w:left="200"/>
              <w:spacing w:after="0"/>
              <w:rPr>
                <w:sz w:val="20"/>
                <w:szCs w:val="20"/>
                <w:color w:val="auto"/>
              </w:rPr>
            </w:pPr>
            <w:r>
              <w:rPr>
                <w:rFonts w:ascii="Arial" w:cs="Arial" w:eastAsia="Arial" w:hAnsi="Arial"/>
                <w:sz w:val="18"/>
                <w:szCs w:val="18"/>
                <w:color w:val="auto"/>
              </w:rPr>
              <w:t>close of business on April 18, 2022.</w:t>
            </w:r>
          </w:p>
        </w:tc>
        <w:tc>
          <w:tcPr>
            <w:tcW w:w="1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580" w:space="200"/>
            <w:col w:w="7220"/>
          </w:cols>
          <w:pgMar w:left="580" w:top="97" w:right="1319" w:bottom="1440" w:gutter="0" w:footer="0" w:header="0"/>
          <w:type w:val="continuous"/>
        </w:sectPr>
      </w:pPr>
    </w:p>
    <w:tbl>
      <w:tblPr>
        <w:tblLayout w:type="fixed"/>
        <w:tblInd w:w="760" w:type="dxa"/>
        <w:tblCellMar>
          <w:top w:w="0" w:type="dxa"/>
          <w:left w:w="0" w:type="dxa"/>
          <w:bottom w:w="0" w:type="dxa"/>
          <w:right w:w="0" w:type="dxa"/>
        </w:tblCellMar>
      </w:tblPr>
      <w:tr>
        <w:trPr>
          <w:trHeight w:val="199"/>
        </w:trPr>
        <w:tc>
          <w:tcPr>
            <w:tcW w:w="136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860" w:type="dxa"/>
            <w:vAlign w:val="bottom"/>
          </w:tcPr>
          <w:p>
            <w:pPr>
              <w:ind w:left="660"/>
              <w:spacing w:after="0" w:line="199" w:lineRule="exact"/>
              <w:rPr>
                <w:sz w:val="20"/>
                <w:szCs w:val="20"/>
                <w:color w:val="auto"/>
              </w:rPr>
            </w:pPr>
            <w:r>
              <w:rPr>
                <w:rFonts w:ascii="Arial" w:cs="Arial" w:eastAsia="Arial" w:hAnsi="Arial"/>
                <w:sz w:val="18"/>
                <w:szCs w:val="18"/>
                <w:color w:val="auto"/>
              </w:rPr>
              <w:t>​ ​</w:t>
            </w:r>
          </w:p>
        </w:tc>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You may vote your shares on the Internet, by telephone or by completing, signing and</w:t>
            </w:r>
          </w:p>
        </w:tc>
        <w:tc>
          <w:tcPr>
            <w:tcW w:w="80" w:type="dxa"/>
            <w:vAlign w:val="bottom"/>
          </w:tcPr>
          <w:p>
            <w:pPr>
              <w:ind w:left="4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1360" w:type="dxa"/>
            <w:vAlign w:val="bottom"/>
          </w:tcPr>
          <w:p>
            <w:pPr>
              <w:spacing w:after="0" w:line="103" w:lineRule="exact"/>
              <w:rPr>
                <w:sz w:val="20"/>
                <w:szCs w:val="20"/>
                <w:color w:val="auto"/>
              </w:rPr>
            </w:pPr>
            <w:r>
              <w:rPr>
                <w:rFonts w:ascii="Arial" w:cs="Arial" w:eastAsia="Arial" w:hAnsi="Arial"/>
                <w:sz w:val="11"/>
                <w:szCs w:val="11"/>
                <w:b w:val="1"/>
                <w:bCs w:val="1"/>
                <w:color w:val="auto"/>
              </w:rPr>
              <w:t>VOTING</w:t>
            </w:r>
          </w:p>
        </w:tc>
        <w:tc>
          <w:tcPr>
            <w:tcW w:w="860" w:type="dxa"/>
            <w:vAlign w:val="bottom"/>
          </w:tcPr>
          <w:p>
            <w:pPr>
              <w:spacing w:after="0"/>
              <w:rPr>
                <w:sz w:val="8"/>
                <w:szCs w:val="8"/>
                <w:color w:val="auto"/>
              </w:rPr>
            </w:pPr>
          </w:p>
        </w:tc>
        <w:tc>
          <w:tcPr>
            <w:tcW w:w="69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w w:val="99"/>
              </w:rPr>
              <w:t>promptly returning a proxy card or you may attend the Annual Meeting online, vote your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shares and submit questions during the live meeting by visiting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940" w:type="dxa"/>
            <w:vAlign w:val="bottom"/>
            <w:gridSpan w:val="2"/>
          </w:tcPr>
          <w:p>
            <w:pPr>
              <w:spacing w:after="0" w:line="195" w:lineRule="exact"/>
              <w:rPr>
                <w:sz w:val="20"/>
                <w:szCs w:val="20"/>
                <w:color w:val="auto"/>
              </w:rPr>
            </w:pPr>
            <w:r>
              <w:rPr>
                <w:rFonts w:ascii="Arial" w:cs="Arial" w:eastAsia="Arial" w:hAnsi="Arial"/>
                <w:sz w:val="18"/>
                <w:szCs w:val="18"/>
                <w:color w:val="auto"/>
                <w:w w:val="99"/>
              </w:rPr>
              <w:t>meetnow.global/MYH4QL4. Voting online, by telephone or by returning your proxy card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does not deprive you of your right to attend the Annual Meeting online. If you do attend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the Annual Meeting online and wish to vote your shares online during the Annual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Meeting, you may do so and such vote will supersede any prior vote recorded. Voting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procedures are described on the following page and on the Notice of Internet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Availability of Proxy Materials and the proxy card.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740" w:type="dxa"/>
            <w:vAlign w:val="bottom"/>
          </w:tcPr>
          <w:p>
            <w:pPr>
              <w:ind w:left="260"/>
              <w:spacing w:after="0"/>
              <w:rPr>
                <w:sz w:val="20"/>
                <w:szCs w:val="20"/>
                <w:color w:val="auto"/>
              </w:rPr>
            </w:pPr>
            <w:r>
              <w:rPr>
                <w:rFonts w:ascii="Arial" w:cs="Arial" w:eastAsia="Arial" w:hAnsi="Arial"/>
                <w:sz w:val="18"/>
                <w:szCs w:val="18"/>
                <w:color w:val="auto"/>
              </w:rPr>
              <w:t>By Order of the Board of Directors,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83185</wp:posOffset>
            </wp:positionV>
            <wp:extent cx="1440180" cy="625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18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Jared Brandman</w:t>
      </w:r>
    </w:p>
    <w:p>
      <w:pPr>
        <w:spacing w:after="0" w:line="27"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98"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700" w:type="dxa"/>
            <w:vAlign w:val="bottom"/>
            <w:tcBorders>
              <w:top w:val="single" w:sz="8" w:color="3C5896"/>
              <w:left w:val="single" w:sz="8" w:color="3C5896"/>
            </w:tcBorders>
          </w:tcPr>
          <w:p>
            <w:pPr>
              <w:ind w:left="60"/>
              <w:spacing w:after="0"/>
              <w:rPr>
                <w:sz w:val="20"/>
                <w:szCs w:val="20"/>
                <w:color w:val="auto"/>
              </w:rPr>
            </w:pPr>
            <w:r>
              <w:rPr>
                <w:rFonts w:ascii="Arial" w:cs="Arial" w:eastAsia="Arial" w:hAnsi="Arial"/>
                <w:sz w:val="15"/>
                <w:szCs w:val="15"/>
                <w:b w:val="1"/>
                <w:bCs w:val="1"/>
                <w:i w:val="1"/>
                <w:iCs w:val="1"/>
                <w:color w:val="auto"/>
              </w:rPr>
              <w:t>​</w:t>
            </w:r>
          </w:p>
        </w:tc>
        <w:tc>
          <w:tcPr>
            <w:tcW w:w="7800" w:type="dxa"/>
            <w:vAlign w:val="bottom"/>
            <w:tcBorders>
              <w:top w:val="single" w:sz="8" w:color="3C5896"/>
            </w:tcBorders>
            <w:gridSpan w:val="3"/>
            <w:vMerge w:val="restart"/>
          </w:tcPr>
          <w:p>
            <w:pPr>
              <w:jc w:val="center"/>
              <w:spacing w:after="0"/>
              <w:rPr>
                <w:sz w:val="20"/>
                <w:szCs w:val="20"/>
                <w:color w:val="auto"/>
              </w:rPr>
            </w:pPr>
            <w:r>
              <w:rPr>
                <w:rFonts w:ascii="Arial" w:cs="Arial" w:eastAsia="Arial" w:hAnsi="Arial"/>
                <w:sz w:val="15"/>
                <w:szCs w:val="15"/>
                <w:b w:val="1"/>
                <w:bCs w:val="1"/>
                <w:i w:val="1"/>
                <w:iCs w:val="1"/>
                <w:color w:val="auto"/>
              </w:rPr>
              <w:t>Important Notice Regarding the Availability of Proxy Materials for the Stockholder Meeting</w:t>
            </w:r>
          </w:p>
        </w:tc>
        <w:tc>
          <w:tcPr>
            <w:tcW w:w="700" w:type="dxa"/>
            <w:vAlign w:val="bottom"/>
            <w:tcBorders>
              <w:top w:val="single" w:sz="8" w:color="3C5896"/>
              <w:right w:val="single" w:sz="8" w:color="3C5896"/>
            </w:tcBorders>
          </w:tcPr>
          <w:p>
            <w:pPr>
              <w:ind w:left="620"/>
              <w:spacing w:after="0"/>
              <w:rPr>
                <w:sz w:val="20"/>
                <w:szCs w:val="20"/>
                <w:color w:val="auto"/>
              </w:rPr>
            </w:pPr>
            <w:r>
              <w:rPr>
                <w:rFonts w:ascii="Arial" w:cs="Arial" w:eastAsia="Arial" w:hAnsi="Arial"/>
                <w:sz w:val="15"/>
                <w:szCs w:val="15"/>
                <w:b w:val="1"/>
                <w:bCs w:val="1"/>
                <w:i w:val="1"/>
                <w:iCs w:val="1"/>
                <w:color w:val="auto"/>
              </w:rPr>
              <w:t>​</w:t>
            </w:r>
          </w:p>
        </w:tc>
        <w:tc>
          <w:tcPr>
            <w:tcW w:w="0" w:type="dxa"/>
            <w:vAlign w:val="bottom"/>
          </w:tcPr>
          <w:p>
            <w:pPr>
              <w:spacing w:after="0"/>
              <w:rPr>
                <w:sz w:val="1"/>
                <w:szCs w:val="1"/>
                <w:color w:val="auto"/>
              </w:rPr>
            </w:pPr>
          </w:p>
        </w:tc>
      </w:tr>
      <w:tr>
        <w:trPr>
          <w:trHeight w:val="37"/>
        </w:trPr>
        <w:tc>
          <w:tcPr>
            <w:tcW w:w="700" w:type="dxa"/>
            <w:vAlign w:val="bottom"/>
            <w:tcBorders>
              <w:left w:val="single" w:sz="8" w:color="3C5896"/>
            </w:tcBorders>
          </w:tcPr>
          <w:p>
            <w:pPr>
              <w:spacing w:after="0"/>
              <w:rPr>
                <w:sz w:val="3"/>
                <w:szCs w:val="3"/>
                <w:color w:val="auto"/>
              </w:rPr>
            </w:pPr>
          </w:p>
        </w:tc>
        <w:tc>
          <w:tcPr>
            <w:tcW w:w="7800" w:type="dxa"/>
            <w:vAlign w:val="bottom"/>
            <w:gridSpan w:val="3"/>
            <w:vMerge w:val="continue"/>
          </w:tcPr>
          <w:p>
            <w:pPr>
              <w:spacing w:after="0"/>
              <w:rPr>
                <w:sz w:val="3"/>
                <w:szCs w:val="3"/>
                <w:color w:val="auto"/>
              </w:rPr>
            </w:pPr>
          </w:p>
        </w:tc>
        <w:tc>
          <w:tcPr>
            <w:tcW w:w="700" w:type="dxa"/>
            <w:vAlign w:val="bottom"/>
            <w:tcBorders>
              <w:right w:val="single" w:sz="8" w:color="3C5896"/>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700" w:type="dxa"/>
            <w:vAlign w:val="bottom"/>
            <w:tcBorders>
              <w:left w:val="single" w:sz="8" w:color="3C5896"/>
            </w:tcBorders>
          </w:tcPr>
          <w:p>
            <w:pPr>
              <w:spacing w:after="0"/>
              <w:rPr>
                <w:sz w:val="15"/>
                <w:szCs w:val="15"/>
                <w:color w:val="auto"/>
              </w:rPr>
            </w:pPr>
          </w:p>
        </w:tc>
        <w:tc>
          <w:tcPr>
            <w:tcW w:w="7800" w:type="dxa"/>
            <w:vAlign w:val="bottom"/>
            <w:gridSpan w:val="3"/>
          </w:tcPr>
          <w:p>
            <w:pPr>
              <w:jc w:val="center"/>
              <w:ind w:right="20"/>
              <w:spacing w:after="0"/>
              <w:rPr>
                <w:sz w:val="20"/>
                <w:szCs w:val="20"/>
                <w:color w:val="auto"/>
              </w:rPr>
            </w:pPr>
            <w:r>
              <w:rPr>
                <w:rFonts w:ascii="Arial" w:cs="Arial" w:eastAsia="Arial" w:hAnsi="Arial"/>
                <w:sz w:val="15"/>
                <w:szCs w:val="15"/>
                <w:b w:val="1"/>
                <w:bCs w:val="1"/>
                <w:i w:val="1"/>
                <w:iCs w:val="1"/>
                <w:color w:val="auto"/>
              </w:rPr>
              <w:t>to Be Held on Wednesday, June 15, 2022: This Proxy Statement and our Annual Report</w:t>
            </w:r>
          </w:p>
        </w:tc>
        <w:tc>
          <w:tcPr>
            <w:tcW w:w="700" w:type="dxa"/>
            <w:vAlign w:val="bottom"/>
            <w:tcBorders>
              <w:right w:val="single" w:sz="8" w:color="3C5896"/>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00" w:type="dxa"/>
            <w:vAlign w:val="bottom"/>
            <w:tcBorders>
              <w:left w:val="single" w:sz="8" w:color="3C5896"/>
            </w:tcBorders>
          </w:tcPr>
          <w:p>
            <w:pPr>
              <w:spacing w:after="0"/>
              <w:rPr>
                <w:sz w:val="14"/>
                <w:szCs w:val="14"/>
                <w:color w:val="auto"/>
              </w:rPr>
            </w:pPr>
          </w:p>
        </w:tc>
        <w:tc>
          <w:tcPr>
            <w:tcW w:w="7800" w:type="dxa"/>
            <w:vAlign w:val="bottom"/>
            <w:gridSpan w:val="3"/>
          </w:tcPr>
          <w:p>
            <w:pPr>
              <w:jc w:val="center"/>
              <w:spacing w:after="0" w:line="166" w:lineRule="exact"/>
              <w:rPr>
                <w:sz w:val="20"/>
                <w:szCs w:val="20"/>
                <w:color w:val="auto"/>
              </w:rPr>
            </w:pPr>
            <w:r>
              <w:rPr>
                <w:rFonts w:ascii="Arial" w:cs="Arial" w:eastAsia="Arial" w:hAnsi="Arial"/>
                <w:sz w:val="15"/>
                <w:szCs w:val="15"/>
                <w:b w:val="1"/>
                <w:bCs w:val="1"/>
                <w:i w:val="1"/>
                <w:iCs w:val="1"/>
                <w:color w:val="auto"/>
              </w:rPr>
              <w:t>are available free of charge at www.edocumentview.com/EYE.</w:t>
            </w:r>
          </w:p>
        </w:tc>
        <w:tc>
          <w:tcPr>
            <w:tcW w:w="700" w:type="dxa"/>
            <w:vAlign w:val="bottom"/>
            <w:tcBorders>
              <w:right w:val="single" w:sz="8" w:color="3C5896"/>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00" w:type="dxa"/>
            <w:vAlign w:val="bottom"/>
            <w:tcBorders>
              <w:left w:val="single" w:sz="8" w:color="3C5896"/>
              <w:bottom w:val="single" w:sz="8" w:color="3C5896"/>
            </w:tcBorders>
          </w:tcPr>
          <w:p>
            <w:pPr>
              <w:spacing w:after="0"/>
              <w:rPr>
                <w:sz w:val="11"/>
                <w:szCs w:val="11"/>
                <w:color w:val="auto"/>
              </w:rPr>
            </w:pPr>
          </w:p>
        </w:tc>
        <w:tc>
          <w:tcPr>
            <w:tcW w:w="3840" w:type="dxa"/>
            <w:vAlign w:val="bottom"/>
            <w:tcBorders>
              <w:bottom w:val="single" w:sz="8" w:color="3C5896"/>
            </w:tcBorders>
          </w:tcPr>
          <w:p>
            <w:pPr>
              <w:spacing w:after="0"/>
              <w:rPr>
                <w:sz w:val="11"/>
                <w:szCs w:val="11"/>
                <w:color w:val="auto"/>
              </w:rPr>
            </w:pPr>
          </w:p>
        </w:tc>
        <w:tc>
          <w:tcPr>
            <w:tcW w:w="2240" w:type="dxa"/>
            <w:vAlign w:val="bottom"/>
            <w:tcBorders>
              <w:top w:val="single" w:sz="8" w:color="auto"/>
              <w:bottom w:val="single" w:sz="8" w:color="3C5896"/>
            </w:tcBorders>
          </w:tcPr>
          <w:p>
            <w:pPr>
              <w:spacing w:after="0"/>
              <w:rPr>
                <w:sz w:val="11"/>
                <w:szCs w:val="11"/>
                <w:color w:val="auto"/>
              </w:rPr>
            </w:pPr>
          </w:p>
        </w:tc>
        <w:tc>
          <w:tcPr>
            <w:tcW w:w="1720" w:type="dxa"/>
            <w:vAlign w:val="bottom"/>
            <w:tcBorders>
              <w:bottom w:val="single" w:sz="8" w:color="3C5896"/>
            </w:tcBorders>
          </w:tcPr>
          <w:p>
            <w:pPr>
              <w:spacing w:after="0"/>
              <w:rPr>
                <w:sz w:val="11"/>
                <w:szCs w:val="11"/>
                <w:color w:val="auto"/>
              </w:rPr>
            </w:pPr>
          </w:p>
        </w:tc>
        <w:tc>
          <w:tcPr>
            <w:tcW w:w="700" w:type="dxa"/>
            <w:vAlign w:val="bottom"/>
            <w:tcBorders>
              <w:bottom w:val="single" w:sz="8" w:color="3C5896"/>
              <w:right w:val="single" w:sz="8" w:color="3C5896"/>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  </w:t>
      </w:r>
      <w:r>
        <w:rPr>
          <w:sz w:val="1"/>
          <w:szCs w:val="1"/>
          <w:color w:val="auto"/>
        </w:rPr>
        <w:drawing>
          <wp:inline distT="0" distB="0" distL="0" distR="0">
            <wp:extent cx="299720" cy="24003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FFFFFF"/>
        </w:rPr>
        <w:t>PROXY STATEMENT SUMMARY​</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 SUMMARY</w:t>
      </w:r>
    </w:p>
    <w:p>
      <w:pPr>
        <w:spacing w:after="0" w:line="129" w:lineRule="exact"/>
        <w:rPr>
          <w:sz w:val="20"/>
          <w:szCs w:val="20"/>
          <w:color w:val="auto"/>
        </w:rPr>
      </w:pPr>
    </w:p>
    <w:p>
      <w:pPr>
        <w:jc w:val="both"/>
        <w:ind w:left="760" w:right="760"/>
        <w:spacing w:after="0" w:line="259" w:lineRule="auto"/>
        <w:rPr>
          <w:sz w:val="20"/>
          <w:szCs w:val="20"/>
          <w:color w:val="auto"/>
        </w:rPr>
      </w:pPr>
      <w:r>
        <w:rPr>
          <w:rFonts w:ascii="Arial" w:cs="Arial" w:eastAsia="Arial" w:hAnsi="Arial"/>
          <w:sz w:val="18"/>
          <w:szCs w:val="18"/>
          <w:color w:val="auto"/>
        </w:rPr>
        <w:t>We are providing this proxy statement to you in connection with the solicitation of proxies by the Board of Directors (the “Board of Directors” or the “Board”) of National Vision Holdings, Inc. (the “Company”) for the 2022 Annual Meeting of Stockholders (the “Annual Meeting”) and for any adjournment or postponement of the Annual Meeting. This summary highlights information contained elsewhere in this proxy statement. This summary does not contain all the information you should consider, and you should read the entire proxy statement carefully before voting.</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157480</wp:posOffset>
            </wp:positionV>
            <wp:extent cx="3429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180340"/>
                    </a:xfrm>
                    <a:prstGeom prst="rect">
                      <a:avLst/>
                    </a:prstGeom>
                    <a:noFill/>
                  </pic:spPr>
                </pic:pic>
              </a:graphicData>
            </a:graphic>
          </wp:anchor>
        </w:drawing>
      </w:r>
    </w:p>
    <w:p>
      <w:pPr>
        <w:spacing w:after="0" w:line="208" w:lineRule="exact"/>
        <w:rPr>
          <w:sz w:val="20"/>
          <w:szCs w:val="20"/>
          <w:color w:val="auto"/>
        </w:rPr>
      </w:pPr>
    </w:p>
    <w:tbl>
      <w:tblPr>
        <w:tblLayout w:type="fixed"/>
        <w:tblInd w:w="760" w:type="dxa"/>
        <w:tblCellMar>
          <w:top w:w="0" w:type="dxa"/>
          <w:left w:w="0" w:type="dxa"/>
          <w:bottom w:w="0" w:type="dxa"/>
          <w:right w:w="0" w:type="dxa"/>
        </w:tblCellMar>
      </w:tblPr>
      <w:tr>
        <w:trPr>
          <w:trHeight w:val="284"/>
        </w:trPr>
        <w:tc>
          <w:tcPr>
            <w:tcW w:w="20" w:type="dxa"/>
            <w:vAlign w:val="bottom"/>
            <w:tcBorders>
              <w:top w:val="single" w:sz="8" w:color="3C5896"/>
            </w:tcBorders>
          </w:tcPr>
          <w:p>
            <w:pPr>
              <w:spacing w:after="0"/>
              <w:rPr>
                <w:sz w:val="24"/>
                <w:szCs w:val="24"/>
                <w:color w:val="auto"/>
              </w:rPr>
            </w:pPr>
          </w:p>
        </w:tc>
        <w:tc>
          <w:tcPr>
            <w:tcW w:w="80" w:type="dxa"/>
            <w:vAlign w:val="bottom"/>
            <w:tcBorders>
              <w:top w:val="single" w:sz="8" w:color="3C5896"/>
            </w:tcBorders>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2520" w:type="dxa"/>
            <w:vAlign w:val="bottom"/>
            <w:tcBorders>
              <w:top w:val="single" w:sz="8" w:color="3C5896"/>
            </w:tcBorders>
            <w:shd w:val="clear" w:color="auto" w:fill="3C5896"/>
          </w:tcPr>
          <w:p>
            <w:pPr>
              <w:jc w:val="center"/>
              <w:ind w:left="50"/>
              <w:spacing w:after="0"/>
              <w:rPr>
                <w:sz w:val="20"/>
                <w:szCs w:val="20"/>
                <w:color w:val="auto"/>
              </w:rPr>
            </w:pPr>
            <w:r>
              <w:rPr>
                <w:rFonts w:ascii="Arial" w:cs="Arial" w:eastAsia="Arial" w:hAnsi="Arial"/>
                <w:sz w:val="18"/>
                <w:szCs w:val="18"/>
                <w:b w:val="1"/>
                <w:bCs w:val="1"/>
                <w:color w:val="FFFFFF"/>
                <w:w w:val="98"/>
              </w:rPr>
              <w:t>Date &amp; Time</w:t>
            </w:r>
          </w:p>
        </w:tc>
        <w:tc>
          <w:tcPr>
            <w:tcW w:w="280" w:type="dxa"/>
            <w:vAlign w:val="bottom"/>
            <w:tcBorders>
              <w:top w:val="single" w:sz="8" w:color="3C5896"/>
              <w:right w:val="single" w:sz="8" w:color="9EACCA"/>
            </w:tcBorders>
            <w:shd w:val="clear" w:color="auto" w:fill="3C5896"/>
          </w:tcPr>
          <w:p>
            <w:pPr>
              <w:ind w:left="220"/>
              <w:spacing w:after="0"/>
              <w:rPr>
                <w:sz w:val="20"/>
                <w:szCs w:val="20"/>
                <w:color w:val="auto"/>
              </w:rPr>
            </w:pPr>
            <w:r>
              <w:rPr>
                <w:rFonts w:ascii="Arial" w:cs="Arial" w:eastAsia="Arial" w:hAnsi="Arial"/>
                <w:sz w:val="18"/>
                <w:szCs w:val="18"/>
                <w:b w:val="1"/>
                <w:bCs w:val="1"/>
                <w:color w:val="FFFFFF"/>
              </w:rPr>
              <w:t>​</w:t>
            </w:r>
          </w:p>
        </w:tc>
        <w:tc>
          <w:tcPr>
            <w:tcW w:w="260" w:type="dxa"/>
            <w:vAlign w:val="bottom"/>
            <w:tcBorders>
              <w:top w:val="single" w:sz="8" w:color="3C5896"/>
            </w:tcBorders>
            <w:shd w:val="clear" w:color="auto" w:fill="3C5896"/>
          </w:tcPr>
          <w:p>
            <w:pPr>
              <w:ind w:left="60"/>
              <w:spacing w:after="0"/>
              <w:rPr>
                <w:sz w:val="20"/>
                <w:szCs w:val="20"/>
                <w:color w:val="auto"/>
              </w:rPr>
            </w:pPr>
            <w:r>
              <w:rPr>
                <w:rFonts w:ascii="Arial" w:cs="Arial" w:eastAsia="Arial" w:hAnsi="Arial"/>
                <w:sz w:val="18"/>
                <w:szCs w:val="18"/>
                <w:b w:val="1"/>
                <w:bCs w:val="1"/>
                <w:color w:val="FFFFFF"/>
              </w:rPr>
              <w:t>​</w:t>
            </w:r>
          </w:p>
        </w:tc>
        <w:tc>
          <w:tcPr>
            <w:tcW w:w="360" w:type="dxa"/>
            <w:vAlign w:val="bottom"/>
            <w:tcBorders>
              <w:top w:val="single" w:sz="8" w:color="3C5896"/>
            </w:tcBorders>
            <w:shd w:val="clear" w:color="auto" w:fill="3C5896"/>
          </w:tcPr>
          <w:p>
            <w:pPr>
              <w:spacing w:after="0"/>
              <w:rPr>
                <w:sz w:val="24"/>
                <w:szCs w:val="24"/>
                <w:color w:val="auto"/>
              </w:rPr>
            </w:pPr>
          </w:p>
        </w:tc>
        <w:tc>
          <w:tcPr>
            <w:tcW w:w="2520" w:type="dxa"/>
            <w:vAlign w:val="bottom"/>
            <w:tcBorders>
              <w:top w:val="single" w:sz="8" w:color="3C5896"/>
            </w:tcBorders>
            <w:gridSpan w:val="2"/>
            <w:shd w:val="clear" w:color="auto" w:fill="3C5896"/>
          </w:tcPr>
          <w:p>
            <w:pPr>
              <w:jc w:val="center"/>
              <w:ind w:right="380"/>
              <w:spacing w:after="0"/>
              <w:rPr>
                <w:sz w:val="20"/>
                <w:szCs w:val="20"/>
                <w:color w:val="auto"/>
              </w:rPr>
            </w:pPr>
            <w:r>
              <w:rPr>
                <w:rFonts w:ascii="Arial" w:cs="Arial" w:eastAsia="Arial" w:hAnsi="Arial"/>
                <w:sz w:val="18"/>
                <w:szCs w:val="18"/>
                <w:b w:val="1"/>
                <w:bCs w:val="1"/>
                <w:color w:val="FFFFFF"/>
                <w:w w:val="98"/>
              </w:rPr>
              <w:t>Location</w:t>
            </w:r>
          </w:p>
        </w:tc>
        <w:tc>
          <w:tcPr>
            <w:tcW w:w="260" w:type="dxa"/>
            <w:vAlign w:val="bottom"/>
            <w:tcBorders>
              <w:top w:val="single" w:sz="8" w:color="3C5896"/>
              <w:right w:val="single" w:sz="8" w:color="9EACCA"/>
            </w:tcBorders>
            <w:shd w:val="clear" w:color="auto" w:fill="3C5896"/>
          </w:tcPr>
          <w:p>
            <w:pPr>
              <w:ind w:left="200"/>
              <w:spacing w:after="0"/>
              <w:rPr>
                <w:sz w:val="20"/>
                <w:szCs w:val="20"/>
                <w:color w:val="auto"/>
              </w:rPr>
            </w:pPr>
            <w:r>
              <w:rPr>
                <w:rFonts w:ascii="Arial" w:cs="Arial" w:eastAsia="Arial" w:hAnsi="Arial"/>
                <w:sz w:val="18"/>
                <w:szCs w:val="18"/>
                <w:b w:val="1"/>
                <w:bCs w:val="1"/>
                <w:color w:val="FFFFFF"/>
              </w:rPr>
              <w:t>​</w:t>
            </w:r>
          </w:p>
        </w:tc>
        <w:tc>
          <w:tcPr>
            <w:tcW w:w="120" w:type="dxa"/>
            <w:vAlign w:val="bottom"/>
            <w:tcBorders>
              <w:top w:val="single" w:sz="8" w:color="3C5896"/>
            </w:tcBorders>
            <w:shd w:val="clear" w:color="auto" w:fill="3C5896"/>
          </w:tcPr>
          <w:p>
            <w:pPr>
              <w:ind w:left="40"/>
              <w:spacing w:after="0"/>
              <w:rPr>
                <w:sz w:val="20"/>
                <w:szCs w:val="20"/>
                <w:color w:val="auto"/>
              </w:rPr>
            </w:pPr>
            <w:r>
              <w:rPr>
                <w:rFonts w:ascii="Arial" w:cs="Arial" w:eastAsia="Arial" w:hAnsi="Arial"/>
                <w:sz w:val="18"/>
                <w:szCs w:val="18"/>
                <w:b w:val="1"/>
                <w:bCs w:val="1"/>
                <w:color w:val="FFFFFF"/>
              </w:rPr>
              <w:t>​</w:t>
            </w:r>
          </w:p>
        </w:tc>
        <w:tc>
          <w:tcPr>
            <w:tcW w:w="2600" w:type="dxa"/>
            <w:vAlign w:val="bottom"/>
            <w:tcBorders>
              <w:top w:val="single" w:sz="8" w:color="3C5896"/>
            </w:tcBorders>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Record Date</w:t>
            </w:r>
          </w:p>
        </w:tc>
        <w:tc>
          <w:tcPr>
            <w:tcW w:w="180" w:type="dxa"/>
            <w:vAlign w:val="bottom"/>
            <w:tcBorders>
              <w:top w:val="single" w:sz="8" w:color="3C5896"/>
              <w:right w:val="single" w:sz="8" w:color="3C5896"/>
            </w:tcBorders>
            <w:shd w:val="clear" w:color="auto" w:fill="3C5896"/>
          </w:tcPr>
          <w:p>
            <w:pPr>
              <w:ind w:left="14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Pr>
          <w:p>
            <w:pPr>
              <w:spacing w:after="0"/>
              <w:rPr>
                <w:sz w:val="24"/>
                <w:szCs w:val="24"/>
                <w:color w:val="auto"/>
              </w:rPr>
            </w:pPr>
          </w:p>
        </w:tc>
      </w:tr>
      <w:tr>
        <w:trPr>
          <w:trHeight w:val="211"/>
        </w:trPr>
        <w:tc>
          <w:tcPr>
            <w:tcW w:w="20" w:type="dxa"/>
            <w:vAlign w:val="bottom"/>
            <w:shd w:val="clear" w:color="auto" w:fill="3C5896"/>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w w:val="98"/>
              </w:rPr>
              <w:t>June 15, 2022</w:t>
            </w:r>
          </w:p>
        </w:tc>
        <w:tc>
          <w:tcPr>
            <w:tcW w:w="280" w:type="dxa"/>
            <w:vAlign w:val="bottom"/>
            <w:tcBorders>
              <w:right w:val="single" w:sz="8" w:color="9EACCA"/>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8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The Annual Meeting will be held</w:t>
            </w:r>
          </w:p>
        </w:tc>
        <w:tc>
          <w:tcPr>
            <w:tcW w:w="260" w:type="dxa"/>
            <w:vAlign w:val="bottom"/>
            <w:tcBorders>
              <w:right w:val="single" w:sz="8" w:color="9EACCA"/>
            </w:tcBorders>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600" w:type="dxa"/>
            <w:vAlign w:val="bottom"/>
          </w:tcPr>
          <w:p>
            <w:pPr>
              <w:jc w:val="center"/>
              <w:spacing w:after="0"/>
              <w:rPr>
                <w:sz w:val="20"/>
                <w:szCs w:val="20"/>
                <w:color w:val="auto"/>
              </w:rPr>
            </w:pPr>
            <w:r>
              <w:rPr>
                <w:rFonts w:ascii="Arial" w:cs="Arial" w:eastAsia="Arial" w:hAnsi="Arial"/>
                <w:sz w:val="18"/>
                <w:szCs w:val="18"/>
                <w:color w:val="auto"/>
                <w:w w:val="99"/>
              </w:rPr>
              <w:t>Record holders as of April 18,</w:t>
            </w:r>
          </w:p>
        </w:tc>
        <w:tc>
          <w:tcPr>
            <w:tcW w:w="180" w:type="dxa"/>
            <w:vAlign w:val="bottom"/>
          </w:tcPr>
          <w:p>
            <w:pPr>
              <w:ind w:left="14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8"/>
                <w:szCs w:val="18"/>
                <w:color w:val="auto"/>
              </w:rPr>
            </w:pPr>
          </w:p>
        </w:tc>
      </w:tr>
      <w:tr>
        <w:trPr>
          <w:trHeight w:val="216"/>
        </w:trPr>
        <w:tc>
          <w:tcPr>
            <w:tcW w:w="20" w:type="dxa"/>
            <w:vAlign w:val="bottom"/>
            <w:shd w:val="clear" w:color="auto" w:fill="3C5896"/>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tcPr>
          <w:p>
            <w:pPr>
              <w:jc w:val="center"/>
              <w:ind w:left="50"/>
              <w:spacing w:after="0"/>
              <w:rPr>
                <w:sz w:val="20"/>
                <w:szCs w:val="20"/>
                <w:color w:val="auto"/>
              </w:rPr>
            </w:pPr>
            <w:r>
              <w:rPr>
                <w:rFonts w:ascii="Arial" w:cs="Arial" w:eastAsia="Arial" w:hAnsi="Arial"/>
                <w:sz w:val="18"/>
                <w:szCs w:val="18"/>
                <w:color w:val="auto"/>
                <w:w w:val="98"/>
              </w:rPr>
              <w:t>1:00 p.m., Eastern Time</w:t>
            </w:r>
          </w:p>
        </w:tc>
        <w:tc>
          <w:tcPr>
            <w:tcW w:w="280" w:type="dxa"/>
            <w:vAlign w:val="bottom"/>
            <w:tcBorders>
              <w:right w:val="single" w:sz="8" w:color="9EACCA"/>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exclusively online at</w:t>
            </w:r>
          </w:p>
        </w:tc>
        <w:tc>
          <w:tcPr>
            <w:tcW w:w="260" w:type="dxa"/>
            <w:vAlign w:val="bottom"/>
            <w:tcBorders>
              <w:right w:val="single" w:sz="8" w:color="9EACCA"/>
            </w:tcBorders>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2"/>
          </w:tcPr>
          <w:p>
            <w:pPr>
              <w:jc w:val="center"/>
              <w:ind w:right="66"/>
              <w:spacing w:after="0"/>
              <w:rPr>
                <w:sz w:val="20"/>
                <w:szCs w:val="20"/>
                <w:color w:val="auto"/>
              </w:rPr>
            </w:pPr>
            <w:r>
              <w:rPr>
                <w:rFonts w:ascii="Arial" w:cs="Arial" w:eastAsia="Arial" w:hAnsi="Arial"/>
                <w:sz w:val="18"/>
                <w:szCs w:val="18"/>
                <w:color w:val="auto"/>
                <w:w w:val="98"/>
              </w:rPr>
              <w:t>2022 are entitled to notice of, and</w:t>
            </w:r>
          </w:p>
        </w:tc>
        <w:tc>
          <w:tcPr>
            <w:tcW w:w="20" w:type="dxa"/>
            <w:vAlign w:val="bottom"/>
          </w:tcPr>
          <w:p>
            <w:pPr>
              <w:spacing w:after="0"/>
              <w:rPr>
                <w:sz w:val="18"/>
                <w:szCs w:val="18"/>
                <w:color w:val="auto"/>
              </w:rPr>
            </w:pPr>
          </w:p>
        </w:tc>
      </w:tr>
      <w:tr>
        <w:trPr>
          <w:trHeight w:val="262"/>
        </w:trPr>
        <w:tc>
          <w:tcPr>
            <w:tcW w:w="20" w:type="dxa"/>
            <w:vAlign w:val="bottom"/>
            <w:tcBorders>
              <w:bottom w:val="single" w:sz="8" w:color="3C5896"/>
            </w:tcBorders>
            <w:shd w:val="clear" w:color="auto" w:fill="3C5896"/>
          </w:tcPr>
          <w:p>
            <w:pPr>
              <w:spacing w:after="0"/>
              <w:rPr>
                <w:sz w:val="22"/>
                <w:szCs w:val="22"/>
                <w:color w:val="auto"/>
              </w:rPr>
            </w:pPr>
          </w:p>
        </w:tc>
        <w:tc>
          <w:tcPr>
            <w:tcW w:w="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80" w:type="dxa"/>
            <w:vAlign w:val="bottom"/>
            <w:tcBorders>
              <w:right w:val="single" w:sz="8" w:color="9EACCA"/>
            </w:tcBorders>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meetnow.global/MYH4QL4</w:t>
            </w:r>
          </w:p>
        </w:tc>
        <w:tc>
          <w:tcPr>
            <w:tcW w:w="380" w:type="dxa"/>
            <w:vAlign w:val="bottom"/>
          </w:tcPr>
          <w:p>
            <w:pPr>
              <w:spacing w:after="0"/>
              <w:rPr>
                <w:sz w:val="22"/>
                <w:szCs w:val="22"/>
                <w:color w:val="auto"/>
              </w:rPr>
            </w:pPr>
          </w:p>
        </w:tc>
        <w:tc>
          <w:tcPr>
            <w:tcW w:w="260" w:type="dxa"/>
            <w:vAlign w:val="bottom"/>
            <w:tcBorders>
              <w:right w:val="single" w:sz="8" w:color="9EACCA"/>
            </w:tcBorders>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tcPr>
          <w:p>
            <w:pPr>
              <w:jc w:val="center"/>
              <w:spacing w:after="0" w:line="195" w:lineRule="exact"/>
              <w:rPr>
                <w:sz w:val="20"/>
                <w:szCs w:val="20"/>
                <w:color w:val="auto"/>
              </w:rPr>
            </w:pPr>
            <w:r>
              <w:rPr>
                <w:rFonts w:ascii="Arial" w:cs="Arial" w:eastAsia="Arial" w:hAnsi="Arial"/>
                <w:sz w:val="18"/>
                <w:szCs w:val="18"/>
                <w:color w:val="auto"/>
                <w:w w:val="99"/>
              </w:rPr>
              <w:t>to vote at, the Annual Meeting</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9"/>
        </w:trPr>
        <w:tc>
          <w:tcPr>
            <w:tcW w:w="20" w:type="dxa"/>
            <w:vAlign w:val="bottom"/>
            <w:tcBorders>
              <w:top w:val="single" w:sz="8" w:color="3C5896"/>
              <w:bottom w:val="single" w:sz="8" w:color="3C5896"/>
            </w:tcBorders>
          </w:tcPr>
          <w:p>
            <w:pPr>
              <w:spacing w:after="0"/>
              <w:rPr>
                <w:sz w:val="14"/>
                <w:szCs w:val="14"/>
                <w:color w:val="auto"/>
              </w:rPr>
            </w:pPr>
          </w:p>
        </w:tc>
        <w:tc>
          <w:tcPr>
            <w:tcW w:w="3500" w:type="dxa"/>
            <w:vAlign w:val="bottom"/>
            <w:tcBorders>
              <w:top w:val="single" w:sz="8" w:color="3C5896"/>
              <w:bottom w:val="single" w:sz="8" w:color="3C5896"/>
            </w:tcBorders>
            <w:gridSpan w:val="5"/>
          </w:tcPr>
          <w:p>
            <w:pPr>
              <w:spacing w:after="0"/>
              <w:rPr>
                <w:sz w:val="14"/>
                <w:szCs w:val="14"/>
                <w:color w:val="auto"/>
              </w:rPr>
            </w:pPr>
          </w:p>
        </w:tc>
        <w:tc>
          <w:tcPr>
            <w:tcW w:w="2140" w:type="dxa"/>
            <w:vAlign w:val="bottom"/>
            <w:tcBorders>
              <w:top w:val="single" w:sz="8" w:color="3C5896"/>
              <w:bottom w:val="single" w:sz="8" w:color="3C5896"/>
            </w:tcBorders>
          </w:tcPr>
          <w:p>
            <w:pPr>
              <w:spacing w:after="0"/>
              <w:rPr>
                <w:sz w:val="14"/>
                <w:szCs w:val="14"/>
                <w:color w:val="auto"/>
              </w:rPr>
            </w:pPr>
          </w:p>
        </w:tc>
        <w:tc>
          <w:tcPr>
            <w:tcW w:w="3360" w:type="dxa"/>
            <w:vAlign w:val="bottom"/>
            <w:tcBorders>
              <w:top w:val="single" w:sz="8" w:color="3C5896"/>
              <w:bottom w:val="single" w:sz="8" w:color="3C5896"/>
            </w:tcBorders>
            <w:gridSpan w:val="4"/>
          </w:tcPr>
          <w:p>
            <w:pPr>
              <w:spacing w:after="0"/>
              <w:rPr>
                <w:sz w:val="14"/>
                <w:szCs w:val="14"/>
                <w:color w:val="auto"/>
              </w:rPr>
            </w:pPr>
          </w:p>
        </w:tc>
        <w:tc>
          <w:tcPr>
            <w:tcW w:w="180" w:type="dxa"/>
            <w:vAlign w:val="bottom"/>
            <w:tcBorders>
              <w:top w:val="single" w:sz="8" w:color="3C5896"/>
              <w:bottom w:val="single" w:sz="8" w:color="3C5896"/>
            </w:tcBorders>
          </w:tcPr>
          <w:p>
            <w:pPr>
              <w:spacing w:after="0"/>
              <w:rPr>
                <w:sz w:val="14"/>
                <w:szCs w:val="14"/>
                <w:color w:val="auto"/>
              </w:rPr>
            </w:pPr>
          </w:p>
        </w:tc>
        <w:tc>
          <w:tcPr>
            <w:tcW w:w="20" w:type="dxa"/>
            <w:vAlign w:val="bottom"/>
          </w:tcPr>
          <w:p>
            <w:pPr>
              <w:spacing w:after="0"/>
              <w:rPr>
                <w:sz w:val="14"/>
                <w:szCs w:val="14"/>
                <w:color w:val="auto"/>
              </w:rPr>
            </w:pPr>
          </w:p>
        </w:tc>
      </w:tr>
      <w:tr>
        <w:trPr>
          <w:trHeight w:val="258"/>
        </w:trPr>
        <w:tc>
          <w:tcPr>
            <w:tcW w:w="20" w:type="dxa"/>
            <w:vAlign w:val="bottom"/>
            <w:shd w:val="clear" w:color="auto" w:fill="3C5896"/>
          </w:tcPr>
          <w:p>
            <w:pPr>
              <w:spacing w:after="0"/>
              <w:rPr>
                <w:sz w:val="22"/>
                <w:szCs w:val="22"/>
                <w:color w:val="auto"/>
              </w:rPr>
            </w:pPr>
          </w:p>
        </w:tc>
        <w:tc>
          <w:tcPr>
            <w:tcW w:w="9000" w:type="dxa"/>
            <w:vAlign w:val="bottom"/>
            <w:gridSpan w:val="10"/>
          </w:tcPr>
          <w:p>
            <w:pPr>
              <w:spacing w:after="0" w:line="258" w:lineRule="exact"/>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6"/>
                <w:szCs w:val="16"/>
                <w:b w:val="1"/>
                <w:bCs w:val="1"/>
                <w:color w:val="auto"/>
              </w:rPr>
              <w:t xml:space="preserve"> On or about April 26, 2022, we started mailing the Notice of Internet Availability of Proxy Materials to our</w:t>
            </w:r>
          </w:p>
        </w:tc>
        <w:tc>
          <w:tcPr>
            <w:tcW w:w="180" w:type="dxa"/>
            <w:vAlign w:val="bottom"/>
            <w:tcBorders>
              <w:right w:val="single" w:sz="8" w:color="3C5896"/>
            </w:tcBorders>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r>
      <w:tr>
        <w:trPr>
          <w:trHeight w:val="247"/>
        </w:trPr>
        <w:tc>
          <w:tcPr>
            <w:tcW w:w="20" w:type="dxa"/>
            <w:vAlign w:val="bottom"/>
            <w:shd w:val="clear" w:color="auto" w:fill="3C5896"/>
          </w:tcPr>
          <w:p>
            <w:pPr>
              <w:spacing w:after="0"/>
              <w:rPr>
                <w:sz w:val="21"/>
                <w:szCs w:val="21"/>
                <w:color w:val="auto"/>
              </w:rPr>
            </w:pPr>
          </w:p>
        </w:tc>
        <w:tc>
          <w:tcPr>
            <w:tcW w:w="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stockholders.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80" w:type="dxa"/>
            <w:vAlign w:val="bottom"/>
            <w:tcBorders>
              <w:right w:val="single" w:sz="8" w:color="3C5896"/>
            </w:tcBorders>
          </w:tcPr>
          <w:p>
            <w:pPr>
              <w:spacing w:after="0"/>
              <w:rPr>
                <w:sz w:val="21"/>
                <w:szCs w:val="21"/>
                <w:color w:val="auto"/>
              </w:rPr>
            </w:pPr>
          </w:p>
        </w:tc>
        <w:tc>
          <w:tcPr>
            <w:tcW w:w="20" w:type="dxa"/>
            <w:vAlign w:val="bottom"/>
          </w:tcPr>
          <w:p>
            <w:pPr>
              <w:spacing w:after="0"/>
              <w:rPr>
                <w:sz w:val="21"/>
                <w:szCs w:val="21"/>
                <w:color w:val="auto"/>
              </w:rPr>
            </w:pPr>
          </w:p>
        </w:tc>
      </w:tr>
      <w:tr>
        <w:trPr>
          <w:trHeight w:val="83"/>
        </w:trPr>
        <w:tc>
          <w:tcPr>
            <w:tcW w:w="20" w:type="dxa"/>
            <w:vAlign w:val="bottom"/>
            <w:tcBorders>
              <w:bottom w:val="single" w:sz="8" w:color="3C5896"/>
            </w:tcBorders>
            <w:shd w:val="clear" w:color="auto" w:fill="3C5896"/>
          </w:tcPr>
          <w:p>
            <w:pPr>
              <w:spacing w:after="0"/>
              <w:rPr>
                <w:sz w:val="7"/>
                <w:szCs w:val="7"/>
                <w:color w:val="auto"/>
              </w:rPr>
            </w:pPr>
          </w:p>
        </w:tc>
        <w:tc>
          <w:tcPr>
            <w:tcW w:w="80" w:type="dxa"/>
            <w:vAlign w:val="bottom"/>
            <w:tcBorders>
              <w:bottom w:val="single" w:sz="8" w:color="3C5896"/>
            </w:tcBorders>
          </w:tcPr>
          <w:p>
            <w:pPr>
              <w:spacing w:after="0"/>
              <w:rPr>
                <w:sz w:val="7"/>
                <w:szCs w:val="7"/>
                <w:color w:val="auto"/>
              </w:rPr>
            </w:pPr>
          </w:p>
        </w:tc>
        <w:tc>
          <w:tcPr>
            <w:tcW w:w="2520" w:type="dxa"/>
            <w:vAlign w:val="bottom"/>
            <w:tcBorders>
              <w:bottom w:val="single" w:sz="8" w:color="3C5896"/>
            </w:tcBorders>
          </w:tcPr>
          <w:p>
            <w:pPr>
              <w:spacing w:after="0"/>
              <w:rPr>
                <w:sz w:val="7"/>
                <w:szCs w:val="7"/>
                <w:color w:val="auto"/>
              </w:rPr>
            </w:pPr>
          </w:p>
        </w:tc>
        <w:tc>
          <w:tcPr>
            <w:tcW w:w="280" w:type="dxa"/>
            <w:vAlign w:val="bottom"/>
            <w:tcBorders>
              <w:bottom w:val="single" w:sz="8" w:color="3C5896"/>
            </w:tcBorders>
          </w:tcPr>
          <w:p>
            <w:pPr>
              <w:spacing w:after="0"/>
              <w:rPr>
                <w:sz w:val="7"/>
                <w:szCs w:val="7"/>
                <w:color w:val="auto"/>
              </w:rPr>
            </w:pPr>
          </w:p>
        </w:tc>
        <w:tc>
          <w:tcPr>
            <w:tcW w:w="260" w:type="dxa"/>
            <w:vAlign w:val="bottom"/>
            <w:tcBorders>
              <w:bottom w:val="single" w:sz="8" w:color="3C5896"/>
            </w:tcBorders>
          </w:tcPr>
          <w:p>
            <w:pPr>
              <w:spacing w:after="0"/>
              <w:rPr>
                <w:sz w:val="7"/>
                <w:szCs w:val="7"/>
                <w:color w:val="auto"/>
              </w:rPr>
            </w:pPr>
          </w:p>
        </w:tc>
        <w:tc>
          <w:tcPr>
            <w:tcW w:w="360" w:type="dxa"/>
            <w:vAlign w:val="bottom"/>
            <w:tcBorders>
              <w:bottom w:val="single" w:sz="8" w:color="3C5896"/>
            </w:tcBorders>
          </w:tcPr>
          <w:p>
            <w:pPr>
              <w:spacing w:after="0"/>
              <w:rPr>
                <w:sz w:val="7"/>
                <w:szCs w:val="7"/>
                <w:color w:val="auto"/>
              </w:rPr>
            </w:pPr>
          </w:p>
        </w:tc>
        <w:tc>
          <w:tcPr>
            <w:tcW w:w="2140" w:type="dxa"/>
            <w:vAlign w:val="bottom"/>
            <w:tcBorders>
              <w:bottom w:val="single" w:sz="8" w:color="3C5896"/>
            </w:tcBorders>
          </w:tcPr>
          <w:p>
            <w:pPr>
              <w:spacing w:after="0"/>
              <w:rPr>
                <w:sz w:val="7"/>
                <w:szCs w:val="7"/>
                <w:color w:val="auto"/>
              </w:rPr>
            </w:pPr>
          </w:p>
        </w:tc>
        <w:tc>
          <w:tcPr>
            <w:tcW w:w="380" w:type="dxa"/>
            <w:vAlign w:val="bottom"/>
            <w:tcBorders>
              <w:bottom w:val="single" w:sz="8" w:color="3C5896"/>
            </w:tcBorders>
          </w:tcPr>
          <w:p>
            <w:pPr>
              <w:spacing w:after="0"/>
              <w:rPr>
                <w:sz w:val="7"/>
                <w:szCs w:val="7"/>
                <w:color w:val="auto"/>
              </w:rPr>
            </w:pPr>
          </w:p>
        </w:tc>
        <w:tc>
          <w:tcPr>
            <w:tcW w:w="260" w:type="dxa"/>
            <w:vAlign w:val="bottom"/>
            <w:tcBorders>
              <w:bottom w:val="single" w:sz="8" w:color="3C5896"/>
            </w:tcBorders>
          </w:tcPr>
          <w:p>
            <w:pPr>
              <w:spacing w:after="0"/>
              <w:rPr>
                <w:sz w:val="7"/>
                <w:szCs w:val="7"/>
                <w:color w:val="auto"/>
              </w:rPr>
            </w:pPr>
          </w:p>
        </w:tc>
        <w:tc>
          <w:tcPr>
            <w:tcW w:w="120" w:type="dxa"/>
            <w:vAlign w:val="bottom"/>
            <w:tcBorders>
              <w:bottom w:val="single" w:sz="8" w:color="3C5896"/>
            </w:tcBorders>
          </w:tcPr>
          <w:p>
            <w:pPr>
              <w:spacing w:after="0"/>
              <w:rPr>
                <w:sz w:val="7"/>
                <w:szCs w:val="7"/>
                <w:color w:val="auto"/>
              </w:rPr>
            </w:pPr>
          </w:p>
        </w:tc>
        <w:tc>
          <w:tcPr>
            <w:tcW w:w="2600" w:type="dxa"/>
            <w:vAlign w:val="bottom"/>
            <w:tcBorders>
              <w:bottom w:val="single" w:sz="8" w:color="3C5896"/>
            </w:tcBorders>
          </w:tcPr>
          <w:p>
            <w:pPr>
              <w:spacing w:after="0"/>
              <w:rPr>
                <w:sz w:val="7"/>
                <w:szCs w:val="7"/>
                <w:color w:val="auto"/>
              </w:rPr>
            </w:pPr>
          </w:p>
        </w:tc>
        <w:tc>
          <w:tcPr>
            <w:tcW w:w="180" w:type="dxa"/>
            <w:vAlign w:val="bottom"/>
            <w:tcBorders>
              <w:bottom w:val="single" w:sz="8" w:color="3C5896"/>
              <w:right w:val="single" w:sz="8" w:color="3C5896"/>
            </w:tcBorders>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6311900</wp:posOffset>
            </wp:positionH>
            <wp:positionV relativeFrom="paragraph">
              <wp:posOffset>-950595</wp:posOffset>
            </wp:positionV>
            <wp:extent cx="8255"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445770"/>
                    </a:xfrm>
                    <a:prstGeom prst="rect">
                      <a:avLst/>
                    </a:prstGeom>
                    <a:noFill/>
                  </pic:spPr>
                </pic:pic>
              </a:graphicData>
            </a:graphic>
          </wp:anchor>
        </w:drawing>
      </w:r>
    </w:p>
    <w:p>
      <w:pPr>
        <w:spacing w:after="0" w:line="3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AGENDA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200660</wp:posOffset>
            </wp:positionV>
            <wp:extent cx="4568825"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68825" cy="30035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​Company Proposals</w:t>
      </w:r>
    </w:p>
    <w:p>
      <w:pPr>
        <w:spacing w:after="0" w:line="54" w:lineRule="exact"/>
        <w:rPr>
          <w:sz w:val="20"/>
          <w:szCs w:val="20"/>
          <w:color w:val="auto"/>
        </w:rPr>
      </w:pPr>
    </w:p>
    <w:p>
      <w:pPr>
        <w:ind w:left="820" w:hanging="40"/>
        <w:spacing w:after="0" w:line="261" w:lineRule="auto"/>
        <w:rPr>
          <w:sz w:val="20"/>
          <w:szCs w:val="20"/>
          <w:color w:val="auto"/>
        </w:rPr>
      </w:pPr>
      <w:r>
        <w:rPr>
          <w:rFonts w:ascii="Arial" w:cs="Arial" w:eastAsia="Arial" w:hAnsi="Arial"/>
          <w:sz w:val="18"/>
          <w:szCs w:val="18"/>
          <w:color w:val="auto"/>
        </w:rPr>
        <w:t>​Proposal 1: Elect the Three Director Nominees of the Company, each for a term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-284480</wp:posOffset>
            </wp:positionV>
            <wp:extent cx="5837555" cy="625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37555" cy="625475"/>
                    </a:xfrm>
                    <a:prstGeom prst="rect">
                      <a:avLst/>
                    </a:prstGeom>
                    <a:noFill/>
                  </pic:spPr>
                </pic:pic>
              </a:graphicData>
            </a:graphic>
          </wp:anchor>
        </w:drawing>
      </w:r>
    </w:p>
    <w:p>
      <w:pPr>
        <w:ind w:left="780"/>
        <w:spacing w:after="0" w:line="184" w:lineRule="auto"/>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Proposal 2: Non-Binding Advisory Vote to Approve Our Executive Compensation</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Proposal 3: Ratification of Deloitte &amp; Touche LLP as Our Independent Auditor for 2022</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20" w:type="dxa"/>
            <w:vAlign w:val="bottom"/>
            <w:tcBorders>
              <w:right w:val="single" w:sz="8" w:color="9EACCA"/>
            </w:tcBorders>
          </w:tcPr>
          <w:p>
            <w:pPr>
              <w:spacing w:after="0"/>
              <w:rPr>
                <w:sz w:val="19"/>
                <w:szCs w:val="19"/>
                <w:color w:val="auto"/>
              </w:rPr>
            </w:pPr>
          </w:p>
        </w:tc>
        <w:tc>
          <w:tcPr>
            <w:tcW w:w="1760" w:type="dxa"/>
            <w:vAlign w:val="bottom"/>
            <w:shd w:val="clear" w:color="auto" w:fill="3C5896"/>
          </w:tcPr>
          <w:p>
            <w:pPr>
              <w:ind w:left="100"/>
              <w:spacing w:after="0"/>
              <w:rPr>
                <w:sz w:val="20"/>
                <w:szCs w:val="20"/>
                <w:color w:val="auto"/>
              </w:rPr>
            </w:pPr>
            <w:r>
              <w:rPr>
                <w:rFonts w:ascii="Arial" w:cs="Arial" w:eastAsia="Arial" w:hAnsi="Arial"/>
                <w:sz w:val="18"/>
                <w:szCs w:val="18"/>
                <w:b w:val="1"/>
                <w:bCs w:val="1"/>
                <w:color w:val="FFFFFF"/>
              </w:rPr>
              <w:t>Board</w:t>
            </w:r>
          </w:p>
        </w:tc>
        <w:tc>
          <w:tcPr>
            <w:tcW w:w="220" w:type="dxa"/>
            <w:vAlign w:val="bottom"/>
            <w:shd w:val="clear" w:color="auto" w:fill="3C5896"/>
          </w:tcPr>
          <w:p>
            <w:pPr>
              <w:spacing w:after="0"/>
              <w:rPr>
                <w:sz w:val="19"/>
                <w:szCs w:val="19"/>
                <w:color w:val="auto"/>
              </w:rPr>
            </w:pPr>
          </w:p>
        </w:tc>
        <w:tc>
          <w:tcPr>
            <w:tcW w:w="20" w:type="dxa"/>
            <w:vAlign w:val="bottom"/>
            <w:shd w:val="clear" w:color="auto" w:fill="3C5896"/>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 w:type="dxa"/>
            <w:vAlign w:val="bottom"/>
            <w:tcBorders>
              <w:right w:val="single" w:sz="8" w:color="9EACCA"/>
            </w:tcBorders>
          </w:tcPr>
          <w:p>
            <w:pPr>
              <w:spacing w:after="0"/>
              <w:rPr>
                <w:sz w:val="20"/>
                <w:szCs w:val="20"/>
                <w:color w:val="auto"/>
              </w:rPr>
            </w:pPr>
            <w:r>
              <w:rPr>
                <w:rFonts w:ascii="Arial" w:cs="Arial" w:eastAsia="Arial" w:hAnsi="Arial"/>
                <w:sz w:val="18"/>
                <w:szCs w:val="18"/>
                <w:b w:val="1"/>
                <w:bCs w:val="1"/>
                <w:color w:val="FFFFFF"/>
              </w:rPr>
              <w:t>​</w:t>
            </w:r>
          </w:p>
        </w:tc>
        <w:tc>
          <w:tcPr>
            <w:tcW w:w="1760" w:type="dxa"/>
            <w:vAlign w:val="bottom"/>
            <w:shd w:val="clear" w:color="auto" w:fill="3C5896"/>
          </w:tcPr>
          <w:p>
            <w:pPr>
              <w:spacing w:after="0"/>
              <w:rPr>
                <w:sz w:val="20"/>
                <w:szCs w:val="20"/>
                <w:color w:val="auto"/>
              </w:rPr>
            </w:pPr>
            <w:r>
              <w:rPr>
                <w:rFonts w:ascii="Arial" w:cs="Arial" w:eastAsia="Arial" w:hAnsi="Arial"/>
                <w:sz w:val="18"/>
                <w:szCs w:val="18"/>
                <w:b w:val="1"/>
                <w:bCs w:val="1"/>
                <w:color w:val="FFFFFF"/>
              </w:rPr>
              <w:t>​ Recommendation</w:t>
            </w:r>
          </w:p>
        </w:tc>
        <w:tc>
          <w:tcPr>
            <w:tcW w:w="220" w:type="dxa"/>
            <w:vAlign w:val="bottom"/>
            <w:shd w:val="clear" w:color="auto" w:fill="3C5896"/>
          </w:tcPr>
          <w:p>
            <w:pPr>
              <w:ind w:left="160"/>
              <w:spacing w:after="0"/>
              <w:rPr>
                <w:sz w:val="20"/>
                <w:szCs w:val="20"/>
                <w:color w:val="auto"/>
              </w:rPr>
            </w:pPr>
            <w:r>
              <w:rPr>
                <w:rFonts w:ascii="Arial" w:cs="Arial" w:eastAsia="Arial" w:hAnsi="Arial"/>
                <w:sz w:val="18"/>
                <w:szCs w:val="18"/>
                <w:b w:val="1"/>
                <w:bCs w:val="1"/>
                <w:color w:val="FFFFFF"/>
              </w:rPr>
              <w:t>​</w:t>
            </w:r>
          </w:p>
        </w:tc>
        <w:tc>
          <w:tcPr>
            <w:tcW w:w="20" w:type="dxa"/>
            <w:vAlign w:val="bottom"/>
            <w:shd w:val="clear" w:color="auto" w:fill="3C5896"/>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w:t>
            </w:r>
          </w:p>
        </w:tc>
        <w:tc>
          <w:tcPr>
            <w:tcW w:w="198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 EACH NOMINEE</w:t>
            </w: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20" w:type="dxa"/>
            <w:vAlign w:val="bottom"/>
            <w:tcBorders>
              <w:right w:val="single" w:sz="8" w:color="9EACCA"/>
            </w:tcBorders>
            <w:vMerge w:val="restart"/>
          </w:tcPr>
          <w:p>
            <w:pPr>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20" w:type="dxa"/>
            <w:vAlign w:val="bottom"/>
            <w:tcBorders>
              <w:right w:val="single" w:sz="8" w:color="9EACCA"/>
            </w:tcBorders>
            <w:vMerge w:val="continue"/>
          </w:tcPr>
          <w:p>
            <w:pPr>
              <w:spacing w:after="0"/>
              <w:rPr>
                <w:sz w:val="20"/>
                <w:szCs w:val="20"/>
                <w:color w:val="auto"/>
              </w:rPr>
            </w:pPr>
          </w:p>
        </w:tc>
        <w:tc>
          <w:tcPr>
            <w:tcW w:w="1760" w:type="dxa"/>
            <w:vAlign w:val="bottom"/>
            <w:tcBorders>
              <w:bottom w:val="single" w:sz="8" w:color="CCCCCC"/>
            </w:tcBorders>
            <w:shd w:val="clear" w:color="auto" w:fill="CCCCCC"/>
          </w:tcPr>
          <w:p>
            <w:pPr>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b w:val="1"/>
                <w:bCs w:val="1"/>
                <w:color w:val="auto"/>
              </w:rPr>
              <w:t xml:space="preserve"> FOR</w:t>
            </w:r>
          </w:p>
        </w:tc>
        <w:tc>
          <w:tcPr>
            <w:tcW w:w="220" w:type="dxa"/>
            <w:vAlign w:val="bottom"/>
            <w:tcBorders>
              <w:bottom w:val="single" w:sz="8" w:color="CCCCCC"/>
            </w:tcBorders>
            <w:shd w:val="clear" w:color="auto" w:fill="CCCCCC"/>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9EACCA"/>
            </w:tcBorders>
          </w:tcPr>
          <w:p>
            <w:pPr>
              <w:spacing w:after="0"/>
              <w:rPr>
                <w:sz w:val="20"/>
                <w:szCs w:val="20"/>
                <w:color w:val="auto"/>
              </w:rPr>
            </w:pPr>
            <w:r>
              <w:rPr>
                <w:rFonts w:ascii="Arial" w:cs="Arial" w:eastAsia="Arial" w:hAnsi="Arial"/>
                <w:sz w:val="18"/>
                <w:szCs w:val="18"/>
                <w:color w:val="auto"/>
              </w:rPr>
              <w:t>​</w:t>
            </w:r>
          </w:p>
        </w:tc>
        <w:tc>
          <w:tcPr>
            <w:tcW w:w="1760" w:type="dxa"/>
            <w:vAlign w:val="bottom"/>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b w:val="1"/>
                <w:bCs w:val="1"/>
                <w:color w:val="auto"/>
              </w:rPr>
              <w:t xml:space="preserve"> FOR</w:t>
            </w:r>
          </w:p>
        </w:tc>
        <w:tc>
          <w:tcPr>
            <w:tcW w:w="2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ectPr>
          <w:pgSz w:w="11900" w:h="16838" w:orient="portrait"/>
          <w:cols w:equalWidth="0" w:num="2">
            <w:col w:w="7660" w:space="180"/>
            <w:col w:w="2880"/>
          </w:cols>
          <w:pgMar w:left="580" w:top="97" w:right="599" w:bottom="1440" w:gutter="0" w:footer="0" w:header="0"/>
          <w:type w:val="continuous"/>
        </w:sectPr>
      </w:pP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77" w:lineRule="exact"/>
        <w:rPr>
          <w:sz w:val="20"/>
          <w:szCs w:val="20"/>
          <w:color w:val="auto"/>
        </w:rPr>
      </w:pPr>
    </w:p>
    <w:p>
      <w:pPr>
        <w:jc w:val="both"/>
        <w:ind w:left="760" w:right="760"/>
        <w:spacing w:after="0" w:line="262" w:lineRule="auto"/>
        <w:rPr>
          <w:sz w:val="20"/>
          <w:szCs w:val="20"/>
          <w:color w:val="auto"/>
        </w:rPr>
      </w:pPr>
      <w:r>
        <w:rPr>
          <w:rFonts w:ascii="Arial" w:cs="Arial" w:eastAsia="Arial" w:hAnsi="Arial"/>
          <w:sz w:val="18"/>
          <w:szCs w:val="18"/>
          <w:color w:val="auto"/>
        </w:rPr>
        <w:t xml:space="preserve">If at the close of business on April 18, 2022, you were a stockholder of record or held shares through a broker or bank, you may vote your shares by proxy at the virtual Annual Meeting. You may vote your shares over the Internet, by telephone or by mail, or you may vote online during the Annual Meeting. See full instructions under the Important Information About Voting at the Annual Meeting section of this proxy statement on page </w:t>
      </w:r>
      <w:r>
        <w:rPr>
          <w:rFonts w:ascii="Arial" w:cs="Arial" w:eastAsia="Arial" w:hAnsi="Arial"/>
          <w:sz w:val="18"/>
          <w:szCs w:val="18"/>
          <w:u w:val="single" w:color="auto"/>
          <w:color w:val="0000EE"/>
        </w:rPr>
        <w:t>54</w:t>
      </w:r>
      <w:r>
        <w:rPr>
          <w:rFonts w:ascii="Arial" w:cs="Arial" w:eastAsia="Arial" w:hAnsi="Arial"/>
          <w:sz w:val="18"/>
          <w:szCs w:val="18"/>
          <w:color w:val="auto"/>
        </w:rPr>
        <w:t>.</w:t>
      </w:r>
    </w:p>
    <w:p>
      <w:pPr>
        <w:spacing w:after="0" w:line="68" w:lineRule="exact"/>
        <w:rPr>
          <w:sz w:val="20"/>
          <w:szCs w:val="20"/>
          <w:color w:val="auto"/>
        </w:rPr>
      </w:pPr>
    </w:p>
    <w:p>
      <w:pPr>
        <w:jc w:val="both"/>
        <w:ind w:left="760" w:right="760"/>
        <w:spacing w:after="0" w:line="265" w:lineRule="auto"/>
        <w:rPr>
          <w:sz w:val="20"/>
          <w:szCs w:val="20"/>
          <w:color w:val="auto"/>
        </w:rPr>
      </w:pPr>
      <w:r>
        <w:rPr>
          <w:rFonts w:ascii="Arial" w:cs="Arial" w:eastAsia="Arial" w:hAnsi="Arial"/>
          <w:sz w:val="18"/>
          <w:szCs w:val="18"/>
          <w:b w:val="1"/>
          <w:bCs w:val="1"/>
          <w:color w:val="auto"/>
        </w:rPr>
        <w:t>If you are a stockholder of record and you would like to vote in any manner other than online during the virtual Annual Meeting, your vote must be received by 11:59 p.m., Eastern Time, on June 14, 2022 to be counted. If you hold shares through a broker, bank or other nominee, please refer to information from your bank, broker or nominee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1840230</wp:posOffset>
            </wp:positionV>
            <wp:extent cx="29972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40" w:type="dxa"/>
            <w:vAlign w:val="bottom"/>
          </w:tcPr>
          <w:p>
            <w:pPr>
              <w:ind w:left="7440"/>
              <w:spacing w:after="0"/>
              <w:rPr>
                <w:sz w:val="20"/>
                <w:szCs w:val="20"/>
                <w:color w:val="auto"/>
              </w:rPr>
            </w:pPr>
            <w:r>
              <w:rPr>
                <w:rFonts w:ascii="Arial" w:cs="Arial" w:eastAsia="Arial" w:hAnsi="Arial"/>
                <w:sz w:val="16"/>
                <w:szCs w:val="16"/>
                <w:color w:val="auto"/>
              </w:rPr>
              <w:t>2022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3</w:t>
            </w:r>
          </w:p>
        </w:tc>
      </w:tr>
      <w:tr>
        <w:trPr>
          <w:trHeight w:val="406"/>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2021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Financial Highlights</w:t>
      </w:r>
    </w:p>
    <w:p>
      <w:pPr>
        <w:spacing w:after="0" w:line="117"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In 2021, we made meaningful progress on our long-term strategy, all while navigating the COVID-19 pandemic with a safety-first approach in mind and continuing to deliver low cost eye care and eyewear, a medical necessity, to the communities we serve. While impacts of the pandemic continued, we have been resilient as reflected in our strong financial performance in fiscal 2021. Our fiscal 2021 financial and operational highlights included:</w:t>
      </w:r>
    </w:p>
    <w:p>
      <w:pPr>
        <w:spacing w:after="0" w:line="82" w:lineRule="exact"/>
        <w:rPr>
          <w:sz w:val="20"/>
          <w:szCs w:val="20"/>
          <w:color w:val="auto"/>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Overall store count grew 6.1% to 1,278 stores</w:t>
      </w:r>
    </w:p>
    <w:p>
      <w:pPr>
        <w:spacing w:after="0" w:line="82" w:lineRule="exact"/>
        <w:rPr>
          <w:rFonts w:ascii="Arial" w:cs="Arial" w:eastAsia="Arial" w:hAnsi="Arial"/>
          <w:sz w:val="18"/>
          <w:szCs w:val="18"/>
          <w:color w:val="3C5896"/>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Comparable store sales growth was 22.4%, and Adjusted 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was 23.0%</w:t>
      </w:r>
    </w:p>
    <w:p>
      <w:pPr>
        <w:spacing w:after="0" w:line="60" w:lineRule="exact"/>
        <w:rPr>
          <w:rFonts w:ascii="Arial" w:cs="Arial" w:eastAsia="Arial" w:hAnsi="Arial"/>
          <w:sz w:val="18"/>
          <w:szCs w:val="18"/>
          <w:color w:val="3C5896"/>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Net revenue increased 21.5% to $2.08 billion</w:t>
      </w:r>
    </w:p>
    <w:p>
      <w:pPr>
        <w:spacing w:after="0" w:line="115" w:lineRule="exact"/>
        <w:rPr>
          <w:rFonts w:ascii="Arial" w:cs="Arial" w:eastAsia="Arial" w:hAnsi="Arial"/>
          <w:sz w:val="18"/>
          <w:szCs w:val="18"/>
          <w:color w:val="3C5896"/>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Net income increased 254% to $128.2 million</w:t>
      </w:r>
    </w:p>
    <w:p>
      <w:pPr>
        <w:spacing w:after="0" w:line="82" w:lineRule="exact"/>
        <w:rPr>
          <w:rFonts w:ascii="Arial" w:cs="Arial" w:eastAsia="Arial" w:hAnsi="Arial"/>
          <w:sz w:val="18"/>
          <w:szCs w:val="18"/>
          <w:color w:val="3C5896"/>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34.8% to $294.35 million</w:t>
      </w:r>
    </w:p>
    <w:p>
      <w:pPr>
        <w:spacing w:after="0" w:line="60" w:lineRule="exact"/>
        <w:rPr>
          <w:rFonts w:ascii="Arial" w:cs="Arial" w:eastAsia="Arial" w:hAnsi="Arial"/>
          <w:sz w:val="18"/>
          <w:szCs w:val="18"/>
          <w:color w:val="3C5896"/>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Adjusted Operating Income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52.6% to $204.7 million</w:t>
      </w:r>
    </w:p>
    <w:p>
      <w:pPr>
        <w:spacing w:after="0" w:line="38" w:lineRule="exact"/>
        <w:rPr>
          <w:rFonts w:ascii="Arial" w:cs="Arial" w:eastAsia="Arial" w:hAnsi="Arial"/>
          <w:sz w:val="18"/>
          <w:szCs w:val="18"/>
          <w:color w:val="3C5896"/>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Diluted EPS increased 227% to $1.43; Adjusted Diluted EPS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62.6% to $1.48</w:t>
      </w:r>
    </w:p>
    <w:p>
      <w:pPr>
        <w:spacing w:after="0" w:line="38" w:lineRule="exact"/>
        <w:rPr>
          <w:rFonts w:ascii="Arial" w:cs="Arial" w:eastAsia="Arial" w:hAnsi="Arial"/>
          <w:sz w:val="18"/>
          <w:szCs w:val="18"/>
          <w:color w:val="3C5896"/>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Operating cash flows increased from $235.0 million in 2020 to $258.9 million in 2021</w:t>
      </w:r>
    </w:p>
    <w:p>
      <w:pPr>
        <w:spacing w:after="0" w:line="115" w:lineRule="exact"/>
        <w:rPr>
          <w:rFonts w:ascii="Arial" w:cs="Arial" w:eastAsia="Arial" w:hAnsi="Arial"/>
          <w:sz w:val="18"/>
          <w:szCs w:val="18"/>
          <w:color w:val="3C5896"/>
        </w:rPr>
      </w:pPr>
    </w:p>
    <w:p>
      <w:pPr>
        <w:ind w:left="1340" w:hanging="218"/>
        <w:spacing w:after="0" w:line="271" w:lineRule="auto"/>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We paid down $167.4 million of our term loan and returned $69.9 million to stockholders through share repurchases</w:t>
      </w:r>
    </w:p>
    <w:p>
      <w:pPr>
        <w:spacing w:after="0" w:line="59" w:lineRule="exact"/>
        <w:rPr>
          <w:rFonts w:ascii="Arial" w:cs="Arial" w:eastAsia="Arial" w:hAnsi="Arial"/>
          <w:sz w:val="18"/>
          <w:szCs w:val="18"/>
          <w:color w:val="3C5896"/>
        </w:rPr>
      </w:pPr>
    </w:p>
    <w:p>
      <w:pPr>
        <w:ind w:left="1340" w:hanging="218"/>
        <w:spacing w:after="0"/>
        <w:tabs>
          <w:tab w:leader="none" w:pos="1340" w:val="left"/>
        </w:tabs>
        <w:numPr>
          <w:ilvl w:val="0"/>
          <w:numId w:val="6"/>
        </w:numPr>
        <w:rPr>
          <w:rFonts w:ascii="Arial" w:cs="Arial" w:eastAsia="Arial" w:hAnsi="Arial"/>
          <w:sz w:val="18"/>
          <w:szCs w:val="18"/>
          <w:color w:val="3C5896"/>
        </w:rPr>
      </w:pPr>
      <w:r>
        <w:rPr>
          <w:rFonts w:ascii="Arial" w:cs="Arial" w:eastAsia="Arial" w:hAnsi="Arial"/>
          <w:sz w:val="18"/>
          <w:szCs w:val="18"/>
          <w:color w:val="auto"/>
        </w:rPr>
        <w:t>Our cash balance was $305.8 million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103505</wp:posOffset>
            </wp:positionV>
            <wp:extent cx="5006340" cy="258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063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760" w:firstLine="2"/>
        <w:spacing w:after="0" w:line="227" w:lineRule="auto"/>
        <w:tabs>
          <w:tab w:leader="none" w:pos="954"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For an explanation of our non-GAAP financial measures and a reconciliation of Adjusted Comparable Store Sales Growth, Adjusted EBITDA, Adjusted Operating Income and Adjusted Diluted EPS to the most directly comparable GAAP measures, see Appendix A to this proxy statement.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Continued COVID-19 Response</w:t>
      </w:r>
    </w:p>
    <w:p>
      <w:pPr>
        <w:spacing w:after="0" w:line="117" w:lineRule="exact"/>
        <w:rPr>
          <w:sz w:val="20"/>
          <w:szCs w:val="20"/>
          <w:color w:val="auto"/>
        </w:rPr>
      </w:pPr>
    </w:p>
    <w:p>
      <w:pPr>
        <w:jc w:val="both"/>
        <w:ind w:left="760"/>
        <w:spacing w:after="0" w:line="291" w:lineRule="auto"/>
        <w:rPr>
          <w:sz w:val="20"/>
          <w:szCs w:val="20"/>
          <w:color w:val="auto"/>
        </w:rPr>
      </w:pPr>
      <w:r>
        <w:rPr>
          <w:rFonts w:ascii="Arial" w:cs="Arial" w:eastAsia="Arial" w:hAnsi="Arial"/>
          <w:sz w:val="17"/>
          <w:szCs w:val="17"/>
          <w:color w:val="auto"/>
        </w:rPr>
        <w:t>Throughout these challenging times, the Company has continued with a safety-first approach in supporting its associates, doctors, patients and customers and responding to the associated business impacts from the pandemic, while continuing to provide low cost eye care and eye wear to our patients and customers. In 2021, this included:</w:t>
      </w:r>
    </w:p>
    <w:p>
      <w:pPr>
        <w:spacing w:after="0" w:line="58" w:lineRule="exact"/>
        <w:rPr>
          <w:sz w:val="20"/>
          <w:szCs w:val="20"/>
          <w:color w:val="auto"/>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Enhanced health and safety measures for patients, customers, doctors and associates;</w:t>
      </w:r>
    </w:p>
    <w:p>
      <w:pPr>
        <w:spacing w:after="0" w:line="117" w:lineRule="exact"/>
        <w:rPr>
          <w:rFonts w:ascii="Arial" w:cs="Arial" w:eastAsia="Arial" w:hAnsi="Arial"/>
          <w:sz w:val="18"/>
          <w:szCs w:val="18"/>
          <w:color w:val="3C5896"/>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Enhanced health, wellness and family resources for our doctors and associates; and</w:t>
      </w:r>
    </w:p>
    <w:p>
      <w:pPr>
        <w:spacing w:after="0" w:line="103" w:lineRule="exact"/>
        <w:rPr>
          <w:rFonts w:ascii="Arial" w:cs="Arial" w:eastAsia="Arial" w:hAnsi="Arial"/>
          <w:sz w:val="18"/>
          <w:szCs w:val="18"/>
          <w:color w:val="3C5896"/>
        </w:rPr>
      </w:pPr>
    </w:p>
    <w:p>
      <w:pPr>
        <w:ind w:left="1340" w:hanging="218"/>
        <w:spacing w:after="0"/>
        <w:tabs>
          <w:tab w:leader="none" w:pos="1340" w:val="left"/>
        </w:tabs>
        <w:numPr>
          <w:ilvl w:val="0"/>
          <w:numId w:val="8"/>
        </w:numPr>
        <w:rPr>
          <w:rFonts w:ascii="Arial" w:cs="Arial" w:eastAsia="Arial" w:hAnsi="Arial"/>
          <w:sz w:val="18"/>
          <w:szCs w:val="18"/>
          <w:color w:val="3C5896"/>
        </w:rPr>
      </w:pPr>
      <w:r>
        <w:rPr>
          <w:rFonts w:ascii="Arial" w:cs="Arial" w:eastAsia="Arial" w:hAnsi="Arial"/>
          <w:sz w:val="18"/>
          <w:szCs w:val="18"/>
          <w:color w:val="auto"/>
        </w:rPr>
        <w:t>Support for our communities with community giving, including in-kind and cash donations.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  </w:t>
      </w:r>
      <w:r>
        <w:rPr>
          <w:sz w:val="1"/>
          <w:szCs w:val="1"/>
          <w:color w:val="auto"/>
        </w:rPr>
        <w:drawing>
          <wp:inline distT="0" distB="0" distL="0" distR="0">
            <wp:extent cx="299720" cy="24003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jc w:val="right"/>
        <w:ind w:right="840"/>
        <w:spacing w:after="0"/>
        <w:rPr>
          <w:sz w:val="20"/>
          <w:szCs w:val="20"/>
          <w:color w:val="auto"/>
        </w:rPr>
      </w:pPr>
      <w:r>
        <w:rPr>
          <w:rFonts w:ascii="Arial" w:cs="Arial" w:eastAsia="Arial" w:hAnsi="Arial"/>
          <w:sz w:val="18"/>
          <w:szCs w:val="18"/>
          <w:b w:val="1"/>
          <w:bCs w:val="1"/>
          <w:color w:val="FFFFFF"/>
        </w:rPr>
        <w:t>PROXY STATEMENT SUMMARY​</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CORPORATE GOVERNANCE AND 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79"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FFFFFF"/>
          <w:vertAlign w:val="subscript"/>
        </w:rPr>
        <w:t>​</w:t>
      </w:r>
      <w:r>
        <w:rPr>
          <w:rFonts w:ascii="Arial" w:cs="Arial" w:eastAsia="Arial" w:hAnsi="Arial"/>
          <w:sz w:val="18"/>
          <w:szCs w:val="18"/>
          <w:b w:val="1"/>
          <w:bCs w:val="1"/>
          <w:color w:val="FFFFFF"/>
        </w:rPr>
        <w:t>Governance Highlights</w:t>
      </w:r>
    </w:p>
    <w:p>
      <w:pPr>
        <w:ind w:left="780"/>
        <w:spacing w:after="0" w:line="354" w:lineRule="exact"/>
        <w:rPr>
          <w:sz w:val="20"/>
          <w:szCs w:val="20"/>
          <w:color w:val="auto"/>
        </w:rPr>
      </w:pPr>
      <w:r>
        <w:rPr>
          <w:rFonts w:ascii="Arial" w:cs="Arial" w:eastAsia="Arial" w:hAnsi="Arial"/>
          <w:sz w:val="35"/>
          <w:szCs w:val="35"/>
          <w:color w:val="auto"/>
          <w:vertAlign w:val="superscript"/>
        </w:rPr>
        <w:t>​</w:t>
      </w:r>
      <w:r>
        <w:rPr>
          <w:rFonts w:ascii="MS PGothic" w:cs="MS PGothic" w:eastAsia="MS PGothic" w:hAnsi="MS PGothic"/>
          <w:sz w:val="18"/>
          <w:szCs w:val="18"/>
          <w:color w:val="3C5896"/>
        </w:rPr>
        <w:t>✓</w:t>
      </w:r>
      <w:r>
        <w:rPr>
          <w:rFonts w:ascii="Arial" w:cs="Arial" w:eastAsia="Arial" w:hAnsi="Arial"/>
          <w:sz w:val="18"/>
          <w:szCs w:val="18"/>
          <w:color w:val="auto"/>
        </w:rPr>
        <w:t>Phase-out of classified Board structure</w:t>
      </w:r>
    </w:p>
    <w:p>
      <w:pPr>
        <w:spacing w:after="0" w:line="1" w:lineRule="exact"/>
        <w:rPr>
          <w:sz w:val="20"/>
          <w:szCs w:val="20"/>
          <w:color w:val="auto"/>
        </w:rPr>
      </w:pPr>
    </w:p>
    <w:p>
      <w:pPr>
        <w:ind w:left="1000" w:hanging="184"/>
        <w:spacing w:after="0"/>
        <w:tabs>
          <w:tab w:leader="none" w:pos="100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Independent, non-executive Chair of the Board</w:t>
      </w:r>
    </w:p>
    <w:p>
      <w:pPr>
        <w:spacing w:after="0" w:line="49" w:lineRule="exact"/>
        <w:rPr>
          <w:rFonts w:ascii="MS PGothic" w:cs="MS PGothic" w:eastAsia="MS PGothic" w:hAnsi="MS PGothic"/>
          <w:sz w:val="18"/>
          <w:szCs w:val="18"/>
          <w:color w:val="3C5896"/>
        </w:rPr>
      </w:pPr>
    </w:p>
    <w:p>
      <w:pPr>
        <w:ind w:left="1000" w:hanging="184"/>
        <w:spacing w:after="0"/>
        <w:tabs>
          <w:tab w:leader="none" w:pos="100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All independent directors, except our CEO</w:t>
      </w:r>
    </w:p>
    <w:p>
      <w:pPr>
        <w:spacing w:after="0" w:line="63" w:lineRule="exact"/>
        <w:rPr>
          <w:rFonts w:ascii="MS PGothic" w:cs="MS PGothic" w:eastAsia="MS PGothic" w:hAnsi="MS PGothic"/>
          <w:sz w:val="18"/>
          <w:szCs w:val="18"/>
          <w:color w:val="3C5896"/>
        </w:rPr>
      </w:pPr>
    </w:p>
    <w:p>
      <w:pPr>
        <w:ind w:left="1000" w:hanging="184"/>
        <w:spacing w:after="0"/>
        <w:tabs>
          <w:tab w:leader="none" w:pos="100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100% independent Board committees</w:t>
      </w:r>
    </w:p>
    <w:p>
      <w:pPr>
        <w:spacing w:after="0" w:line="63" w:lineRule="exact"/>
        <w:rPr>
          <w:rFonts w:ascii="MS PGothic" w:cs="MS PGothic" w:eastAsia="MS PGothic" w:hAnsi="MS PGothic"/>
          <w:sz w:val="18"/>
          <w:szCs w:val="18"/>
          <w:color w:val="3C5896"/>
        </w:rPr>
      </w:pPr>
    </w:p>
    <w:p>
      <w:pPr>
        <w:ind w:left="1000" w:hanging="184"/>
        <w:spacing w:after="0"/>
        <w:tabs>
          <w:tab w:leader="none" w:pos="100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6 new independent directors since IPO</w:t>
      </w:r>
    </w:p>
    <w:p>
      <w:pPr>
        <w:spacing w:after="0" w:line="63" w:lineRule="exact"/>
        <w:rPr>
          <w:rFonts w:ascii="MS PGothic" w:cs="MS PGothic" w:eastAsia="MS PGothic" w:hAnsi="MS PGothic"/>
          <w:sz w:val="18"/>
          <w:szCs w:val="18"/>
          <w:color w:val="3C5896"/>
        </w:rPr>
      </w:pPr>
    </w:p>
    <w:p>
      <w:pPr>
        <w:ind w:left="1000" w:hanging="184"/>
        <w:spacing w:after="0"/>
        <w:tabs>
          <w:tab w:leader="none" w:pos="100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6 experienced current and former CEOs/CFOs</w:t>
      </w:r>
    </w:p>
    <w:p>
      <w:pPr>
        <w:spacing w:after="0" w:line="76" w:lineRule="exact"/>
        <w:rPr>
          <w:rFonts w:ascii="MS PGothic" w:cs="MS PGothic" w:eastAsia="MS PGothic" w:hAnsi="MS PGothic"/>
          <w:sz w:val="18"/>
          <w:szCs w:val="18"/>
          <w:color w:val="3C5896"/>
        </w:rPr>
      </w:pPr>
    </w:p>
    <w:p>
      <w:pPr>
        <w:ind w:left="1000" w:hanging="184"/>
        <w:spacing w:after="0" w:line="287" w:lineRule="auto"/>
        <w:tabs>
          <w:tab w:leader="none" w:pos="1000" w:val="left"/>
        </w:tabs>
        <w:numPr>
          <w:ilvl w:val="0"/>
          <w:numId w:val="9"/>
        </w:numPr>
        <w:rPr>
          <w:rFonts w:ascii="MS PGothic" w:cs="MS PGothic" w:eastAsia="MS PGothic" w:hAnsi="MS PGothic"/>
          <w:sz w:val="18"/>
          <w:szCs w:val="18"/>
          <w:color w:val="3C5896"/>
        </w:rPr>
      </w:pPr>
      <w:r>
        <w:rPr>
          <w:rFonts w:ascii="Arial" w:cs="Arial" w:eastAsia="Arial" w:hAnsi="Arial"/>
          <w:sz w:val="18"/>
          <w:szCs w:val="18"/>
          <w:color w:val="auto"/>
        </w:rPr>
        <w:t>5 diverse directors, including 2 directors of racial/​ ethnic diversity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376" w:right="320" w:hanging="376"/>
        <w:spacing w:after="0" w:line="254" w:lineRule="exact"/>
        <w:tabs>
          <w:tab w:leader="none" w:pos="101" w:val="left"/>
        </w:tabs>
        <w:numPr>
          <w:ilvl w:val="0"/>
          <w:numId w:val="10"/>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r>
        <w:rPr>
          <w:rFonts w:ascii="MS PGothic" w:cs="MS PGothic" w:eastAsia="MS PGothic" w:hAnsi="MS PGothic"/>
          <w:sz w:val="18"/>
          <w:szCs w:val="18"/>
          <w:color w:val="3C5896"/>
        </w:rPr>
        <w:t>✓</w:t>
      </w:r>
      <w:r>
        <w:rPr>
          <w:rFonts w:ascii="Arial" w:cs="Arial" w:eastAsia="Arial" w:hAnsi="Arial"/>
          <w:sz w:val="18"/>
          <w:szCs w:val="18"/>
          <w:color w:val="auto"/>
        </w:rPr>
        <w:t>Robust director and executive stock ownership guidelines</w:t>
      </w:r>
    </w:p>
    <w:p>
      <w:pPr>
        <w:spacing w:after="0" w:line="59" w:lineRule="exact"/>
        <w:rPr>
          <w:rFonts w:ascii="Arial" w:cs="Arial" w:eastAsia="Arial" w:hAnsi="Arial"/>
          <w:sz w:val="36"/>
          <w:szCs w:val="36"/>
          <w:color w:val="auto"/>
          <w:vertAlign w:val="superscript"/>
        </w:rPr>
      </w:pPr>
    </w:p>
    <w:p>
      <w:pPr>
        <w:ind w:left="376" w:hanging="173"/>
        <w:spacing w:after="0"/>
        <w:tabs>
          <w:tab w:leader="none" w:pos="376" w:val="left"/>
        </w:tabs>
        <w:numPr>
          <w:ilvl w:val="1"/>
          <w:numId w:val="10"/>
        </w:numPr>
        <w:rPr>
          <w:rFonts w:ascii="MS PGothic" w:cs="MS PGothic" w:eastAsia="MS PGothic" w:hAnsi="MS PGothic"/>
          <w:sz w:val="17"/>
          <w:szCs w:val="17"/>
          <w:color w:val="3C5896"/>
        </w:rPr>
      </w:pPr>
      <w:r>
        <w:rPr>
          <w:rFonts w:ascii="Arial" w:cs="Arial" w:eastAsia="Arial" w:hAnsi="Arial"/>
          <w:sz w:val="17"/>
          <w:szCs w:val="17"/>
          <w:color w:val="auto"/>
        </w:rPr>
        <w:t>Anti-hedging and pledging policy</w:t>
      </w:r>
    </w:p>
    <w:p>
      <w:pPr>
        <w:spacing w:after="0" w:line="74" w:lineRule="exact"/>
        <w:rPr>
          <w:rFonts w:ascii="MS PGothic" w:cs="MS PGothic" w:eastAsia="MS PGothic" w:hAnsi="MS PGothic"/>
          <w:sz w:val="17"/>
          <w:szCs w:val="17"/>
          <w:color w:val="3C5896"/>
        </w:rPr>
      </w:pPr>
    </w:p>
    <w:p>
      <w:pPr>
        <w:ind w:left="376" w:hanging="173"/>
        <w:spacing w:after="0"/>
        <w:tabs>
          <w:tab w:leader="none" w:pos="376" w:val="left"/>
        </w:tabs>
        <w:numPr>
          <w:ilvl w:val="1"/>
          <w:numId w:val="10"/>
        </w:numPr>
        <w:rPr>
          <w:rFonts w:ascii="MS PGothic" w:cs="MS PGothic" w:eastAsia="MS PGothic" w:hAnsi="MS PGothic"/>
          <w:sz w:val="17"/>
          <w:szCs w:val="17"/>
          <w:color w:val="3C5896"/>
        </w:rPr>
      </w:pPr>
      <w:r>
        <w:rPr>
          <w:rFonts w:ascii="Arial" w:cs="Arial" w:eastAsia="Arial" w:hAnsi="Arial"/>
          <w:sz w:val="17"/>
          <w:szCs w:val="17"/>
          <w:color w:val="auto"/>
        </w:rPr>
        <w:t>Strong stockholder engagement program</w:t>
      </w:r>
    </w:p>
    <w:p>
      <w:pPr>
        <w:spacing w:after="0" w:line="88" w:lineRule="exact"/>
        <w:rPr>
          <w:rFonts w:ascii="MS PGothic" w:cs="MS PGothic" w:eastAsia="MS PGothic" w:hAnsi="MS PGothic"/>
          <w:sz w:val="17"/>
          <w:szCs w:val="17"/>
          <w:color w:val="3C5896"/>
        </w:rPr>
      </w:pPr>
    </w:p>
    <w:p>
      <w:pPr>
        <w:ind w:left="376" w:hanging="173"/>
        <w:spacing w:after="0" w:line="297" w:lineRule="auto"/>
        <w:tabs>
          <w:tab w:leader="none" w:pos="376" w:val="left"/>
        </w:tabs>
        <w:numPr>
          <w:ilvl w:val="1"/>
          <w:numId w:val="10"/>
        </w:numPr>
        <w:rPr>
          <w:rFonts w:ascii="MS PGothic" w:cs="MS PGothic" w:eastAsia="MS PGothic" w:hAnsi="MS PGothic"/>
          <w:sz w:val="17"/>
          <w:szCs w:val="17"/>
          <w:color w:val="3C5896"/>
        </w:rPr>
      </w:pPr>
      <w:r>
        <w:rPr>
          <w:rFonts w:ascii="Arial" w:cs="Arial" w:eastAsia="Arial" w:hAnsi="Arial"/>
          <w:sz w:val="17"/>
          <w:szCs w:val="17"/>
          <w:color w:val="auto"/>
        </w:rPr>
        <w:t>Formal disclosure committee for financial reporting purposes</w:t>
      </w:r>
    </w:p>
    <w:p>
      <w:pPr>
        <w:spacing w:after="0" w:line="29" w:lineRule="exact"/>
        <w:rPr>
          <w:rFonts w:ascii="MS PGothic" w:cs="MS PGothic" w:eastAsia="MS PGothic" w:hAnsi="MS PGothic"/>
          <w:sz w:val="17"/>
          <w:szCs w:val="17"/>
          <w:color w:val="3C5896"/>
        </w:rPr>
      </w:pPr>
    </w:p>
    <w:p>
      <w:pPr>
        <w:ind w:left="376" w:right="720" w:hanging="173"/>
        <w:spacing w:after="0" w:line="305" w:lineRule="auto"/>
        <w:tabs>
          <w:tab w:leader="none" w:pos="376" w:val="left"/>
        </w:tabs>
        <w:numPr>
          <w:ilvl w:val="1"/>
          <w:numId w:val="10"/>
        </w:numPr>
        <w:rPr>
          <w:rFonts w:ascii="MS PGothic" w:cs="MS PGothic" w:eastAsia="MS PGothic" w:hAnsi="MS PGothic"/>
          <w:sz w:val="17"/>
          <w:szCs w:val="17"/>
          <w:color w:val="3C5896"/>
        </w:rPr>
      </w:pPr>
      <w:r>
        <w:rPr>
          <w:rFonts w:ascii="Arial" w:cs="Arial" w:eastAsia="Arial" w:hAnsi="Arial"/>
          <w:sz w:val="17"/>
          <w:szCs w:val="17"/>
          <w:color w:val="auto"/>
        </w:rPr>
        <w:t>Annual robust Board and Committee self-assessments</w:t>
      </w:r>
    </w:p>
    <w:p>
      <w:pPr>
        <w:spacing w:after="0" w:line="29" w:lineRule="exact"/>
        <w:rPr>
          <w:rFonts w:ascii="MS PGothic" w:cs="MS PGothic" w:eastAsia="MS PGothic" w:hAnsi="MS PGothic"/>
          <w:sz w:val="17"/>
          <w:szCs w:val="17"/>
          <w:color w:val="3C5896"/>
        </w:rPr>
      </w:pPr>
    </w:p>
    <w:p>
      <w:pPr>
        <w:ind w:left="376" w:right="700" w:hanging="173"/>
        <w:spacing w:after="0" w:line="318" w:lineRule="auto"/>
        <w:tabs>
          <w:tab w:leader="none" w:pos="376" w:val="left"/>
        </w:tabs>
        <w:numPr>
          <w:ilvl w:val="1"/>
          <w:numId w:val="10"/>
        </w:numPr>
        <w:rPr>
          <w:rFonts w:ascii="MS PGothic" w:cs="MS PGothic" w:eastAsia="MS PGothic" w:hAnsi="MS PGothic"/>
          <w:sz w:val="17"/>
          <w:szCs w:val="17"/>
          <w:color w:val="3C5896"/>
        </w:rPr>
      </w:pPr>
      <w:r>
        <w:rPr>
          <w:rFonts w:ascii="Arial" w:cs="Arial" w:eastAsia="Arial" w:hAnsi="Arial"/>
          <w:sz w:val="17"/>
          <w:szCs w:val="17"/>
          <w:color w:val="auto"/>
        </w:rPr>
        <w:t>Regular Board executive sessions without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-1868170</wp:posOffset>
            </wp:positionV>
            <wp:extent cx="5837555" cy="1851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37555" cy="1851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rPr>
          <w:sz w:val="20"/>
          <w:szCs w:val="20"/>
          <w:color w:val="auto"/>
        </w:rPr>
      </w:pPr>
      <w:r>
        <w:rPr>
          <w:rFonts w:ascii="Arial" w:cs="Arial" w:eastAsia="Arial" w:hAnsi="Arial"/>
          <w:sz w:val="18"/>
          <w:szCs w:val="18"/>
          <w:color w:val="auto"/>
        </w:rPr>
        <w:t>​</w:t>
      </w:r>
    </w:p>
    <w:p>
      <w:pPr>
        <w:spacing w:after="0" w:line="2569" w:lineRule="exact"/>
        <w:rPr>
          <w:sz w:val="20"/>
          <w:szCs w:val="20"/>
          <w:color w:val="auto"/>
        </w:rPr>
      </w:pPr>
    </w:p>
    <w:p>
      <w:pPr>
        <w:sectPr>
          <w:pgSz w:w="11900" w:h="16838" w:orient="portrait"/>
          <w:cols w:equalWidth="0" w:num="3">
            <w:col w:w="4920" w:space="324"/>
            <w:col w:w="4396" w:space="240"/>
            <w:col w:w="840"/>
          </w:cols>
          <w:pgMar w:left="580" w:top="97" w:right="599" w:bottom="1440" w:gutter="0" w:footer="0" w:header="0"/>
          <w:type w:val="continuous"/>
        </w:sectPr>
      </w:pPr>
    </w:p>
    <w:p>
      <w:pPr>
        <w:jc w:val="both"/>
        <w:ind w:left="760" w:right="720"/>
        <w:spacing w:after="0" w:line="268" w:lineRule="auto"/>
        <w:rPr>
          <w:sz w:val="20"/>
          <w:szCs w:val="20"/>
          <w:color w:val="auto"/>
        </w:rPr>
      </w:pPr>
      <w:r>
        <w:rPr>
          <w:rFonts w:ascii="Arial" w:cs="Arial" w:eastAsia="Arial" w:hAnsi="Arial"/>
          <w:sz w:val="18"/>
          <w:szCs w:val="18"/>
          <w:color w:val="auto"/>
        </w:rPr>
        <w:t xml:space="preserve">Set forth below is a snapshot of our current National Vision Board, their independence, diversity and skills/​ qualifications. See Proposal 1 beginning on page </w:t>
      </w:r>
      <w:r>
        <w:rPr>
          <w:rFonts w:ascii="Arial" w:cs="Arial" w:eastAsia="Arial" w:hAnsi="Arial"/>
          <w:sz w:val="18"/>
          <w:szCs w:val="18"/>
          <w:u w:val="single" w:color="auto"/>
          <w:color w:val="0000EE"/>
        </w:rPr>
        <w:t>10</w:t>
      </w:r>
      <w:r>
        <w:rPr>
          <w:rFonts w:ascii="Arial" w:cs="Arial" w:eastAsia="Arial" w:hAnsi="Arial"/>
          <w:sz w:val="18"/>
          <w:szCs w:val="18"/>
          <w:color w:val="auto"/>
        </w:rPr>
        <w:t xml:space="preserve"> for more details on the election of the three directors named in this proxy statement for a term of one year.</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CURRENT NATIONAL VISION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8" w:lineRule="exact"/>
        <w:rPr>
          <w:sz w:val="20"/>
          <w:szCs w:val="20"/>
          <w:color w:val="auto"/>
        </w:rPr>
      </w:pPr>
    </w:p>
    <w:tbl>
      <w:tblPr>
        <w:tblLayout w:type="fixed"/>
        <w:tblInd w:w="770" w:type="dxa"/>
        <w:tblCellMar>
          <w:top w:w="0" w:type="dxa"/>
          <w:left w:w="0" w:type="dxa"/>
          <w:bottom w:w="0" w:type="dxa"/>
          <w:right w:w="0" w:type="dxa"/>
        </w:tblCellMar>
      </w:tblPr>
      <w:tr>
        <w:trPr>
          <w:trHeight w:val="324"/>
        </w:trPr>
        <w:tc>
          <w:tcPr>
            <w:tcW w:w="280" w:type="dxa"/>
            <w:vAlign w:val="bottom"/>
            <w:tcBorders>
              <w:top w:val="single" w:sz="8" w:color="3C5896"/>
              <w:left w:val="single" w:sz="8" w:color="3C5896"/>
            </w:tcBorders>
            <w:shd w:val="clear" w:color="auto" w:fill="3C5896"/>
          </w:tcPr>
          <w:p>
            <w:pPr>
              <w:spacing w:after="0"/>
              <w:rPr>
                <w:sz w:val="24"/>
                <w:szCs w:val="24"/>
                <w:color w:val="auto"/>
              </w:rPr>
            </w:pPr>
          </w:p>
        </w:tc>
        <w:tc>
          <w:tcPr>
            <w:tcW w:w="1160" w:type="dxa"/>
            <w:vAlign w:val="bottom"/>
            <w:tcBorders>
              <w:top w:val="single" w:sz="8" w:color="3C5896"/>
            </w:tcBorders>
            <w:shd w:val="clear" w:color="auto" w:fill="3C5896"/>
          </w:tcPr>
          <w:p>
            <w:pPr>
              <w:spacing w:after="0"/>
              <w:rPr>
                <w:sz w:val="24"/>
                <w:szCs w:val="24"/>
                <w:color w:val="auto"/>
              </w:rPr>
            </w:pPr>
          </w:p>
        </w:tc>
        <w:tc>
          <w:tcPr>
            <w:tcW w:w="240" w:type="dxa"/>
            <w:vAlign w:val="bottom"/>
            <w:tcBorders>
              <w:top w:val="single" w:sz="8" w:color="3C5896"/>
            </w:tcBorders>
            <w:shd w:val="clear" w:color="auto" w:fill="3C5896"/>
          </w:tcPr>
          <w:p>
            <w:pPr>
              <w:spacing w:after="0"/>
              <w:rPr>
                <w:sz w:val="24"/>
                <w:szCs w:val="24"/>
                <w:color w:val="auto"/>
              </w:rPr>
            </w:pPr>
          </w:p>
        </w:tc>
        <w:tc>
          <w:tcPr>
            <w:tcW w:w="140" w:type="dxa"/>
            <w:vAlign w:val="bottom"/>
            <w:tcBorders>
              <w:top w:val="single" w:sz="8" w:color="3C5896"/>
              <w:right w:val="single" w:sz="8" w:color="9EACCA"/>
            </w:tcBorders>
            <w:shd w:val="clear" w:color="auto" w:fill="3C5896"/>
          </w:tcPr>
          <w:p>
            <w:pPr>
              <w:spacing w:after="0"/>
              <w:rPr>
                <w:sz w:val="24"/>
                <w:szCs w:val="24"/>
                <w:color w:val="auto"/>
              </w:rPr>
            </w:pPr>
          </w:p>
        </w:tc>
        <w:tc>
          <w:tcPr>
            <w:tcW w:w="560" w:type="dxa"/>
            <w:vAlign w:val="bottom"/>
            <w:tcBorders>
              <w:top w:val="single" w:sz="8" w:color="3C5896"/>
            </w:tcBorders>
            <w:gridSpan w:val="2"/>
            <w:vMerge w:val="restart"/>
            <w:shd w:val="clear" w:color="auto" w:fill="3C5896"/>
          </w:tcPr>
          <w:p>
            <w:pPr>
              <w:ind w:left="40"/>
              <w:spacing w:after="0"/>
              <w:rPr>
                <w:sz w:val="20"/>
                <w:szCs w:val="20"/>
                <w:color w:val="auto"/>
              </w:rPr>
            </w:pPr>
            <w:r>
              <w:rPr>
                <w:rFonts w:ascii="Arial" w:cs="Arial" w:eastAsia="Arial" w:hAnsi="Arial"/>
                <w:sz w:val="35"/>
                <w:szCs w:val="35"/>
                <w:b w:val="1"/>
                <w:bCs w:val="1"/>
                <w:color w:val="FFFFFF"/>
                <w:vertAlign w:val="subscript"/>
              </w:rPr>
              <w:t>​</w:t>
            </w:r>
            <w:r>
              <w:rPr>
                <w:rFonts w:ascii="Arial" w:cs="Arial" w:eastAsia="Arial" w:hAnsi="Arial"/>
                <w:sz w:val="18"/>
                <w:szCs w:val="18"/>
                <w:b w:val="1"/>
                <w:bCs w:val="1"/>
                <w:color w:val="FFFFFF"/>
              </w:rPr>
              <w:t xml:space="preserve"> Age</w:t>
            </w:r>
          </w:p>
        </w:tc>
        <w:tc>
          <w:tcPr>
            <w:tcW w:w="160" w:type="dxa"/>
            <w:vAlign w:val="bottom"/>
            <w:tcBorders>
              <w:top w:val="single" w:sz="8" w:color="3C5896"/>
              <w:right w:val="single" w:sz="8" w:color="9EACCA"/>
            </w:tcBorders>
            <w:shd w:val="clear" w:color="auto" w:fill="3C5896"/>
          </w:tcPr>
          <w:p>
            <w:pPr>
              <w:spacing w:after="0"/>
              <w:rPr>
                <w:sz w:val="24"/>
                <w:szCs w:val="24"/>
                <w:color w:val="auto"/>
              </w:rPr>
            </w:pPr>
          </w:p>
        </w:tc>
        <w:tc>
          <w:tcPr>
            <w:tcW w:w="60" w:type="dxa"/>
            <w:vAlign w:val="bottom"/>
            <w:tcBorders>
              <w:top w:val="single" w:sz="8" w:color="3C5896"/>
            </w:tcBorders>
            <w:shd w:val="clear" w:color="auto" w:fill="3C5896"/>
          </w:tcPr>
          <w:p>
            <w:pPr>
              <w:spacing w:after="0"/>
              <w:rPr>
                <w:sz w:val="24"/>
                <w:szCs w:val="24"/>
                <w:color w:val="auto"/>
              </w:rPr>
            </w:pPr>
          </w:p>
        </w:tc>
        <w:tc>
          <w:tcPr>
            <w:tcW w:w="720" w:type="dxa"/>
            <w:vAlign w:val="bottom"/>
            <w:tcBorders>
              <w:top w:val="single" w:sz="8" w:color="3C5896"/>
            </w:tcBorders>
            <w:gridSpan w:val="2"/>
            <w:shd w:val="clear" w:color="auto" w:fill="3C5896"/>
          </w:tcPr>
          <w:p>
            <w:pPr>
              <w:ind w:left="20"/>
              <w:spacing w:after="0"/>
              <w:rPr>
                <w:sz w:val="20"/>
                <w:szCs w:val="20"/>
                <w:color w:val="auto"/>
              </w:rPr>
            </w:pPr>
            <w:r>
              <w:rPr>
                <w:rFonts w:ascii="Arial" w:cs="Arial" w:eastAsia="Arial" w:hAnsi="Arial"/>
                <w:sz w:val="18"/>
                <w:szCs w:val="18"/>
                <w:b w:val="1"/>
                <w:bCs w:val="1"/>
                <w:color w:val="FFFFFF"/>
                <w:w w:val="98"/>
              </w:rPr>
              <w:t>Director</w:t>
            </w:r>
          </w:p>
        </w:tc>
        <w:tc>
          <w:tcPr>
            <w:tcW w:w="120" w:type="dxa"/>
            <w:vAlign w:val="bottom"/>
            <w:tcBorders>
              <w:top w:val="single" w:sz="8" w:color="3C5896"/>
              <w:right w:val="single" w:sz="8" w:color="9EACCA"/>
            </w:tcBorders>
            <w:shd w:val="clear" w:color="auto" w:fill="3C5896"/>
          </w:tcPr>
          <w:p>
            <w:pPr>
              <w:spacing w:after="0"/>
              <w:rPr>
                <w:sz w:val="24"/>
                <w:szCs w:val="24"/>
                <w:color w:val="auto"/>
              </w:rPr>
            </w:pPr>
          </w:p>
        </w:tc>
        <w:tc>
          <w:tcPr>
            <w:tcW w:w="80" w:type="dxa"/>
            <w:vAlign w:val="bottom"/>
            <w:tcBorders>
              <w:top w:val="single" w:sz="8" w:color="3C5896"/>
            </w:tcBorders>
            <w:shd w:val="clear" w:color="auto" w:fill="3C5896"/>
          </w:tcPr>
          <w:p>
            <w:pPr>
              <w:spacing w:after="0"/>
              <w:rPr>
                <w:sz w:val="24"/>
                <w:szCs w:val="24"/>
                <w:color w:val="auto"/>
              </w:rPr>
            </w:pPr>
          </w:p>
        </w:tc>
        <w:tc>
          <w:tcPr>
            <w:tcW w:w="640" w:type="dxa"/>
            <w:vAlign w:val="bottom"/>
            <w:tcBorders>
              <w:top w:val="single" w:sz="8" w:color="3C5896"/>
            </w:tcBorders>
            <w:shd w:val="clear" w:color="auto" w:fill="3C5896"/>
          </w:tcPr>
          <w:p>
            <w:pPr>
              <w:spacing w:after="0"/>
              <w:rPr>
                <w:sz w:val="24"/>
                <w:szCs w:val="24"/>
                <w:color w:val="auto"/>
              </w:rPr>
            </w:pPr>
          </w:p>
        </w:tc>
        <w:tc>
          <w:tcPr>
            <w:tcW w:w="1880" w:type="dxa"/>
            <w:vAlign w:val="bottom"/>
            <w:tcBorders>
              <w:top w:val="single" w:sz="8" w:color="3C5896"/>
            </w:tcBorders>
            <w:shd w:val="clear" w:color="auto" w:fill="3C5896"/>
          </w:tcPr>
          <w:p>
            <w:pPr>
              <w:spacing w:after="0"/>
              <w:rPr>
                <w:sz w:val="24"/>
                <w:szCs w:val="24"/>
                <w:color w:val="auto"/>
              </w:rPr>
            </w:pPr>
          </w:p>
        </w:tc>
        <w:tc>
          <w:tcPr>
            <w:tcW w:w="140" w:type="dxa"/>
            <w:vAlign w:val="bottom"/>
            <w:tcBorders>
              <w:top w:val="single" w:sz="8" w:color="3C5896"/>
              <w:right w:val="single" w:sz="8" w:color="9EACCA"/>
            </w:tcBorders>
            <w:shd w:val="clear" w:color="auto" w:fill="3C5896"/>
          </w:tcPr>
          <w:p>
            <w:pPr>
              <w:spacing w:after="0"/>
              <w:rPr>
                <w:sz w:val="24"/>
                <w:szCs w:val="24"/>
                <w:color w:val="auto"/>
              </w:rPr>
            </w:pPr>
          </w:p>
        </w:tc>
        <w:tc>
          <w:tcPr>
            <w:tcW w:w="80" w:type="dxa"/>
            <w:vAlign w:val="bottom"/>
            <w:tcBorders>
              <w:top w:val="single" w:sz="8" w:color="3C5896"/>
            </w:tcBorders>
            <w:shd w:val="clear" w:color="auto" w:fill="3C5896"/>
          </w:tcPr>
          <w:p>
            <w:pPr>
              <w:spacing w:after="0"/>
              <w:rPr>
                <w:sz w:val="24"/>
                <w:szCs w:val="24"/>
                <w:color w:val="auto"/>
              </w:rPr>
            </w:pPr>
          </w:p>
        </w:tc>
        <w:tc>
          <w:tcPr>
            <w:tcW w:w="720" w:type="dxa"/>
            <w:vAlign w:val="bottom"/>
            <w:tcBorders>
              <w:top w:val="single" w:sz="8" w:color="3C5896"/>
            </w:tcBorders>
            <w:shd w:val="clear" w:color="auto" w:fill="3C5896"/>
          </w:tcPr>
          <w:p>
            <w:pPr>
              <w:spacing w:after="0"/>
              <w:rPr>
                <w:sz w:val="20"/>
                <w:szCs w:val="20"/>
                <w:color w:val="auto"/>
              </w:rPr>
            </w:pPr>
            <w:r>
              <w:rPr>
                <w:rFonts w:ascii="Arial" w:cs="Arial" w:eastAsia="Arial" w:hAnsi="Arial"/>
                <w:sz w:val="18"/>
                <w:szCs w:val="18"/>
                <w:b w:val="1"/>
                <w:bCs w:val="1"/>
                <w:color w:val="FFFFFF"/>
              </w:rPr>
              <w:t>Director</w:t>
            </w:r>
          </w:p>
        </w:tc>
        <w:tc>
          <w:tcPr>
            <w:tcW w:w="120" w:type="dxa"/>
            <w:vAlign w:val="bottom"/>
            <w:tcBorders>
              <w:top w:val="single" w:sz="8" w:color="3C5896"/>
              <w:right w:val="single" w:sz="8" w:color="9EACCA"/>
            </w:tcBorders>
            <w:shd w:val="clear" w:color="auto" w:fill="3C5896"/>
          </w:tcPr>
          <w:p>
            <w:pPr>
              <w:spacing w:after="0"/>
              <w:rPr>
                <w:sz w:val="24"/>
                <w:szCs w:val="24"/>
                <w:color w:val="auto"/>
              </w:rPr>
            </w:pPr>
          </w:p>
        </w:tc>
        <w:tc>
          <w:tcPr>
            <w:tcW w:w="80" w:type="dxa"/>
            <w:vAlign w:val="bottom"/>
            <w:tcBorders>
              <w:top w:val="single" w:sz="8" w:color="3C5896"/>
            </w:tcBorders>
            <w:shd w:val="clear" w:color="auto" w:fill="3C5896"/>
          </w:tcPr>
          <w:p>
            <w:pPr>
              <w:spacing w:after="0"/>
              <w:rPr>
                <w:sz w:val="24"/>
                <w:szCs w:val="24"/>
                <w:color w:val="auto"/>
              </w:rPr>
            </w:pPr>
          </w:p>
        </w:tc>
        <w:tc>
          <w:tcPr>
            <w:tcW w:w="300" w:type="dxa"/>
            <w:vAlign w:val="bottom"/>
            <w:tcBorders>
              <w:top w:val="single" w:sz="8" w:color="3C5896"/>
            </w:tcBorders>
            <w:shd w:val="clear" w:color="auto" w:fill="3C5896"/>
          </w:tcPr>
          <w:p>
            <w:pPr>
              <w:spacing w:after="0"/>
              <w:rPr>
                <w:sz w:val="24"/>
                <w:szCs w:val="24"/>
                <w:color w:val="auto"/>
              </w:rPr>
            </w:pPr>
          </w:p>
        </w:tc>
        <w:tc>
          <w:tcPr>
            <w:tcW w:w="1600" w:type="dxa"/>
            <w:vAlign w:val="bottom"/>
            <w:tcBorders>
              <w:top w:val="single" w:sz="8" w:color="3C5896"/>
            </w:tcBorders>
            <w:shd w:val="clear" w:color="auto" w:fill="3C5896"/>
          </w:tcPr>
          <w:p>
            <w:pPr>
              <w:ind w:left="180"/>
              <w:spacing w:after="0"/>
              <w:rPr>
                <w:sz w:val="20"/>
                <w:szCs w:val="20"/>
                <w:color w:val="auto"/>
              </w:rPr>
            </w:pPr>
            <w:r>
              <w:rPr>
                <w:rFonts w:ascii="Arial" w:cs="Arial" w:eastAsia="Arial" w:hAnsi="Arial"/>
                <w:sz w:val="18"/>
                <w:szCs w:val="18"/>
                <w:b w:val="1"/>
                <w:bCs w:val="1"/>
                <w:color w:val="FFFFFF"/>
              </w:rPr>
              <w:t>Committee</w:t>
            </w:r>
          </w:p>
        </w:tc>
        <w:tc>
          <w:tcPr>
            <w:tcW w:w="120" w:type="dxa"/>
            <w:vAlign w:val="bottom"/>
            <w:tcBorders>
              <w:top w:val="single" w:sz="8" w:color="3C5896"/>
              <w:right w:val="single" w:sz="8" w:color="3C5896"/>
            </w:tcBorders>
            <w:shd w:val="clear" w:color="auto" w:fill="3C589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 w:type="dxa"/>
            <w:vAlign w:val="bottom"/>
            <w:tcBorders>
              <w:left w:val="single" w:sz="8" w:color="3C5896"/>
            </w:tcBorders>
            <w:shd w:val="clear" w:color="auto" w:fill="3C5896"/>
          </w:tcPr>
          <w:p>
            <w:pPr>
              <w:ind w:left="40"/>
              <w:spacing w:after="0"/>
              <w:rPr>
                <w:sz w:val="20"/>
                <w:szCs w:val="20"/>
                <w:color w:val="auto"/>
              </w:rPr>
            </w:pPr>
            <w:r>
              <w:rPr>
                <w:rFonts w:ascii="Arial" w:cs="Arial" w:eastAsia="Arial" w:hAnsi="Arial"/>
                <w:sz w:val="18"/>
                <w:szCs w:val="18"/>
                <w:b w:val="1"/>
                <w:bCs w:val="1"/>
                <w:color w:val="FFFFFF"/>
              </w:rPr>
              <w:t>​</w:t>
            </w:r>
          </w:p>
        </w:tc>
        <w:tc>
          <w:tcPr>
            <w:tcW w:w="1160" w:type="dxa"/>
            <w:vAlign w:val="bottom"/>
            <w:shd w:val="clear" w:color="auto" w:fill="3C5896"/>
          </w:tcPr>
          <w:p>
            <w:pPr>
              <w:ind w:left="220"/>
              <w:spacing w:after="0"/>
              <w:rPr>
                <w:sz w:val="20"/>
                <w:szCs w:val="20"/>
                <w:color w:val="auto"/>
              </w:rPr>
            </w:pPr>
            <w:r>
              <w:rPr>
                <w:rFonts w:ascii="Arial" w:cs="Arial" w:eastAsia="Arial" w:hAnsi="Arial"/>
                <w:sz w:val="18"/>
                <w:szCs w:val="18"/>
                <w:b w:val="1"/>
                <w:bCs w:val="1"/>
                <w:color w:val="FFFFFF"/>
              </w:rPr>
              <w:t>Directors</w:t>
            </w:r>
          </w:p>
        </w:tc>
        <w:tc>
          <w:tcPr>
            <w:tcW w:w="240" w:type="dxa"/>
            <w:vAlign w:val="bottom"/>
            <w:shd w:val="clear" w:color="auto" w:fill="3C5896"/>
          </w:tcPr>
          <w:p>
            <w:pPr>
              <w:spacing w:after="0"/>
              <w:rPr>
                <w:sz w:val="22"/>
                <w:szCs w:val="22"/>
                <w:color w:val="auto"/>
              </w:rPr>
            </w:pPr>
          </w:p>
        </w:tc>
        <w:tc>
          <w:tcPr>
            <w:tcW w:w="140" w:type="dxa"/>
            <w:vAlign w:val="bottom"/>
            <w:tcBorders>
              <w:right w:val="single" w:sz="8" w:color="9EACCA"/>
            </w:tcBorders>
            <w:shd w:val="clear" w:color="auto" w:fill="3C5896"/>
          </w:tcPr>
          <w:p>
            <w:pPr>
              <w:ind w:left="100"/>
              <w:spacing w:after="0"/>
              <w:rPr>
                <w:sz w:val="20"/>
                <w:szCs w:val="20"/>
                <w:color w:val="auto"/>
              </w:rPr>
            </w:pPr>
            <w:r>
              <w:rPr>
                <w:rFonts w:ascii="Arial" w:cs="Arial" w:eastAsia="Arial" w:hAnsi="Arial"/>
                <w:sz w:val="1"/>
                <w:szCs w:val="1"/>
                <w:b w:val="1"/>
                <w:bCs w:val="1"/>
                <w:color w:val="FFFFFF"/>
                <w:w w:val="4294942296"/>
              </w:rPr>
              <w:t>​</w:t>
            </w:r>
          </w:p>
        </w:tc>
        <w:tc>
          <w:tcPr>
            <w:tcW w:w="560" w:type="dxa"/>
            <w:vAlign w:val="bottom"/>
            <w:gridSpan w:val="2"/>
            <w:vMerge w:val="continue"/>
            <w:shd w:val="clear" w:color="auto" w:fill="3C5896"/>
          </w:tcPr>
          <w:p>
            <w:pPr>
              <w:spacing w:after="0"/>
              <w:rPr>
                <w:sz w:val="22"/>
                <w:szCs w:val="22"/>
                <w:color w:val="auto"/>
              </w:rPr>
            </w:pPr>
          </w:p>
        </w:tc>
        <w:tc>
          <w:tcPr>
            <w:tcW w:w="160" w:type="dxa"/>
            <w:vAlign w:val="bottom"/>
            <w:tcBorders>
              <w:right w:val="single" w:sz="8" w:color="9EACCA"/>
            </w:tcBorders>
            <w:shd w:val="clear" w:color="auto" w:fill="3C5896"/>
          </w:tcPr>
          <w:p>
            <w:pPr>
              <w:ind w:left="100"/>
              <w:spacing w:after="0"/>
              <w:rPr>
                <w:sz w:val="20"/>
                <w:szCs w:val="20"/>
                <w:color w:val="auto"/>
              </w:rPr>
            </w:pPr>
            <w:r>
              <w:rPr>
                <w:rFonts w:ascii="Arial" w:cs="Arial" w:eastAsia="Arial" w:hAnsi="Arial"/>
                <w:sz w:val="18"/>
                <w:szCs w:val="18"/>
                <w:b w:val="1"/>
                <w:bCs w:val="1"/>
                <w:color w:val="FFFFFF"/>
              </w:rPr>
              <w:t>​</w:t>
            </w:r>
          </w:p>
        </w:tc>
        <w:tc>
          <w:tcPr>
            <w:tcW w:w="140" w:type="dxa"/>
            <w:vAlign w:val="bottom"/>
            <w:gridSpan w:val="2"/>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640" w:type="dxa"/>
            <w:vAlign w:val="bottom"/>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Since</w:t>
            </w:r>
          </w:p>
        </w:tc>
        <w:tc>
          <w:tcPr>
            <w:tcW w:w="120" w:type="dxa"/>
            <w:vAlign w:val="bottom"/>
            <w:tcBorders>
              <w:right w:val="single" w:sz="8" w:color="9EACCA"/>
            </w:tcBorders>
            <w:shd w:val="clear" w:color="auto" w:fill="3C5896"/>
          </w:tcPr>
          <w:p>
            <w:pPr>
              <w:ind w:left="80"/>
              <w:spacing w:after="0"/>
              <w:rPr>
                <w:sz w:val="20"/>
                <w:szCs w:val="20"/>
                <w:color w:val="auto"/>
              </w:rPr>
            </w:pPr>
            <w:r>
              <w:rPr>
                <w:rFonts w:ascii="Arial" w:cs="Arial" w:eastAsia="Arial" w:hAnsi="Arial"/>
                <w:sz w:val="1"/>
                <w:szCs w:val="1"/>
                <w:b w:val="1"/>
                <w:bCs w:val="1"/>
                <w:color w:val="FFFFFF"/>
                <w:w w:val="4294942296"/>
              </w:rPr>
              <w:t>​</w:t>
            </w:r>
          </w:p>
        </w:tc>
        <w:tc>
          <w:tcPr>
            <w:tcW w:w="720" w:type="dxa"/>
            <w:vAlign w:val="bottom"/>
            <w:gridSpan w:val="2"/>
            <w:shd w:val="clear" w:color="auto" w:fill="3C5896"/>
          </w:tcPr>
          <w:p>
            <w:pPr>
              <w:ind w:left="40"/>
              <w:spacing w:after="0"/>
              <w:rPr>
                <w:sz w:val="20"/>
                <w:szCs w:val="20"/>
                <w:color w:val="auto"/>
              </w:rPr>
            </w:pPr>
            <w:r>
              <w:rPr>
                <w:rFonts w:ascii="Arial" w:cs="Arial" w:eastAsia="Arial" w:hAnsi="Arial"/>
                <w:sz w:val="18"/>
                <w:szCs w:val="18"/>
                <w:b w:val="1"/>
                <w:bCs w:val="1"/>
                <w:color w:val="FFFFFF"/>
              </w:rPr>
              <w:t>​</w:t>
            </w:r>
          </w:p>
        </w:tc>
        <w:tc>
          <w:tcPr>
            <w:tcW w:w="1880" w:type="dxa"/>
            <w:vAlign w:val="bottom"/>
            <w:shd w:val="clear" w:color="auto" w:fill="3C5896"/>
          </w:tcPr>
          <w:p>
            <w:pPr>
              <w:ind w:left="160"/>
              <w:spacing w:after="0"/>
              <w:rPr>
                <w:sz w:val="20"/>
                <w:szCs w:val="20"/>
                <w:color w:val="auto"/>
              </w:rPr>
            </w:pPr>
            <w:r>
              <w:rPr>
                <w:rFonts w:ascii="Arial" w:cs="Arial" w:eastAsia="Arial" w:hAnsi="Arial"/>
                <w:sz w:val="18"/>
                <w:szCs w:val="18"/>
                <w:b w:val="1"/>
                <w:bCs w:val="1"/>
                <w:color w:val="FFFFFF"/>
              </w:rPr>
              <w:t>Occupation</w:t>
            </w:r>
          </w:p>
        </w:tc>
        <w:tc>
          <w:tcPr>
            <w:tcW w:w="140" w:type="dxa"/>
            <w:vAlign w:val="bottom"/>
            <w:tcBorders>
              <w:right w:val="single" w:sz="8" w:color="9EACCA"/>
            </w:tcBorders>
            <w:shd w:val="clear" w:color="auto" w:fill="3C5896"/>
          </w:tcPr>
          <w:p>
            <w:pPr>
              <w:ind w:left="100"/>
              <w:spacing w:after="0"/>
              <w:rPr>
                <w:sz w:val="20"/>
                <w:szCs w:val="20"/>
                <w:color w:val="auto"/>
              </w:rPr>
            </w:pPr>
            <w:r>
              <w:rPr>
                <w:rFonts w:ascii="Arial" w:cs="Arial" w:eastAsia="Arial" w:hAnsi="Arial"/>
                <w:sz w:val="1"/>
                <w:szCs w:val="1"/>
                <w:b w:val="1"/>
                <w:bCs w:val="1"/>
                <w:color w:val="FFFFFF"/>
                <w:w w:val="4294942296"/>
              </w:rPr>
              <w:t>​</w:t>
            </w:r>
          </w:p>
        </w:tc>
        <w:tc>
          <w:tcPr>
            <w:tcW w:w="800" w:type="dxa"/>
            <w:vAlign w:val="bottom"/>
            <w:gridSpan w:val="2"/>
            <w:shd w:val="clear" w:color="auto" w:fill="3C5896"/>
          </w:tcPr>
          <w:p>
            <w:pPr>
              <w:ind w:left="40"/>
              <w:spacing w:after="0" w:line="256" w:lineRule="exact"/>
              <w:rPr>
                <w:sz w:val="20"/>
                <w:szCs w:val="20"/>
                <w:color w:val="auto"/>
              </w:rPr>
            </w:pPr>
            <w:r>
              <w:rPr>
                <w:rFonts w:ascii="Arial" w:cs="Arial" w:eastAsia="Arial" w:hAnsi="Arial"/>
                <w:sz w:val="29"/>
                <w:szCs w:val="29"/>
                <w:b w:val="1"/>
                <w:bCs w:val="1"/>
                <w:color w:val="FFFFFF"/>
                <w:vertAlign w:val="subscript"/>
              </w:rPr>
              <w:t>​</w:t>
            </w:r>
            <w:r>
              <w:rPr>
                <w:rFonts w:ascii="Arial" w:cs="Arial" w:eastAsia="Arial" w:hAnsi="Arial"/>
                <w:sz w:val="16"/>
                <w:szCs w:val="16"/>
                <w:b w:val="1"/>
                <w:bCs w:val="1"/>
                <w:color w:val="FFFFFF"/>
              </w:rPr>
              <w:t xml:space="preserve"> Class</w:t>
            </w:r>
            <w:r>
              <w:rPr>
                <w:rFonts w:ascii="Arial" w:cs="Arial" w:eastAsia="Arial" w:hAnsi="Arial"/>
                <w:sz w:val="20"/>
                <w:szCs w:val="20"/>
                <w:b w:val="1"/>
                <w:bCs w:val="1"/>
                <w:color w:val="FFFFFF"/>
                <w:vertAlign w:val="superscript"/>
              </w:rPr>
              <w:t>(1)</w:t>
            </w:r>
          </w:p>
        </w:tc>
        <w:tc>
          <w:tcPr>
            <w:tcW w:w="120" w:type="dxa"/>
            <w:vAlign w:val="bottom"/>
            <w:tcBorders>
              <w:right w:val="single" w:sz="8" w:color="9EACCA"/>
            </w:tcBorders>
            <w:shd w:val="clear" w:color="auto" w:fill="3C5896"/>
          </w:tcPr>
          <w:p>
            <w:pPr>
              <w:ind w:left="60"/>
              <w:spacing w:after="0"/>
              <w:rPr>
                <w:sz w:val="20"/>
                <w:szCs w:val="20"/>
                <w:color w:val="auto"/>
              </w:rPr>
            </w:pPr>
            <w:r>
              <w:rPr>
                <w:rFonts w:ascii="Arial" w:cs="Arial" w:eastAsia="Arial" w:hAnsi="Arial"/>
                <w:sz w:val="18"/>
                <w:szCs w:val="18"/>
                <w:b w:val="1"/>
                <w:bCs w:val="1"/>
                <w:color w:val="FFFFFF"/>
              </w:rPr>
              <w:t>​</w:t>
            </w:r>
          </w:p>
        </w:tc>
        <w:tc>
          <w:tcPr>
            <w:tcW w:w="380" w:type="dxa"/>
            <w:vAlign w:val="bottom"/>
            <w:gridSpan w:val="2"/>
            <w:shd w:val="clear" w:color="auto" w:fill="3C5896"/>
          </w:tcPr>
          <w:p>
            <w:pPr>
              <w:ind w:left="40"/>
              <w:spacing w:after="0"/>
              <w:rPr>
                <w:sz w:val="20"/>
                <w:szCs w:val="20"/>
                <w:color w:val="auto"/>
              </w:rPr>
            </w:pPr>
            <w:r>
              <w:rPr>
                <w:rFonts w:ascii="Arial" w:cs="Arial" w:eastAsia="Arial" w:hAnsi="Arial"/>
                <w:sz w:val="18"/>
                <w:szCs w:val="18"/>
                <w:b w:val="1"/>
                <w:bCs w:val="1"/>
                <w:color w:val="FFFFFF"/>
              </w:rPr>
              <w:t>​</w:t>
            </w:r>
          </w:p>
        </w:tc>
        <w:tc>
          <w:tcPr>
            <w:tcW w:w="1600" w:type="dxa"/>
            <w:vAlign w:val="bottom"/>
            <w:shd w:val="clear" w:color="auto" w:fill="3C5896"/>
          </w:tcPr>
          <w:p>
            <w:pPr>
              <w:ind w:left="140"/>
              <w:spacing w:after="0"/>
              <w:rPr>
                <w:sz w:val="20"/>
                <w:szCs w:val="20"/>
                <w:color w:val="auto"/>
              </w:rPr>
            </w:pPr>
            <w:r>
              <w:rPr>
                <w:rFonts w:ascii="Arial" w:cs="Arial" w:eastAsia="Arial" w:hAnsi="Arial"/>
                <w:sz w:val="18"/>
                <w:szCs w:val="18"/>
                <w:b w:val="1"/>
                <w:bCs w:val="1"/>
                <w:color w:val="FFFFFF"/>
              </w:rPr>
              <w:t>Membership</w:t>
            </w:r>
          </w:p>
        </w:tc>
        <w:tc>
          <w:tcPr>
            <w:tcW w:w="120" w:type="dxa"/>
            <w:vAlign w:val="bottom"/>
            <w:tcBorders>
              <w:right w:val="single" w:sz="8" w:color="3C5896"/>
            </w:tcBorders>
            <w:shd w:val="clear" w:color="auto" w:fill="3C5896"/>
          </w:tcPr>
          <w:p>
            <w:pPr>
              <w:ind w:left="80"/>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175"/>
        </w:trPr>
        <w:tc>
          <w:tcPr>
            <w:tcW w:w="1440" w:type="dxa"/>
            <w:vAlign w:val="bottom"/>
            <w:tcBorders>
              <w:left w:val="single" w:sz="8" w:color="3C5896"/>
            </w:tcBorders>
            <w:gridSpan w:val="2"/>
          </w:tcPr>
          <w:p>
            <w:pPr>
              <w:ind w:left="20"/>
              <w:spacing w:after="0" w:line="175" w:lineRule="exact"/>
              <w:rPr>
                <w:sz w:val="20"/>
                <w:szCs w:val="20"/>
                <w:color w:val="auto"/>
              </w:rPr>
            </w:pPr>
            <w:r>
              <w:rPr>
                <w:rFonts w:ascii="Arial" w:cs="Arial" w:eastAsia="Arial" w:hAnsi="Arial"/>
                <w:sz w:val="16"/>
                <w:szCs w:val="16"/>
                <w:color w:val="auto"/>
              </w:rPr>
              <w:t>​L. Reade Fahs</w:t>
            </w:r>
            <w:r>
              <w:rPr>
                <w:rFonts w:ascii="Arial" w:cs="Arial" w:eastAsia="Arial" w:hAnsi="Arial"/>
                <w:sz w:val="19"/>
                <w:szCs w:val="19"/>
                <w:color w:val="auto"/>
                <w:vertAlign w:val="superscript"/>
              </w:rPr>
              <w:t>(2)</w:t>
            </w: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4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line="175" w:lineRule="exact"/>
              <w:rPr>
                <w:sz w:val="20"/>
                <w:szCs w:val="20"/>
                <w:color w:val="auto"/>
              </w:rPr>
            </w:pPr>
            <w:r>
              <w:rPr>
                <w:rFonts w:ascii="Arial" w:cs="Arial" w:eastAsia="Arial" w:hAnsi="Arial"/>
                <w:sz w:val="16"/>
                <w:szCs w:val="16"/>
                <w:color w:val="auto"/>
              </w:rPr>
              <w:t>61</w:t>
            </w:r>
          </w:p>
        </w:tc>
        <w:tc>
          <w:tcPr>
            <w:tcW w:w="16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140" w:type="dxa"/>
            <w:vAlign w:val="bottom"/>
            <w:gridSpan w:val="2"/>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rPr>
              <w:t>2014</w:t>
            </w:r>
          </w:p>
        </w:tc>
        <w:tc>
          <w:tcPr>
            <w:tcW w:w="120" w:type="dxa"/>
            <w:vAlign w:val="bottom"/>
            <w:tcBorders>
              <w:right w:val="single" w:sz="8" w:color="9EACCA"/>
            </w:tcBorders>
          </w:tcPr>
          <w:p>
            <w:pPr>
              <w:ind w:left="40"/>
              <w:spacing w:after="0" w:line="175" w:lineRule="exact"/>
              <w:rPr>
                <w:sz w:val="20"/>
                <w:szCs w:val="20"/>
                <w:color w:val="auto"/>
              </w:rPr>
            </w:pPr>
            <w:r>
              <w:rPr>
                <w:rFonts w:ascii="Arial" w:cs="Arial" w:eastAsia="Arial" w:hAnsi="Arial"/>
                <w:sz w:val="16"/>
                <w:szCs w:val="16"/>
                <w:color w:val="auto"/>
              </w:rPr>
              <w:t>​</w:t>
            </w:r>
          </w:p>
        </w:tc>
        <w:tc>
          <w:tcPr>
            <w:tcW w:w="2600" w:type="dxa"/>
            <w:vAlign w:val="bottom"/>
            <w:gridSpan w:val="3"/>
          </w:tcPr>
          <w:p>
            <w:pPr>
              <w:spacing w:after="0" w:line="175" w:lineRule="exact"/>
              <w:rPr>
                <w:sz w:val="20"/>
                <w:szCs w:val="20"/>
                <w:color w:val="auto"/>
              </w:rPr>
            </w:pPr>
            <w:r>
              <w:rPr>
                <w:rFonts w:ascii="Arial" w:cs="Arial" w:eastAsia="Arial" w:hAnsi="Arial"/>
                <w:sz w:val="16"/>
                <w:szCs w:val="16"/>
                <w:color w:val="auto"/>
              </w:rPr>
              <w:t>​ Chief Executive Officer, National</w:t>
            </w:r>
          </w:p>
        </w:tc>
        <w:tc>
          <w:tcPr>
            <w:tcW w:w="14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center"/>
              <w:spacing w:after="0" w:line="175" w:lineRule="exact"/>
              <w:rPr>
                <w:sz w:val="20"/>
                <w:szCs w:val="20"/>
                <w:color w:val="auto"/>
              </w:rPr>
            </w:pPr>
            <w:r>
              <w:rPr>
                <w:rFonts w:ascii="Arial" w:cs="Arial" w:eastAsia="Arial" w:hAnsi="Arial"/>
                <w:sz w:val="16"/>
                <w:szCs w:val="16"/>
                <w:color w:val="auto"/>
                <w:w w:val="88"/>
              </w:rPr>
              <w:t>I</w:t>
            </w:r>
          </w:p>
        </w:tc>
        <w:tc>
          <w:tcPr>
            <w:tcW w:w="120" w:type="dxa"/>
            <w:vAlign w:val="bottom"/>
            <w:tcBorders>
              <w:right w:val="single" w:sz="8" w:color="9EACCA"/>
            </w:tcBorders>
          </w:tcPr>
          <w:p>
            <w:pPr>
              <w:ind w:left="20"/>
              <w:spacing w:after="0" w:line="175" w:lineRule="exact"/>
              <w:rPr>
                <w:sz w:val="20"/>
                <w:szCs w:val="20"/>
                <w:color w:val="auto"/>
              </w:rPr>
            </w:pPr>
            <w:r>
              <w:rPr>
                <w:rFonts w:ascii="Arial" w:cs="Arial" w:eastAsia="Arial" w:hAnsi="Arial"/>
                <w:sz w:val="16"/>
                <w:szCs w:val="16"/>
                <w:color w:val="auto"/>
              </w:rPr>
              <w:t>​</w:t>
            </w:r>
          </w:p>
        </w:tc>
        <w:tc>
          <w:tcPr>
            <w:tcW w:w="380" w:type="dxa"/>
            <w:vAlign w:val="bottom"/>
            <w:gridSpan w:val="2"/>
          </w:tcPr>
          <w:p>
            <w:pPr>
              <w:spacing w:after="0" w:line="175" w:lineRule="exact"/>
              <w:rPr>
                <w:sz w:val="20"/>
                <w:szCs w:val="20"/>
                <w:color w:val="auto"/>
              </w:rPr>
            </w:pPr>
            <w:r>
              <w:rPr>
                <w:rFonts w:ascii="Arial" w:cs="Arial" w:eastAsia="Arial" w:hAnsi="Arial"/>
                <w:sz w:val="16"/>
                <w:szCs w:val="16"/>
                <w:color w:val="auto"/>
              </w:rPr>
              <w:t>​ —</w:t>
            </w:r>
          </w:p>
        </w:tc>
        <w:tc>
          <w:tcPr>
            <w:tcW w:w="1600" w:type="dxa"/>
            <w:vAlign w:val="bottom"/>
          </w:tcPr>
          <w:p>
            <w:pPr>
              <w:spacing w:after="0"/>
              <w:rPr>
                <w:sz w:val="15"/>
                <w:szCs w:val="15"/>
                <w:color w:val="auto"/>
              </w:rPr>
            </w:pPr>
          </w:p>
        </w:tc>
        <w:tc>
          <w:tcPr>
            <w:tcW w:w="120" w:type="dxa"/>
            <w:vAlign w:val="bottom"/>
            <w:tcBorders>
              <w:right w:val="single" w:sz="8" w:color="3C5896"/>
            </w:tcBorders>
          </w:tcPr>
          <w:p>
            <w:pPr>
              <w:ind w:left="4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0" w:type="dxa"/>
            <w:vAlign w:val="bottom"/>
            <w:tcBorders>
              <w:left w:val="single" w:sz="8" w:color="3C5896"/>
            </w:tcBorders>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9EACCA"/>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6"/>
                <w:szCs w:val="16"/>
                <w:color w:val="auto"/>
              </w:rPr>
              <w:t>Vision</w:t>
            </w:r>
          </w:p>
        </w:tc>
        <w:tc>
          <w:tcPr>
            <w:tcW w:w="1880" w:type="dxa"/>
            <w:vAlign w:val="bottom"/>
          </w:tcPr>
          <w:p>
            <w:pPr>
              <w:spacing w:after="0"/>
              <w:rPr>
                <w:sz w:val="18"/>
                <w:szCs w:val="18"/>
                <w:color w:val="auto"/>
              </w:rPr>
            </w:pPr>
          </w:p>
        </w:tc>
        <w:tc>
          <w:tcPr>
            <w:tcW w:w="14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right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80" w:type="dxa"/>
            <w:vAlign w:val="bottom"/>
            <w:tcBorders>
              <w:left w:val="single" w:sz="8" w:color="3C5896"/>
            </w:tcBorders>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right w:val="single" w:sz="8" w:color="9EACCA"/>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0" w:type="dxa"/>
            <w:vAlign w:val="bottom"/>
            <w:tcBorders>
              <w:left w:val="single" w:sz="8" w:color="3C5896"/>
            </w:tcBorders>
            <w:shd w:val="clear" w:color="auto" w:fill="CCCCCC"/>
          </w:tcPr>
          <w:p>
            <w:pPr>
              <w:ind w:left="20"/>
              <w:spacing w:after="0" w:line="135" w:lineRule="exact"/>
              <w:rPr>
                <w:sz w:val="20"/>
                <w:szCs w:val="20"/>
                <w:color w:val="auto"/>
              </w:rPr>
            </w:pPr>
            <w:r>
              <w:rPr>
                <w:rFonts w:ascii="Arial" w:cs="Arial" w:eastAsia="Arial" w:hAnsi="Arial"/>
                <w:sz w:val="15"/>
                <w:szCs w:val="15"/>
                <w:color w:val="auto"/>
              </w:rPr>
              <w:t>​</w:t>
            </w:r>
          </w:p>
        </w:tc>
        <w:tc>
          <w:tcPr>
            <w:tcW w:w="1160" w:type="dxa"/>
            <w:vAlign w:val="bottom"/>
            <w:shd w:val="clear" w:color="auto" w:fill="CCCCCC"/>
          </w:tcPr>
          <w:p>
            <w:pPr>
              <w:spacing w:after="0"/>
              <w:rPr>
                <w:sz w:val="11"/>
                <w:szCs w:val="11"/>
                <w:color w:val="auto"/>
              </w:rPr>
            </w:pPr>
          </w:p>
        </w:tc>
        <w:tc>
          <w:tcPr>
            <w:tcW w:w="240" w:type="dxa"/>
            <w:vAlign w:val="bottom"/>
            <w:shd w:val="clear" w:color="auto" w:fill="CCCCCC"/>
          </w:tcPr>
          <w:p>
            <w:pPr>
              <w:jc w:val="right"/>
              <w:ind w:right="85"/>
              <w:spacing w:after="0"/>
              <w:rPr>
                <w:sz w:val="20"/>
                <w:szCs w:val="20"/>
                <w:color w:val="auto"/>
              </w:rPr>
            </w:pPr>
            <w:r>
              <w:rPr>
                <w:rFonts w:ascii="Arial" w:cs="Arial" w:eastAsia="Arial" w:hAnsi="Arial"/>
                <w:sz w:val="10"/>
                <w:szCs w:val="10"/>
                <w:color w:val="auto"/>
                <w:w w:val="81"/>
              </w:rPr>
              <w:t>(3)</w:t>
            </w:r>
          </w:p>
        </w:tc>
        <w:tc>
          <w:tcPr>
            <w:tcW w:w="140" w:type="dxa"/>
            <w:vAlign w:val="bottom"/>
            <w:tcBorders>
              <w:right w:val="single" w:sz="8" w:color="9EACCA"/>
            </w:tcBorders>
            <w:shd w:val="clear" w:color="auto" w:fill="CCCCCC"/>
          </w:tcPr>
          <w:p>
            <w:pPr>
              <w:ind w:left="6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CCCC"/>
          </w:tcPr>
          <w:p>
            <w:pPr>
              <w:spacing w:after="0" w:line="135" w:lineRule="exact"/>
              <w:rPr>
                <w:sz w:val="20"/>
                <w:szCs w:val="20"/>
                <w:color w:val="auto"/>
              </w:rPr>
            </w:pPr>
            <w:r>
              <w:rPr>
                <w:rFonts w:ascii="Arial" w:cs="Arial" w:eastAsia="Arial" w:hAnsi="Arial"/>
                <w:sz w:val="15"/>
                <w:szCs w:val="15"/>
                <w:color w:val="auto"/>
              </w:rPr>
              <w:t>​</w:t>
            </w:r>
          </w:p>
        </w:tc>
        <w:tc>
          <w:tcPr>
            <w:tcW w:w="480" w:type="dxa"/>
            <w:vAlign w:val="bottom"/>
            <w:vMerge w:val="restart"/>
            <w:shd w:val="clear" w:color="auto" w:fill="CCCCCC"/>
          </w:tcPr>
          <w:p>
            <w:pPr>
              <w:jc w:val="right"/>
              <w:ind w:right="39"/>
              <w:spacing w:after="0" w:line="175" w:lineRule="exact"/>
              <w:rPr>
                <w:sz w:val="20"/>
                <w:szCs w:val="20"/>
                <w:color w:val="auto"/>
              </w:rPr>
            </w:pPr>
            <w:r>
              <w:rPr>
                <w:rFonts w:ascii="Arial" w:cs="Arial" w:eastAsia="Arial" w:hAnsi="Arial"/>
                <w:sz w:val="16"/>
                <w:szCs w:val="16"/>
                <w:color w:val="auto"/>
              </w:rPr>
              <w:t>57</w:t>
            </w:r>
          </w:p>
        </w:tc>
        <w:tc>
          <w:tcPr>
            <w:tcW w:w="160" w:type="dxa"/>
            <w:vAlign w:val="bottom"/>
            <w:tcBorders>
              <w:right w:val="single" w:sz="8" w:color="9EACCA"/>
            </w:tcBorders>
            <w:shd w:val="clear" w:color="auto" w:fill="CCCCCC"/>
          </w:tcPr>
          <w:p>
            <w:pPr>
              <w:ind w:left="60"/>
              <w:spacing w:after="0" w:line="135" w:lineRule="exact"/>
              <w:rPr>
                <w:sz w:val="20"/>
                <w:szCs w:val="20"/>
                <w:color w:val="auto"/>
              </w:rPr>
            </w:pPr>
            <w:r>
              <w:rPr>
                <w:rFonts w:ascii="Arial" w:cs="Arial" w:eastAsia="Arial" w:hAnsi="Arial"/>
                <w:sz w:val="15"/>
                <w:szCs w:val="15"/>
                <w:color w:val="auto"/>
              </w:rPr>
              <w:t>​</w:t>
            </w:r>
          </w:p>
        </w:tc>
        <w:tc>
          <w:tcPr>
            <w:tcW w:w="140" w:type="dxa"/>
            <w:vAlign w:val="bottom"/>
            <w:gridSpan w:val="2"/>
            <w:shd w:val="clear" w:color="auto" w:fill="CCCCCC"/>
          </w:tcPr>
          <w:p>
            <w:pPr>
              <w:spacing w:after="0" w:line="135"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CCCC"/>
          </w:tcPr>
          <w:p>
            <w:pPr>
              <w:jc w:val="center"/>
              <w:spacing w:after="0" w:line="175" w:lineRule="exact"/>
              <w:rPr>
                <w:sz w:val="20"/>
                <w:szCs w:val="20"/>
                <w:color w:val="auto"/>
              </w:rPr>
            </w:pPr>
            <w:r>
              <w:rPr>
                <w:rFonts w:ascii="Arial" w:cs="Arial" w:eastAsia="Arial" w:hAnsi="Arial"/>
                <w:sz w:val="16"/>
                <w:szCs w:val="16"/>
                <w:color w:val="auto"/>
              </w:rPr>
              <w:t>2014</w:t>
            </w:r>
          </w:p>
        </w:tc>
        <w:tc>
          <w:tcPr>
            <w:tcW w:w="120" w:type="dxa"/>
            <w:vAlign w:val="bottom"/>
            <w:tcBorders>
              <w:right w:val="single" w:sz="8" w:color="9EACCA"/>
            </w:tcBorders>
            <w:shd w:val="clear" w:color="auto" w:fill="CCCCCC"/>
          </w:tcPr>
          <w:p>
            <w:pPr>
              <w:ind w:left="4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CCCC"/>
          </w:tcPr>
          <w:p>
            <w:pPr>
              <w:spacing w:after="0" w:line="135" w:lineRule="exact"/>
              <w:rPr>
                <w:sz w:val="20"/>
                <w:szCs w:val="20"/>
                <w:color w:val="auto"/>
              </w:rPr>
            </w:pPr>
            <w:r>
              <w:rPr>
                <w:rFonts w:ascii="Arial" w:cs="Arial" w:eastAsia="Arial" w:hAnsi="Arial"/>
                <w:sz w:val="15"/>
                <w:szCs w:val="15"/>
                <w:color w:val="auto"/>
              </w:rPr>
              <w:t>​</w:t>
            </w:r>
          </w:p>
        </w:tc>
        <w:tc>
          <w:tcPr>
            <w:tcW w:w="2520" w:type="dxa"/>
            <w:vAlign w:val="bottom"/>
            <w:gridSpan w:val="2"/>
            <w:vMerge w:val="restart"/>
            <w:shd w:val="clear" w:color="auto" w:fill="CCCCCC"/>
          </w:tcPr>
          <w:p>
            <w:pPr>
              <w:spacing w:after="0" w:line="175" w:lineRule="exact"/>
              <w:rPr>
                <w:sz w:val="20"/>
                <w:szCs w:val="20"/>
                <w:color w:val="auto"/>
              </w:rPr>
            </w:pPr>
            <w:r>
              <w:rPr>
                <w:rFonts w:ascii="Arial" w:cs="Arial" w:eastAsia="Arial" w:hAnsi="Arial"/>
                <w:sz w:val="16"/>
                <w:szCs w:val="16"/>
                <w:color w:val="auto"/>
              </w:rPr>
              <w:t>Managing Director, Berkshire</w:t>
            </w:r>
          </w:p>
        </w:tc>
        <w:tc>
          <w:tcPr>
            <w:tcW w:w="140" w:type="dxa"/>
            <w:vAlign w:val="bottom"/>
            <w:tcBorders>
              <w:right w:val="single" w:sz="8" w:color="9EACCA"/>
            </w:tcBorders>
            <w:shd w:val="clear" w:color="auto" w:fill="CCCCCC"/>
          </w:tcPr>
          <w:p>
            <w:pPr>
              <w:ind w:left="6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CCCC"/>
          </w:tcPr>
          <w:p>
            <w:pPr>
              <w:spacing w:after="0" w:line="135" w:lineRule="exact"/>
              <w:rPr>
                <w:sz w:val="20"/>
                <w:szCs w:val="20"/>
                <w:color w:val="auto"/>
              </w:rPr>
            </w:pPr>
            <w:r>
              <w:rPr>
                <w:rFonts w:ascii="Arial" w:cs="Arial" w:eastAsia="Arial" w:hAnsi="Arial"/>
                <w:sz w:val="15"/>
                <w:szCs w:val="15"/>
                <w:color w:val="auto"/>
              </w:rPr>
              <w:t>​</w:t>
            </w:r>
          </w:p>
        </w:tc>
        <w:tc>
          <w:tcPr>
            <w:tcW w:w="720" w:type="dxa"/>
            <w:vAlign w:val="bottom"/>
            <w:vMerge w:val="restart"/>
            <w:shd w:val="clear" w:color="auto" w:fill="CCCCCC"/>
          </w:tcPr>
          <w:p>
            <w:pPr>
              <w:jc w:val="center"/>
              <w:spacing w:after="0" w:line="175" w:lineRule="exact"/>
              <w:rPr>
                <w:sz w:val="20"/>
                <w:szCs w:val="20"/>
                <w:color w:val="auto"/>
              </w:rPr>
            </w:pPr>
            <w:r>
              <w:rPr>
                <w:rFonts w:ascii="Arial" w:cs="Arial" w:eastAsia="Arial" w:hAnsi="Arial"/>
                <w:sz w:val="16"/>
                <w:szCs w:val="16"/>
                <w:color w:val="auto"/>
                <w:w w:val="89"/>
              </w:rPr>
              <w:t>II</w:t>
            </w:r>
          </w:p>
        </w:tc>
        <w:tc>
          <w:tcPr>
            <w:tcW w:w="120" w:type="dxa"/>
            <w:vAlign w:val="bottom"/>
            <w:tcBorders>
              <w:right w:val="single" w:sz="8" w:color="9EACCA"/>
            </w:tcBorders>
            <w:shd w:val="clear" w:color="auto" w:fill="CCCCCC"/>
          </w:tcPr>
          <w:p>
            <w:pPr>
              <w:ind w:left="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CCCC"/>
          </w:tcPr>
          <w:p>
            <w:pPr>
              <w:spacing w:after="0" w:line="135" w:lineRule="exact"/>
              <w:rPr>
                <w:sz w:val="20"/>
                <w:szCs w:val="20"/>
                <w:color w:val="auto"/>
              </w:rPr>
            </w:pPr>
            <w:r>
              <w:rPr>
                <w:rFonts w:ascii="Arial" w:cs="Arial" w:eastAsia="Arial" w:hAnsi="Arial"/>
                <w:sz w:val="15"/>
                <w:szCs w:val="15"/>
                <w:color w:val="auto"/>
              </w:rPr>
              <w:t>​</w:t>
            </w:r>
          </w:p>
        </w:tc>
        <w:tc>
          <w:tcPr>
            <w:tcW w:w="1900" w:type="dxa"/>
            <w:vAlign w:val="bottom"/>
            <w:gridSpan w:val="2"/>
            <w:vMerge w:val="restart"/>
            <w:shd w:val="clear" w:color="auto" w:fill="CCCCCC"/>
          </w:tcPr>
          <w:p>
            <w:pPr>
              <w:spacing w:after="0" w:line="175" w:lineRule="exact"/>
              <w:rPr>
                <w:sz w:val="20"/>
                <w:szCs w:val="20"/>
                <w:color w:val="auto"/>
              </w:rPr>
            </w:pPr>
            <w:r>
              <w:rPr>
                <w:rFonts w:ascii="Arial" w:cs="Arial" w:eastAsia="Arial" w:hAnsi="Arial"/>
                <w:sz w:val="16"/>
                <w:szCs w:val="16"/>
                <w:color w:val="auto"/>
              </w:rPr>
              <w:t>Nominating &amp; Corporate</w:t>
            </w:r>
          </w:p>
        </w:tc>
        <w:tc>
          <w:tcPr>
            <w:tcW w:w="120" w:type="dxa"/>
            <w:vAlign w:val="bottom"/>
            <w:tcBorders>
              <w:right w:val="single" w:sz="8" w:color="3C5896"/>
            </w:tcBorders>
            <w:shd w:val="clear" w:color="auto" w:fill="CCCCCC"/>
          </w:tcPr>
          <w:p>
            <w:pPr>
              <w:ind w:left="40"/>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0"/>
        </w:trPr>
        <w:tc>
          <w:tcPr>
            <w:tcW w:w="1440" w:type="dxa"/>
            <w:vAlign w:val="bottom"/>
            <w:tcBorders>
              <w:left w:val="single" w:sz="8" w:color="3C5896"/>
            </w:tcBorders>
            <w:gridSpan w:val="2"/>
            <w:shd w:val="clear" w:color="auto" w:fill="CCCCCC"/>
          </w:tcPr>
          <w:p>
            <w:pPr>
              <w:ind w:left="40"/>
              <w:spacing w:after="0" w:line="40" w:lineRule="exact"/>
              <w:rPr>
                <w:sz w:val="20"/>
                <w:szCs w:val="20"/>
                <w:color w:val="auto"/>
              </w:rPr>
            </w:pPr>
            <w:r>
              <w:rPr>
                <w:rFonts w:ascii="Arial" w:cs="Arial" w:eastAsia="Arial" w:hAnsi="Arial"/>
                <w:sz w:val="4"/>
                <w:szCs w:val="4"/>
                <w:color w:val="auto"/>
              </w:rPr>
              <w:t>D. Randolph Peeler</w:t>
            </w:r>
          </w:p>
        </w:tc>
        <w:tc>
          <w:tcPr>
            <w:tcW w:w="240" w:type="dxa"/>
            <w:vAlign w:val="bottom"/>
            <w:shd w:val="clear" w:color="auto" w:fill="CCCCCC"/>
          </w:tcPr>
          <w:p>
            <w:pPr>
              <w:jc w:val="right"/>
              <w:ind w:right="25"/>
              <w:spacing w:after="0" w:line="40" w:lineRule="exact"/>
              <w:rPr>
                <w:sz w:val="20"/>
                <w:szCs w:val="20"/>
                <w:color w:val="auto"/>
              </w:rPr>
            </w:pPr>
            <w:r>
              <w:rPr>
                <w:rFonts w:ascii="Arial" w:cs="Arial" w:eastAsia="Arial" w:hAnsi="Arial"/>
                <w:sz w:val="4"/>
                <w:szCs w:val="4"/>
                <w:color w:val="auto"/>
              </w:rPr>
              <w:t>​</w:t>
            </w:r>
          </w:p>
        </w:tc>
        <w:tc>
          <w:tcPr>
            <w:tcW w:w="140" w:type="dxa"/>
            <w:vAlign w:val="bottom"/>
            <w:tcBorders>
              <w:right w:val="single" w:sz="8" w:color="9EACCA"/>
            </w:tcBorders>
            <w:shd w:val="clear" w:color="auto" w:fill="CCCCCC"/>
          </w:tcPr>
          <w:p>
            <w:pPr>
              <w:spacing w:after="0"/>
              <w:rPr>
                <w:sz w:val="3"/>
                <w:szCs w:val="3"/>
                <w:color w:val="auto"/>
              </w:rPr>
            </w:pPr>
          </w:p>
        </w:tc>
        <w:tc>
          <w:tcPr>
            <w:tcW w:w="80" w:type="dxa"/>
            <w:vAlign w:val="bottom"/>
            <w:shd w:val="clear" w:color="auto" w:fill="CCCCCC"/>
          </w:tcPr>
          <w:p>
            <w:pPr>
              <w:spacing w:after="0"/>
              <w:rPr>
                <w:sz w:val="3"/>
                <w:szCs w:val="3"/>
                <w:color w:val="auto"/>
              </w:rPr>
            </w:pPr>
          </w:p>
        </w:tc>
        <w:tc>
          <w:tcPr>
            <w:tcW w:w="480" w:type="dxa"/>
            <w:vAlign w:val="bottom"/>
            <w:vMerge w:val="continue"/>
            <w:shd w:val="clear" w:color="auto" w:fill="CCCCCC"/>
          </w:tcPr>
          <w:p>
            <w:pPr>
              <w:spacing w:after="0"/>
              <w:rPr>
                <w:sz w:val="3"/>
                <w:szCs w:val="3"/>
                <w:color w:val="auto"/>
              </w:rPr>
            </w:pPr>
          </w:p>
        </w:tc>
        <w:tc>
          <w:tcPr>
            <w:tcW w:w="160" w:type="dxa"/>
            <w:vAlign w:val="bottom"/>
            <w:tcBorders>
              <w:right w:val="single" w:sz="8" w:color="9EACCA"/>
            </w:tcBorders>
            <w:shd w:val="clear" w:color="auto" w:fill="CCCCCC"/>
          </w:tcPr>
          <w:p>
            <w:pPr>
              <w:spacing w:after="0"/>
              <w:rPr>
                <w:sz w:val="3"/>
                <w:szCs w:val="3"/>
                <w:color w:val="auto"/>
              </w:rPr>
            </w:pPr>
          </w:p>
        </w:tc>
        <w:tc>
          <w:tcPr>
            <w:tcW w:w="60" w:type="dxa"/>
            <w:vAlign w:val="bottom"/>
            <w:shd w:val="clear" w:color="auto" w:fill="CCCCCC"/>
          </w:tcPr>
          <w:p>
            <w:pPr>
              <w:spacing w:after="0"/>
              <w:rPr>
                <w:sz w:val="3"/>
                <w:szCs w:val="3"/>
                <w:color w:val="auto"/>
              </w:rPr>
            </w:pPr>
          </w:p>
        </w:tc>
        <w:tc>
          <w:tcPr>
            <w:tcW w:w="80" w:type="dxa"/>
            <w:vAlign w:val="bottom"/>
            <w:shd w:val="clear" w:color="auto" w:fill="CCCCCC"/>
          </w:tcPr>
          <w:p>
            <w:pPr>
              <w:spacing w:after="0"/>
              <w:rPr>
                <w:sz w:val="3"/>
                <w:szCs w:val="3"/>
                <w:color w:val="auto"/>
              </w:rPr>
            </w:pPr>
          </w:p>
        </w:tc>
        <w:tc>
          <w:tcPr>
            <w:tcW w:w="640" w:type="dxa"/>
            <w:vAlign w:val="bottom"/>
            <w:vMerge w:val="continue"/>
            <w:shd w:val="clear" w:color="auto" w:fill="CCCCCC"/>
          </w:tcPr>
          <w:p>
            <w:pPr>
              <w:spacing w:after="0"/>
              <w:rPr>
                <w:sz w:val="3"/>
                <w:szCs w:val="3"/>
                <w:color w:val="auto"/>
              </w:rPr>
            </w:pPr>
          </w:p>
        </w:tc>
        <w:tc>
          <w:tcPr>
            <w:tcW w:w="120" w:type="dxa"/>
            <w:vAlign w:val="bottom"/>
            <w:tcBorders>
              <w:right w:val="single" w:sz="8" w:color="9EACCA"/>
            </w:tcBorders>
            <w:shd w:val="clear" w:color="auto" w:fill="CCCCCC"/>
          </w:tcPr>
          <w:p>
            <w:pPr>
              <w:spacing w:after="0"/>
              <w:rPr>
                <w:sz w:val="3"/>
                <w:szCs w:val="3"/>
                <w:color w:val="auto"/>
              </w:rPr>
            </w:pPr>
          </w:p>
        </w:tc>
        <w:tc>
          <w:tcPr>
            <w:tcW w:w="80" w:type="dxa"/>
            <w:vAlign w:val="bottom"/>
            <w:shd w:val="clear" w:color="auto" w:fill="CCCCCC"/>
          </w:tcPr>
          <w:p>
            <w:pPr>
              <w:spacing w:after="0"/>
              <w:rPr>
                <w:sz w:val="3"/>
                <w:szCs w:val="3"/>
                <w:color w:val="auto"/>
              </w:rPr>
            </w:pPr>
          </w:p>
        </w:tc>
        <w:tc>
          <w:tcPr>
            <w:tcW w:w="2520" w:type="dxa"/>
            <w:vAlign w:val="bottom"/>
            <w:gridSpan w:val="2"/>
            <w:vMerge w:val="continue"/>
            <w:shd w:val="clear" w:color="auto" w:fill="CCCCCC"/>
          </w:tcPr>
          <w:p>
            <w:pPr>
              <w:spacing w:after="0"/>
              <w:rPr>
                <w:sz w:val="3"/>
                <w:szCs w:val="3"/>
                <w:color w:val="auto"/>
              </w:rPr>
            </w:pPr>
          </w:p>
        </w:tc>
        <w:tc>
          <w:tcPr>
            <w:tcW w:w="140" w:type="dxa"/>
            <w:vAlign w:val="bottom"/>
            <w:tcBorders>
              <w:right w:val="single" w:sz="8" w:color="9EACCA"/>
            </w:tcBorders>
            <w:shd w:val="clear" w:color="auto" w:fill="CCCCCC"/>
          </w:tcPr>
          <w:p>
            <w:pPr>
              <w:spacing w:after="0"/>
              <w:rPr>
                <w:sz w:val="3"/>
                <w:szCs w:val="3"/>
                <w:color w:val="auto"/>
              </w:rPr>
            </w:pPr>
          </w:p>
        </w:tc>
        <w:tc>
          <w:tcPr>
            <w:tcW w:w="80" w:type="dxa"/>
            <w:vAlign w:val="bottom"/>
            <w:shd w:val="clear" w:color="auto" w:fill="CCCCCC"/>
          </w:tcPr>
          <w:p>
            <w:pPr>
              <w:spacing w:after="0"/>
              <w:rPr>
                <w:sz w:val="3"/>
                <w:szCs w:val="3"/>
                <w:color w:val="auto"/>
              </w:rPr>
            </w:pPr>
          </w:p>
        </w:tc>
        <w:tc>
          <w:tcPr>
            <w:tcW w:w="720" w:type="dxa"/>
            <w:vAlign w:val="bottom"/>
            <w:vMerge w:val="continue"/>
            <w:shd w:val="clear" w:color="auto" w:fill="CCCCCC"/>
          </w:tcPr>
          <w:p>
            <w:pPr>
              <w:spacing w:after="0"/>
              <w:rPr>
                <w:sz w:val="3"/>
                <w:szCs w:val="3"/>
                <w:color w:val="auto"/>
              </w:rPr>
            </w:pPr>
          </w:p>
        </w:tc>
        <w:tc>
          <w:tcPr>
            <w:tcW w:w="120" w:type="dxa"/>
            <w:vAlign w:val="bottom"/>
            <w:tcBorders>
              <w:right w:val="single" w:sz="8" w:color="9EACCA"/>
            </w:tcBorders>
            <w:shd w:val="clear" w:color="auto" w:fill="CCCCCC"/>
          </w:tcPr>
          <w:p>
            <w:pPr>
              <w:spacing w:after="0"/>
              <w:rPr>
                <w:sz w:val="3"/>
                <w:szCs w:val="3"/>
                <w:color w:val="auto"/>
              </w:rPr>
            </w:pPr>
          </w:p>
        </w:tc>
        <w:tc>
          <w:tcPr>
            <w:tcW w:w="80" w:type="dxa"/>
            <w:vAlign w:val="bottom"/>
            <w:shd w:val="clear" w:color="auto" w:fill="CCCCCC"/>
          </w:tcPr>
          <w:p>
            <w:pPr>
              <w:spacing w:after="0"/>
              <w:rPr>
                <w:sz w:val="3"/>
                <w:szCs w:val="3"/>
                <w:color w:val="auto"/>
              </w:rPr>
            </w:pPr>
          </w:p>
        </w:tc>
        <w:tc>
          <w:tcPr>
            <w:tcW w:w="1900" w:type="dxa"/>
            <w:vAlign w:val="bottom"/>
            <w:gridSpan w:val="2"/>
            <w:vMerge w:val="continue"/>
            <w:shd w:val="clear" w:color="auto" w:fill="CCCCCC"/>
          </w:tcPr>
          <w:p>
            <w:pPr>
              <w:spacing w:after="0"/>
              <w:rPr>
                <w:sz w:val="3"/>
                <w:szCs w:val="3"/>
                <w:color w:val="auto"/>
              </w:rPr>
            </w:pPr>
          </w:p>
        </w:tc>
        <w:tc>
          <w:tcPr>
            <w:tcW w:w="120" w:type="dxa"/>
            <w:vAlign w:val="bottom"/>
            <w:tcBorders>
              <w:right w:val="single" w:sz="8" w:color="3C5896"/>
            </w:tcBorders>
            <w:shd w:val="clear" w:color="auto" w:fill="CCCC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tcBorders>
              <w:left w:val="single" w:sz="8" w:color="3C5896"/>
            </w:tcBorders>
            <w:shd w:val="clear" w:color="auto" w:fill="CCCCCC"/>
          </w:tcPr>
          <w:p>
            <w:pPr>
              <w:spacing w:after="0"/>
              <w:rPr>
                <w:sz w:val="18"/>
                <w:szCs w:val="18"/>
                <w:color w:val="auto"/>
              </w:rPr>
            </w:pPr>
          </w:p>
        </w:tc>
        <w:tc>
          <w:tcPr>
            <w:tcW w:w="1160" w:type="dxa"/>
            <w:vAlign w:val="bottom"/>
            <w:shd w:val="clear" w:color="auto" w:fill="CCCCCC"/>
          </w:tcPr>
          <w:p>
            <w:pPr>
              <w:spacing w:after="0"/>
              <w:rPr>
                <w:sz w:val="18"/>
                <w:szCs w:val="18"/>
                <w:color w:val="auto"/>
              </w:rPr>
            </w:pPr>
          </w:p>
        </w:tc>
        <w:tc>
          <w:tcPr>
            <w:tcW w:w="240" w:type="dxa"/>
            <w:vAlign w:val="bottom"/>
            <w:shd w:val="clear" w:color="auto" w:fill="CCCCCC"/>
          </w:tcPr>
          <w:p>
            <w:pPr>
              <w:spacing w:after="0"/>
              <w:rPr>
                <w:sz w:val="18"/>
                <w:szCs w:val="18"/>
                <w:color w:val="auto"/>
              </w:rPr>
            </w:pPr>
          </w:p>
        </w:tc>
        <w:tc>
          <w:tcPr>
            <w:tcW w:w="1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480" w:type="dxa"/>
            <w:vAlign w:val="bottom"/>
            <w:shd w:val="clear" w:color="auto" w:fill="CCCCCC"/>
          </w:tcPr>
          <w:p>
            <w:pPr>
              <w:spacing w:after="0"/>
              <w:rPr>
                <w:sz w:val="18"/>
                <w:szCs w:val="18"/>
                <w:color w:val="auto"/>
              </w:rPr>
            </w:pPr>
          </w:p>
        </w:tc>
        <w:tc>
          <w:tcPr>
            <w:tcW w:w="160" w:type="dxa"/>
            <w:vAlign w:val="bottom"/>
            <w:tcBorders>
              <w:right w:val="single" w:sz="8" w:color="9EACCA"/>
            </w:tcBorders>
            <w:shd w:val="clear" w:color="auto" w:fill="CCCCCC"/>
          </w:tcPr>
          <w:p>
            <w:pPr>
              <w:spacing w:after="0"/>
              <w:rPr>
                <w:sz w:val="18"/>
                <w:szCs w:val="18"/>
                <w:color w:val="auto"/>
              </w:rPr>
            </w:pPr>
          </w:p>
        </w:tc>
        <w:tc>
          <w:tcPr>
            <w:tcW w:w="60" w:type="dxa"/>
            <w:vAlign w:val="bottom"/>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640" w:type="dxa"/>
            <w:vAlign w:val="bottom"/>
            <w:shd w:val="clear" w:color="auto" w:fill="CCCCCC"/>
          </w:tcPr>
          <w:p>
            <w:pPr>
              <w:spacing w:after="0"/>
              <w:rPr>
                <w:sz w:val="18"/>
                <w:szCs w:val="18"/>
                <w:color w:val="auto"/>
              </w:rPr>
            </w:pPr>
          </w:p>
        </w:tc>
        <w:tc>
          <w:tcPr>
            <w:tcW w:w="12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2520" w:type="dxa"/>
            <w:vAlign w:val="bottom"/>
            <w:gridSpan w:val="2"/>
            <w:shd w:val="clear" w:color="auto" w:fill="CCCCCC"/>
          </w:tcPr>
          <w:p>
            <w:pPr>
              <w:spacing w:after="0"/>
              <w:rPr>
                <w:sz w:val="20"/>
                <w:szCs w:val="20"/>
                <w:color w:val="auto"/>
              </w:rPr>
            </w:pPr>
            <w:r>
              <w:rPr>
                <w:rFonts w:ascii="Arial" w:cs="Arial" w:eastAsia="Arial" w:hAnsi="Arial"/>
                <w:sz w:val="16"/>
                <w:szCs w:val="16"/>
                <w:color w:val="auto"/>
              </w:rPr>
              <w:t>Partners LLC</w:t>
            </w:r>
          </w:p>
        </w:tc>
        <w:tc>
          <w:tcPr>
            <w:tcW w:w="14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120" w:type="dxa"/>
            <w:vAlign w:val="bottom"/>
            <w:tcBorders>
              <w:right w:val="single" w:sz="8" w:color="9EACCA"/>
            </w:tcBorders>
            <w:shd w:val="clear" w:color="auto" w:fill="CCCCCC"/>
          </w:tcPr>
          <w:p>
            <w:pPr>
              <w:spacing w:after="0"/>
              <w:rPr>
                <w:sz w:val="18"/>
                <w:szCs w:val="18"/>
                <w:color w:val="auto"/>
              </w:rPr>
            </w:pPr>
          </w:p>
        </w:tc>
        <w:tc>
          <w:tcPr>
            <w:tcW w:w="80" w:type="dxa"/>
            <w:vAlign w:val="bottom"/>
            <w:shd w:val="clear" w:color="auto" w:fill="CCCCCC"/>
          </w:tcPr>
          <w:p>
            <w:pPr>
              <w:spacing w:after="0"/>
              <w:rPr>
                <w:sz w:val="18"/>
                <w:szCs w:val="18"/>
                <w:color w:val="auto"/>
              </w:rPr>
            </w:pPr>
          </w:p>
        </w:tc>
        <w:tc>
          <w:tcPr>
            <w:tcW w:w="1900" w:type="dxa"/>
            <w:vAlign w:val="bottom"/>
            <w:gridSpan w:val="2"/>
            <w:shd w:val="clear" w:color="auto" w:fill="CCCCCC"/>
          </w:tcPr>
          <w:p>
            <w:pPr>
              <w:spacing w:after="0"/>
              <w:rPr>
                <w:sz w:val="20"/>
                <w:szCs w:val="20"/>
                <w:color w:val="auto"/>
              </w:rPr>
            </w:pPr>
            <w:r>
              <w:rPr>
                <w:rFonts w:ascii="Arial" w:cs="Arial" w:eastAsia="Arial" w:hAnsi="Arial"/>
                <w:sz w:val="16"/>
                <w:szCs w:val="16"/>
                <w:color w:val="auto"/>
              </w:rPr>
              <w:t>Governance Committee</w:t>
            </w:r>
          </w:p>
        </w:tc>
        <w:tc>
          <w:tcPr>
            <w:tcW w:w="120" w:type="dxa"/>
            <w:vAlign w:val="bottom"/>
            <w:tcBorders>
              <w:right w:val="single" w:sz="8" w:color="3C5896"/>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80" w:type="dxa"/>
            <w:vAlign w:val="bottom"/>
            <w:tcBorders>
              <w:left w:val="single" w:sz="8" w:color="3C5896"/>
              <w:bottom w:val="single" w:sz="8" w:color="CCCCCC"/>
            </w:tcBorders>
            <w:shd w:val="clear" w:color="auto" w:fill="CCCCCC"/>
          </w:tcPr>
          <w:p>
            <w:pPr>
              <w:spacing w:after="0"/>
              <w:rPr>
                <w:sz w:val="23"/>
                <w:szCs w:val="23"/>
                <w:color w:val="auto"/>
              </w:rPr>
            </w:pPr>
          </w:p>
        </w:tc>
        <w:tc>
          <w:tcPr>
            <w:tcW w:w="1160" w:type="dxa"/>
            <w:vAlign w:val="bottom"/>
            <w:tcBorders>
              <w:bottom w:val="single" w:sz="8" w:color="CCCCCC"/>
            </w:tcBorders>
            <w:shd w:val="clear" w:color="auto" w:fill="CCCCCC"/>
          </w:tcPr>
          <w:p>
            <w:pPr>
              <w:spacing w:after="0"/>
              <w:rPr>
                <w:sz w:val="23"/>
                <w:szCs w:val="23"/>
                <w:color w:val="auto"/>
              </w:rPr>
            </w:pPr>
          </w:p>
        </w:tc>
        <w:tc>
          <w:tcPr>
            <w:tcW w:w="240" w:type="dxa"/>
            <w:vAlign w:val="bottom"/>
            <w:tcBorders>
              <w:bottom w:val="single" w:sz="8" w:color="CCCCCC"/>
            </w:tcBorders>
            <w:shd w:val="clear" w:color="auto" w:fill="CCCCCC"/>
          </w:tcPr>
          <w:p>
            <w:pPr>
              <w:spacing w:after="0"/>
              <w:rPr>
                <w:sz w:val="23"/>
                <w:szCs w:val="23"/>
                <w:color w:val="auto"/>
              </w:rPr>
            </w:pPr>
          </w:p>
        </w:tc>
        <w:tc>
          <w:tcPr>
            <w:tcW w:w="140" w:type="dxa"/>
            <w:vAlign w:val="bottom"/>
            <w:tcBorders>
              <w:bottom w:val="single" w:sz="8" w:color="CCCCCC"/>
              <w:right w:val="single" w:sz="8" w:color="9EACCA"/>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480" w:type="dxa"/>
            <w:vAlign w:val="bottom"/>
            <w:tcBorders>
              <w:bottom w:val="single" w:sz="8" w:color="CCCCCC"/>
            </w:tcBorders>
            <w:shd w:val="clear" w:color="auto" w:fill="CCCCCC"/>
          </w:tcPr>
          <w:p>
            <w:pPr>
              <w:spacing w:after="0"/>
              <w:rPr>
                <w:sz w:val="23"/>
                <w:szCs w:val="23"/>
                <w:color w:val="auto"/>
              </w:rPr>
            </w:pPr>
          </w:p>
        </w:tc>
        <w:tc>
          <w:tcPr>
            <w:tcW w:w="160" w:type="dxa"/>
            <w:vAlign w:val="bottom"/>
            <w:tcBorders>
              <w:bottom w:val="single" w:sz="8" w:color="CCCCCC"/>
              <w:right w:val="single" w:sz="8" w:color="9EACCA"/>
            </w:tcBorders>
            <w:shd w:val="clear" w:color="auto" w:fill="CCCCCC"/>
          </w:tcPr>
          <w:p>
            <w:pPr>
              <w:spacing w:after="0"/>
              <w:rPr>
                <w:sz w:val="23"/>
                <w:szCs w:val="23"/>
                <w:color w:val="auto"/>
              </w:rPr>
            </w:pPr>
          </w:p>
        </w:tc>
        <w:tc>
          <w:tcPr>
            <w:tcW w:w="60" w:type="dxa"/>
            <w:vAlign w:val="bottom"/>
            <w:tcBorders>
              <w:bottom w:val="single" w:sz="8" w:color="CCCCCC"/>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640" w:type="dxa"/>
            <w:vAlign w:val="bottom"/>
            <w:tcBorders>
              <w:bottom w:val="single" w:sz="8" w:color="CCCCCC"/>
            </w:tcBorders>
            <w:shd w:val="clear" w:color="auto" w:fill="CCCCCC"/>
          </w:tcPr>
          <w:p>
            <w:pPr>
              <w:spacing w:after="0"/>
              <w:rPr>
                <w:sz w:val="23"/>
                <w:szCs w:val="23"/>
                <w:color w:val="auto"/>
              </w:rPr>
            </w:pPr>
          </w:p>
        </w:tc>
        <w:tc>
          <w:tcPr>
            <w:tcW w:w="120" w:type="dxa"/>
            <w:vAlign w:val="bottom"/>
            <w:tcBorders>
              <w:bottom w:val="single" w:sz="8" w:color="CCCCCC"/>
              <w:right w:val="single" w:sz="8" w:color="9EACCA"/>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640" w:type="dxa"/>
            <w:vAlign w:val="bottom"/>
            <w:tcBorders>
              <w:bottom w:val="single" w:sz="8" w:color="CCCCCC"/>
            </w:tcBorders>
            <w:shd w:val="clear" w:color="auto" w:fill="CCCCCC"/>
          </w:tcPr>
          <w:p>
            <w:pPr>
              <w:spacing w:after="0"/>
              <w:rPr>
                <w:sz w:val="23"/>
                <w:szCs w:val="23"/>
                <w:color w:val="auto"/>
              </w:rPr>
            </w:pPr>
          </w:p>
        </w:tc>
        <w:tc>
          <w:tcPr>
            <w:tcW w:w="1880" w:type="dxa"/>
            <w:vAlign w:val="bottom"/>
            <w:tcBorders>
              <w:bottom w:val="single" w:sz="8" w:color="CCCCCC"/>
            </w:tcBorders>
            <w:shd w:val="clear" w:color="auto" w:fill="CCCCCC"/>
          </w:tcPr>
          <w:p>
            <w:pPr>
              <w:spacing w:after="0"/>
              <w:rPr>
                <w:sz w:val="23"/>
                <w:szCs w:val="23"/>
                <w:color w:val="auto"/>
              </w:rPr>
            </w:pPr>
          </w:p>
        </w:tc>
        <w:tc>
          <w:tcPr>
            <w:tcW w:w="140" w:type="dxa"/>
            <w:vAlign w:val="bottom"/>
            <w:tcBorders>
              <w:bottom w:val="single" w:sz="8" w:color="CCCCCC"/>
              <w:right w:val="single" w:sz="8" w:color="9EACCA"/>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720" w:type="dxa"/>
            <w:vAlign w:val="bottom"/>
            <w:tcBorders>
              <w:bottom w:val="single" w:sz="8" w:color="CCCCCC"/>
            </w:tcBorders>
            <w:shd w:val="clear" w:color="auto" w:fill="CCCCCC"/>
          </w:tcPr>
          <w:p>
            <w:pPr>
              <w:spacing w:after="0"/>
              <w:rPr>
                <w:sz w:val="23"/>
                <w:szCs w:val="23"/>
                <w:color w:val="auto"/>
              </w:rPr>
            </w:pPr>
          </w:p>
        </w:tc>
        <w:tc>
          <w:tcPr>
            <w:tcW w:w="120" w:type="dxa"/>
            <w:vAlign w:val="bottom"/>
            <w:tcBorders>
              <w:bottom w:val="single" w:sz="8" w:color="CCCCCC"/>
              <w:right w:val="single" w:sz="8" w:color="9EACCA"/>
            </w:tcBorders>
            <w:shd w:val="clear" w:color="auto" w:fill="CCCCCC"/>
          </w:tcPr>
          <w:p>
            <w:pPr>
              <w:spacing w:after="0"/>
              <w:rPr>
                <w:sz w:val="23"/>
                <w:szCs w:val="23"/>
                <w:color w:val="auto"/>
              </w:rPr>
            </w:pPr>
          </w:p>
        </w:tc>
        <w:tc>
          <w:tcPr>
            <w:tcW w:w="80" w:type="dxa"/>
            <w:vAlign w:val="bottom"/>
            <w:tcBorders>
              <w:bottom w:val="single" w:sz="8" w:color="CCCCCC"/>
            </w:tcBorders>
            <w:shd w:val="clear" w:color="auto" w:fill="CCCCCC"/>
          </w:tcPr>
          <w:p>
            <w:pPr>
              <w:spacing w:after="0"/>
              <w:rPr>
                <w:sz w:val="23"/>
                <w:szCs w:val="23"/>
                <w:color w:val="auto"/>
              </w:rPr>
            </w:pPr>
          </w:p>
        </w:tc>
        <w:tc>
          <w:tcPr>
            <w:tcW w:w="1900" w:type="dxa"/>
            <w:vAlign w:val="bottom"/>
            <w:tcBorders>
              <w:bottom w:val="single" w:sz="8" w:color="CCCCCC"/>
            </w:tcBorders>
            <w:gridSpan w:val="2"/>
            <w:shd w:val="clear" w:color="auto" w:fill="CCCCCC"/>
          </w:tcPr>
          <w:p>
            <w:pPr>
              <w:spacing w:after="0"/>
              <w:rPr>
                <w:sz w:val="20"/>
                <w:szCs w:val="20"/>
                <w:color w:val="auto"/>
              </w:rPr>
            </w:pPr>
            <w:r>
              <w:rPr>
                <w:rFonts w:ascii="Arial" w:cs="Arial" w:eastAsia="Arial" w:hAnsi="Arial"/>
                <w:sz w:val="16"/>
                <w:szCs w:val="16"/>
                <w:color w:val="auto"/>
              </w:rPr>
              <w:t>Compensation Committee</w:t>
            </w:r>
          </w:p>
        </w:tc>
        <w:tc>
          <w:tcPr>
            <w:tcW w:w="120" w:type="dxa"/>
            <w:vAlign w:val="bottom"/>
            <w:tcBorders>
              <w:bottom w:val="single" w:sz="8" w:color="CCCCCC"/>
              <w:right w:val="single" w:sz="8" w:color="3C5896"/>
            </w:tcBorders>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440" w:type="dxa"/>
            <w:vAlign w:val="bottom"/>
            <w:tcBorders>
              <w:left w:val="single" w:sz="8" w:color="3C5896"/>
            </w:tcBorders>
            <w:gridSpan w:val="2"/>
          </w:tcPr>
          <w:p>
            <w:pPr>
              <w:ind w:left="20"/>
              <w:spacing w:after="0" w:line="175" w:lineRule="exact"/>
              <w:rPr>
                <w:sz w:val="20"/>
                <w:szCs w:val="20"/>
                <w:color w:val="auto"/>
              </w:rPr>
            </w:pPr>
            <w:r>
              <w:rPr>
                <w:rFonts w:ascii="Arial" w:cs="Arial" w:eastAsia="Arial" w:hAnsi="Arial"/>
                <w:sz w:val="16"/>
                <w:szCs w:val="16"/>
                <w:color w:val="auto"/>
              </w:rPr>
              <w:t>​Jose Armario</w:t>
            </w:r>
          </w:p>
        </w:tc>
        <w:tc>
          <w:tcPr>
            <w:tcW w:w="240" w:type="dxa"/>
            <w:vAlign w:val="bottom"/>
          </w:tcPr>
          <w:p>
            <w:pPr>
              <w:spacing w:after="0"/>
              <w:rPr>
                <w:sz w:val="15"/>
                <w:szCs w:val="15"/>
                <w:color w:val="auto"/>
              </w:rPr>
            </w:pPr>
          </w:p>
        </w:tc>
        <w:tc>
          <w:tcPr>
            <w:tcW w:w="14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line="175" w:lineRule="exact"/>
              <w:rPr>
                <w:sz w:val="20"/>
                <w:szCs w:val="20"/>
                <w:color w:val="auto"/>
              </w:rPr>
            </w:pPr>
            <w:r>
              <w:rPr>
                <w:rFonts w:ascii="Arial" w:cs="Arial" w:eastAsia="Arial" w:hAnsi="Arial"/>
                <w:sz w:val="16"/>
                <w:szCs w:val="16"/>
                <w:color w:val="auto"/>
              </w:rPr>
              <w:t>63</w:t>
            </w:r>
          </w:p>
        </w:tc>
        <w:tc>
          <w:tcPr>
            <w:tcW w:w="16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140" w:type="dxa"/>
            <w:vAlign w:val="bottom"/>
            <w:gridSpan w:val="2"/>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rPr>
              <w:t>2021</w:t>
            </w:r>
          </w:p>
        </w:tc>
        <w:tc>
          <w:tcPr>
            <w:tcW w:w="120" w:type="dxa"/>
            <w:vAlign w:val="bottom"/>
            <w:tcBorders>
              <w:right w:val="single" w:sz="8" w:color="9EACCA"/>
            </w:tcBorders>
          </w:tcPr>
          <w:p>
            <w:pPr>
              <w:ind w:left="40"/>
              <w:spacing w:after="0" w:line="175" w:lineRule="exact"/>
              <w:rPr>
                <w:sz w:val="20"/>
                <w:szCs w:val="20"/>
                <w:color w:val="auto"/>
              </w:rPr>
            </w:pPr>
            <w:r>
              <w:rPr>
                <w:rFonts w:ascii="Arial" w:cs="Arial" w:eastAsia="Arial" w:hAnsi="Arial"/>
                <w:sz w:val="16"/>
                <w:szCs w:val="16"/>
                <w:color w:val="auto"/>
              </w:rPr>
              <w:t>​</w:t>
            </w:r>
          </w:p>
        </w:tc>
        <w:tc>
          <w:tcPr>
            <w:tcW w:w="2600" w:type="dxa"/>
            <w:vAlign w:val="bottom"/>
            <w:gridSpan w:val="3"/>
          </w:tcPr>
          <w:p>
            <w:pPr>
              <w:spacing w:after="0" w:line="175" w:lineRule="exact"/>
              <w:rPr>
                <w:sz w:val="20"/>
                <w:szCs w:val="20"/>
                <w:color w:val="auto"/>
              </w:rPr>
            </w:pPr>
            <w:r>
              <w:rPr>
                <w:rFonts w:ascii="Arial" w:cs="Arial" w:eastAsia="Arial" w:hAnsi="Arial"/>
                <w:sz w:val="16"/>
                <w:szCs w:val="16"/>
                <w:color w:val="auto"/>
              </w:rPr>
              <w:t>​ CEO, Bojangles’, Inc.</w:t>
            </w:r>
          </w:p>
        </w:tc>
        <w:tc>
          <w:tcPr>
            <w:tcW w:w="14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center"/>
              <w:spacing w:after="0" w:line="175" w:lineRule="exact"/>
              <w:rPr>
                <w:sz w:val="20"/>
                <w:szCs w:val="20"/>
                <w:color w:val="auto"/>
              </w:rPr>
            </w:pPr>
            <w:r>
              <w:rPr>
                <w:rFonts w:ascii="Arial" w:cs="Arial" w:eastAsia="Arial" w:hAnsi="Arial"/>
                <w:sz w:val="16"/>
                <w:szCs w:val="16"/>
                <w:color w:val="auto"/>
                <w:w w:val="89"/>
              </w:rPr>
              <w:t>II</w:t>
            </w:r>
          </w:p>
        </w:tc>
        <w:tc>
          <w:tcPr>
            <w:tcW w:w="120" w:type="dxa"/>
            <w:vAlign w:val="bottom"/>
            <w:tcBorders>
              <w:right w:val="single" w:sz="8" w:color="9EACCA"/>
            </w:tcBorders>
          </w:tcPr>
          <w:p>
            <w:pPr>
              <w:ind w:left="20"/>
              <w:spacing w:after="0" w:line="175" w:lineRule="exact"/>
              <w:rPr>
                <w:sz w:val="20"/>
                <w:szCs w:val="20"/>
                <w:color w:val="auto"/>
              </w:rPr>
            </w:pPr>
            <w:r>
              <w:rPr>
                <w:rFonts w:ascii="Arial" w:cs="Arial" w:eastAsia="Arial" w:hAnsi="Arial"/>
                <w:sz w:val="16"/>
                <w:szCs w:val="16"/>
                <w:color w:val="auto"/>
              </w:rPr>
              <w:t>​</w:t>
            </w:r>
          </w:p>
        </w:tc>
        <w:tc>
          <w:tcPr>
            <w:tcW w:w="1980" w:type="dxa"/>
            <w:vAlign w:val="bottom"/>
            <w:gridSpan w:val="3"/>
          </w:tcPr>
          <w:p>
            <w:pPr>
              <w:spacing w:after="0" w:line="175" w:lineRule="exact"/>
              <w:rPr>
                <w:sz w:val="20"/>
                <w:szCs w:val="20"/>
                <w:color w:val="auto"/>
              </w:rPr>
            </w:pPr>
            <w:r>
              <w:rPr>
                <w:rFonts w:ascii="Arial" w:cs="Arial" w:eastAsia="Arial" w:hAnsi="Arial"/>
                <w:sz w:val="16"/>
                <w:szCs w:val="16"/>
                <w:color w:val="auto"/>
              </w:rPr>
              <w:t>​ Nominating &amp; Corporate</w:t>
            </w:r>
          </w:p>
        </w:tc>
        <w:tc>
          <w:tcPr>
            <w:tcW w:w="120" w:type="dxa"/>
            <w:vAlign w:val="bottom"/>
            <w:tcBorders>
              <w:right w:val="single" w:sz="8" w:color="3C5896"/>
            </w:tcBorders>
          </w:tcPr>
          <w:p>
            <w:pPr>
              <w:ind w:left="4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0" w:type="dxa"/>
            <w:vAlign w:val="bottom"/>
            <w:tcBorders>
              <w:left w:val="single" w:sz="8" w:color="3C5896"/>
            </w:tcBorders>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9EACCA"/>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6"/>
                <w:szCs w:val="16"/>
                <w:color w:val="auto"/>
              </w:rPr>
              <w:t>Governance Committee</w:t>
            </w:r>
          </w:p>
        </w:tc>
        <w:tc>
          <w:tcPr>
            <w:tcW w:w="120" w:type="dxa"/>
            <w:vAlign w:val="bottom"/>
            <w:tcBorders>
              <w:right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440" w:type="dxa"/>
            <w:vAlign w:val="bottom"/>
            <w:tcBorders>
              <w:left w:val="single" w:sz="8" w:color="3C5896"/>
            </w:tcBorders>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right w:val="single" w:sz="8" w:color="9EACCA"/>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9EACCA"/>
            </w:tcBorders>
          </w:tcPr>
          <w:p>
            <w:pPr>
              <w:spacing w:after="0"/>
              <w:rPr>
                <w:sz w:val="2"/>
                <w:szCs w:val="2"/>
                <w:color w:val="auto"/>
              </w:rPr>
            </w:pPr>
          </w:p>
        </w:tc>
        <w:tc>
          <w:tcPr>
            <w:tcW w:w="2600" w:type="dxa"/>
            <w:vAlign w:val="bottom"/>
            <w:gridSpan w:val="3"/>
          </w:tcPr>
          <w:p>
            <w:pPr>
              <w:spacing w:after="0"/>
              <w:rPr>
                <w:sz w:val="2"/>
                <w:szCs w:val="2"/>
                <w:color w:val="auto"/>
              </w:rPr>
            </w:pPr>
          </w:p>
        </w:tc>
        <w:tc>
          <w:tcPr>
            <w:tcW w:w="140" w:type="dxa"/>
            <w:vAlign w:val="bottom"/>
            <w:tcBorders>
              <w:right w:val="single" w:sz="8" w:color="9EACCA"/>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9EACCA"/>
            </w:tcBorders>
          </w:tcPr>
          <w:p>
            <w:pPr>
              <w:spacing w:after="0"/>
              <w:rPr>
                <w:sz w:val="2"/>
                <w:szCs w:val="2"/>
                <w:color w:val="auto"/>
              </w:rPr>
            </w:pPr>
          </w:p>
        </w:tc>
        <w:tc>
          <w:tcPr>
            <w:tcW w:w="1980" w:type="dxa"/>
            <w:vAlign w:val="bottom"/>
            <w:gridSpan w:val="3"/>
          </w:tcPr>
          <w:p>
            <w:pPr>
              <w:spacing w:after="0"/>
              <w:rPr>
                <w:sz w:val="2"/>
                <w:szCs w:val="2"/>
                <w:color w:val="auto"/>
              </w:rPr>
            </w:pPr>
          </w:p>
        </w:tc>
        <w:tc>
          <w:tcPr>
            <w:tcW w:w="12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440" w:type="dxa"/>
            <w:vAlign w:val="bottom"/>
            <w:tcBorders>
              <w:left w:val="single" w:sz="8" w:color="3C5896"/>
            </w:tcBorders>
            <w:gridSpan w:val="2"/>
            <w:shd w:val="clear" w:color="auto" w:fill="CCCCCC"/>
          </w:tcPr>
          <w:p>
            <w:pPr>
              <w:ind w:left="20"/>
              <w:spacing w:after="0" w:line="175" w:lineRule="exact"/>
              <w:rPr>
                <w:sz w:val="20"/>
                <w:szCs w:val="20"/>
                <w:color w:val="auto"/>
              </w:rPr>
            </w:pPr>
            <w:r>
              <w:rPr>
                <w:rFonts w:ascii="Arial" w:cs="Arial" w:eastAsia="Arial" w:hAnsi="Arial"/>
                <w:sz w:val="16"/>
                <w:szCs w:val="16"/>
                <w:color w:val="auto"/>
              </w:rPr>
              <w:t>​Heather Cianfrocco</w:t>
            </w:r>
          </w:p>
        </w:tc>
        <w:tc>
          <w:tcPr>
            <w:tcW w:w="240" w:type="dxa"/>
            <w:vAlign w:val="bottom"/>
            <w:shd w:val="clear" w:color="auto" w:fill="CCCCCC"/>
          </w:tcPr>
          <w:p>
            <w:pPr>
              <w:spacing w:after="0"/>
              <w:rPr>
                <w:sz w:val="15"/>
                <w:szCs w:val="15"/>
                <w:color w:val="auto"/>
              </w:rPr>
            </w:pPr>
          </w:p>
        </w:tc>
        <w:tc>
          <w:tcPr>
            <w:tcW w:w="140" w:type="dxa"/>
            <w:vAlign w:val="bottom"/>
            <w:tcBorders>
              <w:right w:val="single" w:sz="8" w:color="9EACCA"/>
            </w:tcBorders>
            <w:shd w:val="clear" w:color="auto" w:fill="CCCCCC"/>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CCCC"/>
          </w:tcPr>
          <w:p>
            <w:pPr>
              <w:spacing w:after="0" w:line="175" w:lineRule="exact"/>
              <w:rPr>
                <w:sz w:val="20"/>
                <w:szCs w:val="20"/>
                <w:color w:val="auto"/>
              </w:rPr>
            </w:pPr>
            <w:r>
              <w:rPr>
                <w:rFonts w:ascii="Arial" w:cs="Arial" w:eastAsia="Arial" w:hAnsi="Arial"/>
                <w:sz w:val="16"/>
                <w:szCs w:val="16"/>
                <w:color w:val="auto"/>
              </w:rPr>
              <w:t>​</w:t>
            </w:r>
          </w:p>
        </w:tc>
        <w:tc>
          <w:tcPr>
            <w:tcW w:w="480" w:type="dxa"/>
            <w:vAlign w:val="bottom"/>
            <w:shd w:val="clear" w:color="auto" w:fill="CCCCCC"/>
          </w:tcPr>
          <w:p>
            <w:pPr>
              <w:jc w:val="right"/>
              <w:ind w:right="39"/>
              <w:spacing w:after="0" w:line="175" w:lineRule="exact"/>
              <w:rPr>
                <w:sz w:val="20"/>
                <w:szCs w:val="20"/>
                <w:color w:val="auto"/>
              </w:rPr>
            </w:pPr>
            <w:r>
              <w:rPr>
                <w:rFonts w:ascii="Arial" w:cs="Arial" w:eastAsia="Arial" w:hAnsi="Arial"/>
                <w:sz w:val="16"/>
                <w:szCs w:val="16"/>
                <w:color w:val="auto"/>
              </w:rPr>
              <w:t>48</w:t>
            </w:r>
          </w:p>
        </w:tc>
        <w:tc>
          <w:tcPr>
            <w:tcW w:w="160" w:type="dxa"/>
            <w:vAlign w:val="bottom"/>
            <w:tcBorders>
              <w:right w:val="single" w:sz="8" w:color="9EACCA"/>
            </w:tcBorders>
            <w:shd w:val="clear" w:color="auto" w:fill="CCCCCC"/>
          </w:tcPr>
          <w:p>
            <w:pPr>
              <w:ind w:left="60"/>
              <w:spacing w:after="0" w:line="175" w:lineRule="exact"/>
              <w:rPr>
                <w:sz w:val="20"/>
                <w:szCs w:val="20"/>
                <w:color w:val="auto"/>
              </w:rPr>
            </w:pPr>
            <w:r>
              <w:rPr>
                <w:rFonts w:ascii="Arial" w:cs="Arial" w:eastAsia="Arial" w:hAnsi="Arial"/>
                <w:sz w:val="16"/>
                <w:szCs w:val="16"/>
                <w:color w:val="auto"/>
              </w:rPr>
              <w:t>​</w:t>
            </w:r>
          </w:p>
        </w:tc>
        <w:tc>
          <w:tcPr>
            <w:tcW w:w="140" w:type="dxa"/>
            <w:vAlign w:val="bottom"/>
            <w:gridSpan w:val="2"/>
            <w:shd w:val="clear" w:color="auto" w:fill="CCCCCC"/>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shd w:val="clear" w:color="auto" w:fill="CCCCCC"/>
          </w:tcPr>
          <w:p>
            <w:pPr>
              <w:jc w:val="center"/>
              <w:spacing w:after="0" w:line="175" w:lineRule="exact"/>
              <w:rPr>
                <w:sz w:val="20"/>
                <w:szCs w:val="20"/>
                <w:color w:val="auto"/>
              </w:rPr>
            </w:pPr>
            <w:r>
              <w:rPr>
                <w:rFonts w:ascii="Arial" w:cs="Arial" w:eastAsia="Arial" w:hAnsi="Arial"/>
                <w:sz w:val="16"/>
                <w:szCs w:val="16"/>
                <w:color w:val="auto"/>
              </w:rPr>
              <w:t>2019</w:t>
            </w:r>
          </w:p>
        </w:tc>
        <w:tc>
          <w:tcPr>
            <w:tcW w:w="120" w:type="dxa"/>
            <w:vAlign w:val="bottom"/>
            <w:tcBorders>
              <w:right w:val="single" w:sz="8" w:color="9EACCA"/>
            </w:tcBorders>
            <w:shd w:val="clear" w:color="auto" w:fill="CCCCCC"/>
          </w:tcPr>
          <w:p>
            <w:pPr>
              <w:ind w:left="40"/>
              <w:spacing w:after="0" w:line="175" w:lineRule="exact"/>
              <w:rPr>
                <w:sz w:val="20"/>
                <w:szCs w:val="20"/>
                <w:color w:val="auto"/>
              </w:rPr>
            </w:pPr>
            <w:r>
              <w:rPr>
                <w:rFonts w:ascii="Arial" w:cs="Arial" w:eastAsia="Arial" w:hAnsi="Arial"/>
                <w:sz w:val="16"/>
                <w:szCs w:val="16"/>
                <w:color w:val="auto"/>
              </w:rPr>
              <w:t>​</w:t>
            </w:r>
          </w:p>
        </w:tc>
        <w:tc>
          <w:tcPr>
            <w:tcW w:w="2600" w:type="dxa"/>
            <w:vAlign w:val="bottom"/>
            <w:gridSpan w:val="3"/>
            <w:shd w:val="clear" w:color="auto" w:fill="CCCCCC"/>
          </w:tcPr>
          <w:p>
            <w:pPr>
              <w:spacing w:after="0" w:line="175" w:lineRule="exact"/>
              <w:rPr>
                <w:sz w:val="20"/>
                <w:szCs w:val="20"/>
                <w:color w:val="auto"/>
              </w:rPr>
            </w:pPr>
            <w:r>
              <w:rPr>
                <w:rFonts w:ascii="Arial" w:cs="Arial" w:eastAsia="Arial" w:hAnsi="Arial"/>
                <w:sz w:val="16"/>
                <w:szCs w:val="16"/>
                <w:color w:val="auto"/>
              </w:rPr>
              <w:t>​ CEO, OptumRX at UnitedHealth</w:t>
            </w:r>
          </w:p>
        </w:tc>
        <w:tc>
          <w:tcPr>
            <w:tcW w:w="140" w:type="dxa"/>
            <w:vAlign w:val="bottom"/>
            <w:tcBorders>
              <w:right w:val="single" w:sz="8" w:color="9EACCA"/>
            </w:tcBorders>
            <w:shd w:val="clear" w:color="auto" w:fill="CCCCCC"/>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CCCC"/>
          </w:tcPr>
          <w:p>
            <w:pPr>
              <w:spacing w:after="0" w:line="175" w:lineRule="exact"/>
              <w:rPr>
                <w:sz w:val="20"/>
                <w:szCs w:val="20"/>
                <w:color w:val="auto"/>
              </w:rPr>
            </w:pPr>
            <w:r>
              <w:rPr>
                <w:rFonts w:ascii="Arial" w:cs="Arial" w:eastAsia="Arial" w:hAnsi="Arial"/>
                <w:sz w:val="16"/>
                <w:szCs w:val="16"/>
                <w:color w:val="auto"/>
              </w:rPr>
              <w:t>​</w:t>
            </w:r>
          </w:p>
        </w:tc>
        <w:tc>
          <w:tcPr>
            <w:tcW w:w="720" w:type="dxa"/>
            <w:vAlign w:val="bottom"/>
            <w:shd w:val="clear" w:color="auto" w:fill="CCCCCC"/>
          </w:tcPr>
          <w:p>
            <w:pPr>
              <w:jc w:val="center"/>
              <w:spacing w:after="0" w:line="175" w:lineRule="exact"/>
              <w:rPr>
                <w:sz w:val="20"/>
                <w:szCs w:val="20"/>
                <w:color w:val="auto"/>
              </w:rPr>
            </w:pPr>
            <w:r>
              <w:rPr>
                <w:rFonts w:ascii="Arial" w:cs="Arial" w:eastAsia="Arial" w:hAnsi="Arial"/>
                <w:sz w:val="16"/>
                <w:szCs w:val="16"/>
                <w:color w:val="auto"/>
                <w:w w:val="89"/>
              </w:rPr>
              <w:t>II</w:t>
            </w:r>
          </w:p>
        </w:tc>
        <w:tc>
          <w:tcPr>
            <w:tcW w:w="120" w:type="dxa"/>
            <w:vAlign w:val="bottom"/>
            <w:tcBorders>
              <w:right w:val="single" w:sz="8" w:color="9EACCA"/>
            </w:tcBorders>
            <w:shd w:val="clear" w:color="auto" w:fill="CCCCCC"/>
          </w:tcPr>
          <w:p>
            <w:pPr>
              <w:ind w:left="20"/>
              <w:spacing w:after="0" w:line="175" w:lineRule="exact"/>
              <w:rPr>
                <w:sz w:val="20"/>
                <w:szCs w:val="20"/>
                <w:color w:val="auto"/>
              </w:rPr>
            </w:pPr>
            <w:r>
              <w:rPr>
                <w:rFonts w:ascii="Arial" w:cs="Arial" w:eastAsia="Arial" w:hAnsi="Arial"/>
                <w:sz w:val="16"/>
                <w:szCs w:val="16"/>
                <w:color w:val="auto"/>
              </w:rPr>
              <w:t>​</w:t>
            </w:r>
          </w:p>
        </w:tc>
        <w:tc>
          <w:tcPr>
            <w:tcW w:w="1980" w:type="dxa"/>
            <w:vAlign w:val="bottom"/>
            <w:gridSpan w:val="3"/>
            <w:shd w:val="clear" w:color="auto" w:fill="CCCCCC"/>
          </w:tcPr>
          <w:p>
            <w:pPr>
              <w:spacing w:after="0" w:line="175" w:lineRule="exact"/>
              <w:rPr>
                <w:sz w:val="20"/>
                <w:szCs w:val="20"/>
                <w:color w:val="auto"/>
              </w:rPr>
            </w:pPr>
            <w:r>
              <w:rPr>
                <w:rFonts w:ascii="Arial" w:cs="Arial" w:eastAsia="Arial" w:hAnsi="Arial"/>
                <w:sz w:val="16"/>
                <w:szCs w:val="16"/>
                <w:color w:val="auto"/>
              </w:rPr>
              <w:t>​ Compensation Committee</w:t>
            </w:r>
          </w:p>
        </w:tc>
        <w:tc>
          <w:tcPr>
            <w:tcW w:w="120" w:type="dxa"/>
            <w:vAlign w:val="bottom"/>
            <w:tcBorders>
              <w:right w:val="single" w:sz="8" w:color="3C5896"/>
            </w:tcBorders>
            <w:shd w:val="clear" w:color="auto" w:fill="CCCCCC"/>
          </w:tcPr>
          <w:p>
            <w:pPr>
              <w:ind w:left="4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80" w:type="dxa"/>
            <w:vAlign w:val="bottom"/>
            <w:tcBorders>
              <w:left w:val="single" w:sz="8" w:color="3C5896"/>
              <w:bottom w:val="single" w:sz="8" w:color="CCCCCC"/>
            </w:tcBorders>
            <w:shd w:val="clear" w:color="auto" w:fill="CCCCCC"/>
          </w:tcPr>
          <w:p>
            <w:pPr>
              <w:spacing w:after="0"/>
              <w:rPr>
                <w:sz w:val="19"/>
                <w:szCs w:val="19"/>
                <w:color w:val="auto"/>
              </w:rPr>
            </w:pPr>
          </w:p>
        </w:tc>
        <w:tc>
          <w:tcPr>
            <w:tcW w:w="1160" w:type="dxa"/>
            <w:vAlign w:val="bottom"/>
            <w:tcBorders>
              <w:bottom w:val="single" w:sz="8" w:color="CCCCCC"/>
            </w:tcBorders>
            <w:shd w:val="clear" w:color="auto" w:fill="CCCCCC"/>
          </w:tcPr>
          <w:p>
            <w:pPr>
              <w:spacing w:after="0"/>
              <w:rPr>
                <w:sz w:val="19"/>
                <w:szCs w:val="19"/>
                <w:color w:val="auto"/>
              </w:rPr>
            </w:pPr>
          </w:p>
        </w:tc>
        <w:tc>
          <w:tcPr>
            <w:tcW w:w="240" w:type="dxa"/>
            <w:vAlign w:val="bottom"/>
            <w:tcBorders>
              <w:bottom w:val="single" w:sz="8" w:color="CCCCCC"/>
            </w:tcBorders>
            <w:shd w:val="clear" w:color="auto" w:fill="CCCCCC"/>
          </w:tcPr>
          <w:p>
            <w:pPr>
              <w:spacing w:after="0"/>
              <w:rPr>
                <w:sz w:val="19"/>
                <w:szCs w:val="19"/>
                <w:color w:val="auto"/>
              </w:rPr>
            </w:pPr>
          </w:p>
        </w:tc>
        <w:tc>
          <w:tcPr>
            <w:tcW w:w="140" w:type="dxa"/>
            <w:vAlign w:val="bottom"/>
            <w:tcBorders>
              <w:bottom w:val="single" w:sz="8" w:color="CCCCCC"/>
              <w:right w:val="single" w:sz="8" w:color="9EACCA"/>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480" w:type="dxa"/>
            <w:vAlign w:val="bottom"/>
            <w:tcBorders>
              <w:bottom w:val="single" w:sz="8" w:color="CCCCCC"/>
            </w:tcBorders>
            <w:shd w:val="clear" w:color="auto" w:fill="CCCCCC"/>
          </w:tcPr>
          <w:p>
            <w:pPr>
              <w:spacing w:after="0"/>
              <w:rPr>
                <w:sz w:val="19"/>
                <w:szCs w:val="19"/>
                <w:color w:val="auto"/>
              </w:rPr>
            </w:pPr>
          </w:p>
        </w:tc>
        <w:tc>
          <w:tcPr>
            <w:tcW w:w="160" w:type="dxa"/>
            <w:vAlign w:val="bottom"/>
            <w:tcBorders>
              <w:bottom w:val="single" w:sz="8" w:color="CCCCCC"/>
              <w:right w:val="single" w:sz="8" w:color="9EACCA"/>
            </w:tcBorders>
            <w:shd w:val="clear" w:color="auto" w:fill="CCCCCC"/>
          </w:tcPr>
          <w:p>
            <w:pPr>
              <w:spacing w:after="0"/>
              <w:rPr>
                <w:sz w:val="19"/>
                <w:szCs w:val="19"/>
                <w:color w:val="auto"/>
              </w:rPr>
            </w:pPr>
          </w:p>
        </w:tc>
        <w:tc>
          <w:tcPr>
            <w:tcW w:w="60" w:type="dxa"/>
            <w:vAlign w:val="bottom"/>
            <w:tcBorders>
              <w:bottom w:val="single" w:sz="8" w:color="CCCCCC"/>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640" w:type="dxa"/>
            <w:vAlign w:val="bottom"/>
            <w:tcBorders>
              <w:bottom w:val="single" w:sz="8" w:color="CCCCCC"/>
            </w:tcBorders>
            <w:shd w:val="clear" w:color="auto" w:fill="CCCCCC"/>
          </w:tcPr>
          <w:p>
            <w:pPr>
              <w:spacing w:after="0"/>
              <w:rPr>
                <w:sz w:val="19"/>
                <w:szCs w:val="19"/>
                <w:color w:val="auto"/>
              </w:rPr>
            </w:pPr>
          </w:p>
        </w:tc>
        <w:tc>
          <w:tcPr>
            <w:tcW w:w="120" w:type="dxa"/>
            <w:vAlign w:val="bottom"/>
            <w:tcBorders>
              <w:bottom w:val="single" w:sz="8" w:color="CCCCCC"/>
              <w:right w:val="single" w:sz="8" w:color="9EACCA"/>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6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color w:val="auto"/>
              </w:rPr>
              <w:t>Group</w:t>
            </w:r>
          </w:p>
        </w:tc>
        <w:tc>
          <w:tcPr>
            <w:tcW w:w="1880" w:type="dxa"/>
            <w:vAlign w:val="bottom"/>
            <w:tcBorders>
              <w:bottom w:val="single" w:sz="8" w:color="CCCCCC"/>
            </w:tcBorders>
            <w:shd w:val="clear" w:color="auto" w:fill="CCCCCC"/>
          </w:tcPr>
          <w:p>
            <w:pPr>
              <w:spacing w:after="0"/>
              <w:rPr>
                <w:sz w:val="19"/>
                <w:szCs w:val="19"/>
                <w:color w:val="auto"/>
              </w:rPr>
            </w:pPr>
          </w:p>
        </w:tc>
        <w:tc>
          <w:tcPr>
            <w:tcW w:w="140" w:type="dxa"/>
            <w:vAlign w:val="bottom"/>
            <w:tcBorders>
              <w:bottom w:val="single" w:sz="8" w:color="CCCCCC"/>
              <w:right w:val="single" w:sz="8" w:color="9EACCA"/>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720" w:type="dxa"/>
            <w:vAlign w:val="bottom"/>
            <w:tcBorders>
              <w:bottom w:val="single" w:sz="8" w:color="CCCCCC"/>
            </w:tcBorders>
            <w:shd w:val="clear" w:color="auto" w:fill="CCCCCC"/>
          </w:tcPr>
          <w:p>
            <w:pPr>
              <w:spacing w:after="0"/>
              <w:rPr>
                <w:sz w:val="19"/>
                <w:szCs w:val="19"/>
                <w:color w:val="auto"/>
              </w:rPr>
            </w:pPr>
          </w:p>
        </w:tc>
        <w:tc>
          <w:tcPr>
            <w:tcW w:w="120" w:type="dxa"/>
            <w:vAlign w:val="bottom"/>
            <w:tcBorders>
              <w:bottom w:val="single" w:sz="8" w:color="CCCCCC"/>
              <w:right w:val="single" w:sz="8" w:color="9EACCA"/>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300" w:type="dxa"/>
            <w:vAlign w:val="bottom"/>
            <w:tcBorders>
              <w:bottom w:val="single" w:sz="8" w:color="CCCCCC"/>
            </w:tcBorders>
            <w:shd w:val="clear" w:color="auto" w:fill="CCCCCC"/>
          </w:tcPr>
          <w:p>
            <w:pPr>
              <w:spacing w:after="0"/>
              <w:rPr>
                <w:sz w:val="19"/>
                <w:szCs w:val="19"/>
                <w:color w:val="auto"/>
              </w:rPr>
            </w:pPr>
          </w:p>
        </w:tc>
        <w:tc>
          <w:tcPr>
            <w:tcW w:w="1600" w:type="dxa"/>
            <w:vAlign w:val="bottom"/>
            <w:tcBorders>
              <w:bottom w:val="single" w:sz="8" w:color="CCCCCC"/>
            </w:tcBorders>
            <w:shd w:val="clear" w:color="auto" w:fill="CCCCCC"/>
          </w:tcPr>
          <w:p>
            <w:pPr>
              <w:spacing w:after="0"/>
              <w:rPr>
                <w:sz w:val="19"/>
                <w:szCs w:val="19"/>
                <w:color w:val="auto"/>
              </w:rPr>
            </w:pPr>
          </w:p>
        </w:tc>
        <w:tc>
          <w:tcPr>
            <w:tcW w:w="120" w:type="dxa"/>
            <w:vAlign w:val="bottom"/>
            <w:tcBorders>
              <w:bottom w:val="single" w:sz="8" w:color="CCCCCC"/>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40" w:type="dxa"/>
            <w:vAlign w:val="bottom"/>
            <w:tcBorders>
              <w:left w:val="single" w:sz="8" w:color="3C5896"/>
            </w:tcBorders>
            <w:gridSpan w:val="2"/>
          </w:tcPr>
          <w:p>
            <w:pPr>
              <w:ind w:left="20"/>
              <w:spacing w:after="0" w:line="175" w:lineRule="exact"/>
              <w:rPr>
                <w:sz w:val="20"/>
                <w:szCs w:val="20"/>
                <w:color w:val="auto"/>
              </w:rPr>
            </w:pPr>
            <w:r>
              <w:rPr>
                <w:rFonts w:ascii="Arial" w:cs="Arial" w:eastAsia="Arial" w:hAnsi="Arial"/>
                <w:sz w:val="16"/>
                <w:szCs w:val="16"/>
                <w:color w:val="auto"/>
              </w:rPr>
              <w:t>​Virginia Hepner</w:t>
            </w:r>
          </w:p>
        </w:tc>
        <w:tc>
          <w:tcPr>
            <w:tcW w:w="240" w:type="dxa"/>
            <w:vAlign w:val="bottom"/>
          </w:tcPr>
          <w:p>
            <w:pPr>
              <w:spacing w:after="0"/>
              <w:rPr>
                <w:sz w:val="15"/>
                <w:szCs w:val="15"/>
                <w:color w:val="auto"/>
              </w:rPr>
            </w:pPr>
          </w:p>
        </w:tc>
        <w:tc>
          <w:tcPr>
            <w:tcW w:w="14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line="175" w:lineRule="exact"/>
              <w:rPr>
                <w:sz w:val="20"/>
                <w:szCs w:val="20"/>
                <w:color w:val="auto"/>
              </w:rPr>
            </w:pPr>
            <w:r>
              <w:rPr>
                <w:rFonts w:ascii="Arial" w:cs="Arial" w:eastAsia="Arial" w:hAnsi="Arial"/>
                <w:sz w:val="16"/>
                <w:szCs w:val="16"/>
                <w:color w:val="auto"/>
              </w:rPr>
              <w:t>64</w:t>
            </w:r>
          </w:p>
        </w:tc>
        <w:tc>
          <w:tcPr>
            <w:tcW w:w="16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140" w:type="dxa"/>
            <w:vAlign w:val="bottom"/>
            <w:gridSpan w:val="2"/>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rPr>
              <w:t>2018</w:t>
            </w:r>
          </w:p>
        </w:tc>
        <w:tc>
          <w:tcPr>
            <w:tcW w:w="120" w:type="dxa"/>
            <w:vAlign w:val="bottom"/>
            <w:tcBorders>
              <w:right w:val="single" w:sz="8" w:color="9EACCA"/>
            </w:tcBorders>
          </w:tcPr>
          <w:p>
            <w:pPr>
              <w:ind w:left="40"/>
              <w:spacing w:after="0" w:line="175" w:lineRule="exact"/>
              <w:rPr>
                <w:sz w:val="20"/>
                <w:szCs w:val="20"/>
                <w:color w:val="auto"/>
              </w:rPr>
            </w:pPr>
            <w:r>
              <w:rPr>
                <w:rFonts w:ascii="Arial" w:cs="Arial" w:eastAsia="Arial" w:hAnsi="Arial"/>
                <w:sz w:val="16"/>
                <w:szCs w:val="16"/>
                <w:color w:val="auto"/>
              </w:rPr>
              <w:t>​</w:t>
            </w:r>
          </w:p>
        </w:tc>
        <w:tc>
          <w:tcPr>
            <w:tcW w:w="2600" w:type="dxa"/>
            <w:vAlign w:val="bottom"/>
            <w:gridSpan w:val="3"/>
          </w:tcPr>
          <w:p>
            <w:pPr>
              <w:spacing w:after="0" w:line="175" w:lineRule="exact"/>
              <w:rPr>
                <w:sz w:val="20"/>
                <w:szCs w:val="20"/>
                <w:color w:val="auto"/>
              </w:rPr>
            </w:pPr>
            <w:r>
              <w:rPr>
                <w:rFonts w:ascii="Arial" w:cs="Arial" w:eastAsia="Arial" w:hAnsi="Arial"/>
                <w:sz w:val="16"/>
                <w:szCs w:val="16"/>
                <w:color w:val="auto"/>
              </w:rPr>
              <w:t>​ Retired CEO, The Woodruff Arts</w:t>
            </w:r>
          </w:p>
        </w:tc>
        <w:tc>
          <w:tcPr>
            <w:tcW w:w="140" w:type="dxa"/>
            <w:vAlign w:val="bottom"/>
            <w:tcBorders>
              <w:right w:val="single" w:sz="8" w:color="9EACCA"/>
            </w:tcBorders>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center"/>
              <w:spacing w:after="0" w:line="175" w:lineRule="exact"/>
              <w:rPr>
                <w:sz w:val="20"/>
                <w:szCs w:val="20"/>
                <w:color w:val="auto"/>
              </w:rPr>
            </w:pPr>
            <w:r>
              <w:rPr>
                <w:rFonts w:ascii="Arial" w:cs="Arial" w:eastAsia="Arial" w:hAnsi="Arial"/>
                <w:sz w:val="16"/>
                <w:szCs w:val="16"/>
                <w:color w:val="auto"/>
                <w:w w:val="89"/>
              </w:rPr>
              <w:t>III</w:t>
            </w:r>
          </w:p>
        </w:tc>
        <w:tc>
          <w:tcPr>
            <w:tcW w:w="120" w:type="dxa"/>
            <w:vAlign w:val="bottom"/>
            <w:tcBorders>
              <w:right w:val="single" w:sz="8" w:color="9EACCA"/>
            </w:tcBorders>
          </w:tcPr>
          <w:p>
            <w:pPr>
              <w:ind w:left="20"/>
              <w:spacing w:after="0" w:line="175" w:lineRule="exact"/>
              <w:rPr>
                <w:sz w:val="20"/>
                <w:szCs w:val="20"/>
                <w:color w:val="auto"/>
              </w:rPr>
            </w:pPr>
            <w:r>
              <w:rPr>
                <w:rFonts w:ascii="Arial" w:cs="Arial" w:eastAsia="Arial" w:hAnsi="Arial"/>
                <w:sz w:val="16"/>
                <w:szCs w:val="16"/>
                <w:color w:val="auto"/>
              </w:rPr>
              <w:t>​</w:t>
            </w:r>
          </w:p>
        </w:tc>
        <w:tc>
          <w:tcPr>
            <w:tcW w:w="1980" w:type="dxa"/>
            <w:vAlign w:val="bottom"/>
            <w:gridSpan w:val="3"/>
          </w:tcPr>
          <w:p>
            <w:pPr>
              <w:spacing w:after="0" w:line="175" w:lineRule="exact"/>
              <w:rPr>
                <w:sz w:val="20"/>
                <w:szCs w:val="20"/>
                <w:color w:val="auto"/>
              </w:rPr>
            </w:pPr>
            <w:r>
              <w:rPr>
                <w:rFonts w:ascii="Arial" w:cs="Arial" w:eastAsia="Arial" w:hAnsi="Arial"/>
                <w:sz w:val="16"/>
                <w:szCs w:val="16"/>
                <w:color w:val="auto"/>
              </w:rPr>
              <w:t>​ Nominating &amp; Corporate</w:t>
            </w:r>
          </w:p>
        </w:tc>
        <w:tc>
          <w:tcPr>
            <w:tcW w:w="120" w:type="dxa"/>
            <w:vAlign w:val="bottom"/>
            <w:tcBorders>
              <w:right w:val="single" w:sz="8" w:color="3C5896"/>
            </w:tcBorders>
          </w:tcPr>
          <w:p>
            <w:pPr>
              <w:ind w:left="4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0" w:type="dxa"/>
            <w:vAlign w:val="bottom"/>
            <w:tcBorders>
              <w:left w:val="single" w:sz="8" w:color="3C5896"/>
            </w:tcBorders>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9EACCA"/>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6"/>
                <w:szCs w:val="16"/>
                <w:color w:val="auto"/>
              </w:rPr>
              <w:t>Center</w:t>
            </w:r>
          </w:p>
        </w:tc>
        <w:tc>
          <w:tcPr>
            <w:tcW w:w="1880" w:type="dxa"/>
            <w:vAlign w:val="bottom"/>
          </w:tcPr>
          <w:p>
            <w:pPr>
              <w:spacing w:after="0"/>
              <w:rPr>
                <w:sz w:val="18"/>
                <w:szCs w:val="18"/>
                <w:color w:val="auto"/>
              </w:rPr>
            </w:pPr>
          </w:p>
        </w:tc>
        <w:tc>
          <w:tcPr>
            <w:tcW w:w="14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9EACCA"/>
            </w:tcBorders>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vMerge w:val="restart"/>
          </w:tcPr>
          <w:p>
            <w:pPr>
              <w:spacing w:after="0"/>
              <w:rPr>
                <w:sz w:val="20"/>
                <w:szCs w:val="20"/>
                <w:color w:val="auto"/>
              </w:rPr>
            </w:pPr>
            <w:r>
              <w:rPr>
                <w:rFonts w:ascii="Arial" w:cs="Arial" w:eastAsia="Arial" w:hAnsi="Arial"/>
                <w:sz w:val="16"/>
                <w:szCs w:val="16"/>
                <w:color w:val="auto"/>
              </w:rPr>
              <w:t>Governance Committee</w:t>
            </w:r>
          </w:p>
        </w:tc>
        <w:tc>
          <w:tcPr>
            <w:tcW w:w="120" w:type="dxa"/>
            <w:vAlign w:val="bottom"/>
            <w:tcBorders>
              <w:right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3C5896"/>
            </w:tcBorders>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Borders>
              <w:right w:val="single" w:sz="8" w:color="9EACCA"/>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4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Borders>
              <w:right w:val="single" w:sz="8" w:color="9EACCA"/>
            </w:tcBorders>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20" w:type="dxa"/>
            <w:vAlign w:val="bottom"/>
            <w:tcBorders>
              <w:right w:val="single" w:sz="8" w:color="3C5896"/>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0" w:type="dxa"/>
            <w:vAlign w:val="bottom"/>
            <w:tcBorders>
              <w:left w:val="single" w:sz="8" w:color="3C5896"/>
            </w:tcBorders>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right w:val="single" w:sz="8" w:color="9EACCA"/>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Borders>
              <w:right w:val="single" w:sz="8" w:color="9EACCA"/>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right w:val="single" w:sz="8" w:color="9EACCA"/>
            </w:tcBorders>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 w:type="dxa"/>
            <w:vAlign w:val="bottom"/>
            <w:tcBorders>
              <w:right w:val="single" w:sz="8" w:color="9EACCA"/>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9EACCA"/>
            </w:tcBorders>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gridSpan w:val="2"/>
          </w:tcPr>
          <w:p>
            <w:pPr>
              <w:spacing w:after="0"/>
              <w:rPr>
                <w:sz w:val="20"/>
                <w:szCs w:val="20"/>
                <w:color w:val="auto"/>
              </w:rPr>
            </w:pPr>
            <w:r>
              <w:rPr>
                <w:rFonts w:ascii="Arial" w:cs="Arial" w:eastAsia="Arial" w:hAnsi="Arial"/>
                <w:sz w:val="16"/>
                <w:szCs w:val="16"/>
                <w:color w:val="auto"/>
              </w:rPr>
              <w:t>(Chair)</w:t>
            </w:r>
          </w:p>
        </w:tc>
        <w:tc>
          <w:tcPr>
            <w:tcW w:w="120" w:type="dxa"/>
            <w:vAlign w:val="bottom"/>
            <w:tcBorders>
              <w:right w:val="single" w:sz="8" w:color="3C5896"/>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3C5896"/>
            </w:tcBorders>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9EACCA"/>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9EACCA"/>
            </w:tcBorders>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6"/>
                <w:szCs w:val="16"/>
                <w:color w:val="auto"/>
              </w:rPr>
              <w:t>Audit Committee</w:t>
            </w:r>
          </w:p>
        </w:tc>
        <w:tc>
          <w:tcPr>
            <w:tcW w:w="120" w:type="dxa"/>
            <w:vAlign w:val="bottom"/>
            <w:tcBorders>
              <w:right w:val="single" w:sz="8" w:color="3C5896"/>
            </w:tcBorders>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440" w:type="dxa"/>
            <w:vAlign w:val="bottom"/>
            <w:tcBorders>
              <w:left w:val="single" w:sz="8" w:color="3C5896"/>
            </w:tcBorders>
            <w:gridSpan w:val="2"/>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right w:val="single" w:sz="8" w:color="9EACCA"/>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Borders>
              <w:right w:val="single" w:sz="8" w:color="9EACCA"/>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Borders>
              <w:right w:val="single" w:sz="8" w:color="9EACCA"/>
            </w:tcBorders>
          </w:tcPr>
          <w:p>
            <w:pPr>
              <w:spacing w:after="0"/>
              <w:rPr>
                <w:sz w:val="3"/>
                <w:szCs w:val="3"/>
                <w:color w:val="auto"/>
              </w:rPr>
            </w:pPr>
          </w:p>
        </w:tc>
        <w:tc>
          <w:tcPr>
            <w:tcW w:w="2600" w:type="dxa"/>
            <w:vAlign w:val="bottom"/>
            <w:gridSpan w:val="3"/>
          </w:tcPr>
          <w:p>
            <w:pPr>
              <w:spacing w:after="0"/>
              <w:rPr>
                <w:sz w:val="3"/>
                <w:szCs w:val="3"/>
                <w:color w:val="auto"/>
              </w:rPr>
            </w:pPr>
          </w:p>
        </w:tc>
        <w:tc>
          <w:tcPr>
            <w:tcW w:w="140" w:type="dxa"/>
            <w:vAlign w:val="bottom"/>
            <w:tcBorders>
              <w:right w:val="single" w:sz="8" w:color="9EACCA"/>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9EACCA"/>
            </w:tcBorders>
          </w:tcPr>
          <w:p>
            <w:pPr>
              <w:spacing w:after="0"/>
              <w:rPr>
                <w:sz w:val="3"/>
                <w:szCs w:val="3"/>
                <w:color w:val="auto"/>
              </w:rPr>
            </w:pPr>
          </w:p>
        </w:tc>
        <w:tc>
          <w:tcPr>
            <w:tcW w:w="1980" w:type="dxa"/>
            <w:vAlign w:val="bottom"/>
            <w:gridSpan w:val="3"/>
          </w:tcPr>
          <w:p>
            <w:pPr>
              <w:spacing w:after="0"/>
              <w:rPr>
                <w:sz w:val="3"/>
                <w:szCs w:val="3"/>
                <w:color w:val="auto"/>
              </w:rPr>
            </w:pPr>
          </w:p>
        </w:tc>
        <w:tc>
          <w:tcPr>
            <w:tcW w:w="120" w:type="dxa"/>
            <w:vAlign w:val="bottom"/>
            <w:tcBorders>
              <w:right w:val="single" w:sz="8" w:color="3C5896"/>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440" w:type="dxa"/>
            <w:vAlign w:val="bottom"/>
            <w:tcBorders>
              <w:left w:val="single" w:sz="8" w:color="3C5896"/>
            </w:tcBorders>
            <w:gridSpan w:val="2"/>
            <w:shd w:val="clear" w:color="auto" w:fill="CCCCCC"/>
          </w:tcPr>
          <w:p>
            <w:pPr>
              <w:ind w:left="20"/>
              <w:spacing w:after="0" w:line="175" w:lineRule="exact"/>
              <w:rPr>
                <w:sz w:val="20"/>
                <w:szCs w:val="20"/>
                <w:color w:val="auto"/>
              </w:rPr>
            </w:pPr>
            <w:r>
              <w:rPr>
                <w:rFonts w:ascii="Arial" w:cs="Arial" w:eastAsia="Arial" w:hAnsi="Arial"/>
                <w:sz w:val="16"/>
                <w:szCs w:val="16"/>
                <w:color w:val="auto"/>
              </w:rPr>
              <w:t>​Susan S. Johnson</w:t>
            </w:r>
          </w:p>
        </w:tc>
        <w:tc>
          <w:tcPr>
            <w:tcW w:w="240" w:type="dxa"/>
            <w:vAlign w:val="bottom"/>
            <w:shd w:val="clear" w:color="auto" w:fill="CCCCCC"/>
          </w:tcPr>
          <w:p>
            <w:pPr>
              <w:spacing w:after="0"/>
              <w:rPr>
                <w:sz w:val="15"/>
                <w:szCs w:val="15"/>
                <w:color w:val="auto"/>
              </w:rPr>
            </w:pPr>
          </w:p>
        </w:tc>
        <w:tc>
          <w:tcPr>
            <w:tcW w:w="140" w:type="dxa"/>
            <w:vAlign w:val="bottom"/>
            <w:tcBorders>
              <w:right w:val="single" w:sz="8" w:color="9EACCA"/>
            </w:tcBorders>
            <w:shd w:val="clear" w:color="auto" w:fill="CCCCCC"/>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CCCC"/>
          </w:tcPr>
          <w:p>
            <w:pPr>
              <w:spacing w:after="0" w:line="175" w:lineRule="exact"/>
              <w:rPr>
                <w:sz w:val="20"/>
                <w:szCs w:val="20"/>
                <w:color w:val="auto"/>
              </w:rPr>
            </w:pPr>
            <w:r>
              <w:rPr>
                <w:rFonts w:ascii="Arial" w:cs="Arial" w:eastAsia="Arial" w:hAnsi="Arial"/>
                <w:sz w:val="16"/>
                <w:szCs w:val="16"/>
                <w:color w:val="auto"/>
              </w:rPr>
              <w:t>​</w:t>
            </w:r>
          </w:p>
        </w:tc>
        <w:tc>
          <w:tcPr>
            <w:tcW w:w="480" w:type="dxa"/>
            <w:vAlign w:val="bottom"/>
            <w:shd w:val="clear" w:color="auto" w:fill="CCCCCC"/>
          </w:tcPr>
          <w:p>
            <w:pPr>
              <w:jc w:val="right"/>
              <w:ind w:right="39"/>
              <w:spacing w:after="0" w:line="175" w:lineRule="exact"/>
              <w:rPr>
                <w:sz w:val="20"/>
                <w:szCs w:val="20"/>
                <w:color w:val="auto"/>
              </w:rPr>
            </w:pPr>
            <w:r>
              <w:rPr>
                <w:rFonts w:ascii="Arial" w:cs="Arial" w:eastAsia="Arial" w:hAnsi="Arial"/>
                <w:sz w:val="16"/>
                <w:szCs w:val="16"/>
                <w:color w:val="auto"/>
              </w:rPr>
              <w:t>56</w:t>
            </w:r>
          </w:p>
        </w:tc>
        <w:tc>
          <w:tcPr>
            <w:tcW w:w="160" w:type="dxa"/>
            <w:vAlign w:val="bottom"/>
            <w:tcBorders>
              <w:right w:val="single" w:sz="8" w:color="9EACCA"/>
            </w:tcBorders>
            <w:shd w:val="clear" w:color="auto" w:fill="CCCCCC"/>
          </w:tcPr>
          <w:p>
            <w:pPr>
              <w:ind w:left="60"/>
              <w:spacing w:after="0" w:line="175" w:lineRule="exact"/>
              <w:rPr>
                <w:sz w:val="20"/>
                <w:szCs w:val="20"/>
                <w:color w:val="auto"/>
              </w:rPr>
            </w:pPr>
            <w:r>
              <w:rPr>
                <w:rFonts w:ascii="Arial" w:cs="Arial" w:eastAsia="Arial" w:hAnsi="Arial"/>
                <w:sz w:val="16"/>
                <w:szCs w:val="16"/>
                <w:color w:val="auto"/>
              </w:rPr>
              <w:t>​</w:t>
            </w:r>
          </w:p>
        </w:tc>
        <w:tc>
          <w:tcPr>
            <w:tcW w:w="140" w:type="dxa"/>
            <w:vAlign w:val="bottom"/>
            <w:gridSpan w:val="2"/>
            <w:shd w:val="clear" w:color="auto" w:fill="CCCCCC"/>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shd w:val="clear" w:color="auto" w:fill="CCCCCC"/>
          </w:tcPr>
          <w:p>
            <w:pPr>
              <w:jc w:val="center"/>
              <w:spacing w:after="0" w:line="175" w:lineRule="exact"/>
              <w:rPr>
                <w:sz w:val="20"/>
                <w:szCs w:val="20"/>
                <w:color w:val="auto"/>
              </w:rPr>
            </w:pPr>
            <w:r>
              <w:rPr>
                <w:rFonts w:ascii="Arial" w:cs="Arial" w:eastAsia="Arial" w:hAnsi="Arial"/>
                <w:sz w:val="16"/>
                <w:szCs w:val="16"/>
                <w:color w:val="auto"/>
              </w:rPr>
              <w:t>2020</w:t>
            </w:r>
          </w:p>
        </w:tc>
        <w:tc>
          <w:tcPr>
            <w:tcW w:w="120" w:type="dxa"/>
            <w:vAlign w:val="bottom"/>
            <w:tcBorders>
              <w:right w:val="single" w:sz="8" w:color="9EACCA"/>
            </w:tcBorders>
            <w:shd w:val="clear" w:color="auto" w:fill="CCCCCC"/>
          </w:tcPr>
          <w:p>
            <w:pPr>
              <w:ind w:left="40"/>
              <w:spacing w:after="0" w:line="175" w:lineRule="exact"/>
              <w:rPr>
                <w:sz w:val="20"/>
                <w:szCs w:val="20"/>
                <w:color w:val="auto"/>
              </w:rPr>
            </w:pPr>
            <w:r>
              <w:rPr>
                <w:rFonts w:ascii="Arial" w:cs="Arial" w:eastAsia="Arial" w:hAnsi="Arial"/>
                <w:sz w:val="16"/>
                <w:szCs w:val="16"/>
                <w:color w:val="auto"/>
              </w:rPr>
              <w:t>​</w:t>
            </w:r>
          </w:p>
        </w:tc>
        <w:tc>
          <w:tcPr>
            <w:tcW w:w="2600" w:type="dxa"/>
            <w:vAlign w:val="bottom"/>
            <w:gridSpan w:val="3"/>
            <w:shd w:val="clear" w:color="auto" w:fill="CCCCCC"/>
          </w:tcPr>
          <w:p>
            <w:pPr>
              <w:spacing w:after="0" w:line="175" w:lineRule="exact"/>
              <w:rPr>
                <w:sz w:val="20"/>
                <w:szCs w:val="20"/>
                <w:color w:val="auto"/>
              </w:rPr>
            </w:pPr>
            <w:r>
              <w:rPr>
                <w:rFonts w:ascii="Arial" w:cs="Arial" w:eastAsia="Arial" w:hAnsi="Arial"/>
                <w:sz w:val="16"/>
                <w:szCs w:val="16"/>
                <w:color w:val="auto"/>
              </w:rPr>
              <w:t>​ Chief Marketing Officer, Prudential</w:t>
            </w:r>
          </w:p>
        </w:tc>
        <w:tc>
          <w:tcPr>
            <w:tcW w:w="140" w:type="dxa"/>
            <w:vAlign w:val="bottom"/>
            <w:tcBorders>
              <w:right w:val="single" w:sz="8" w:color="9EACCA"/>
            </w:tcBorders>
            <w:shd w:val="clear" w:color="auto" w:fill="CCCCCC"/>
          </w:tcPr>
          <w:p>
            <w:pPr>
              <w:ind w:left="60"/>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CCCC"/>
          </w:tcPr>
          <w:p>
            <w:pPr>
              <w:spacing w:after="0" w:line="175" w:lineRule="exact"/>
              <w:rPr>
                <w:sz w:val="20"/>
                <w:szCs w:val="20"/>
                <w:color w:val="auto"/>
              </w:rPr>
            </w:pPr>
            <w:r>
              <w:rPr>
                <w:rFonts w:ascii="Arial" w:cs="Arial" w:eastAsia="Arial" w:hAnsi="Arial"/>
                <w:sz w:val="16"/>
                <w:szCs w:val="16"/>
                <w:color w:val="auto"/>
              </w:rPr>
              <w:t>​</w:t>
            </w:r>
          </w:p>
        </w:tc>
        <w:tc>
          <w:tcPr>
            <w:tcW w:w="720" w:type="dxa"/>
            <w:vAlign w:val="bottom"/>
            <w:shd w:val="clear" w:color="auto" w:fill="CCCCCC"/>
          </w:tcPr>
          <w:p>
            <w:pPr>
              <w:jc w:val="center"/>
              <w:spacing w:after="0" w:line="175" w:lineRule="exact"/>
              <w:rPr>
                <w:sz w:val="20"/>
                <w:szCs w:val="20"/>
                <w:color w:val="auto"/>
              </w:rPr>
            </w:pPr>
            <w:r>
              <w:rPr>
                <w:rFonts w:ascii="Arial" w:cs="Arial" w:eastAsia="Arial" w:hAnsi="Arial"/>
                <w:sz w:val="16"/>
                <w:szCs w:val="16"/>
                <w:color w:val="auto"/>
                <w:w w:val="88"/>
              </w:rPr>
              <w:t>I</w:t>
            </w:r>
          </w:p>
        </w:tc>
        <w:tc>
          <w:tcPr>
            <w:tcW w:w="120" w:type="dxa"/>
            <w:vAlign w:val="bottom"/>
            <w:tcBorders>
              <w:right w:val="single" w:sz="8" w:color="9EACCA"/>
            </w:tcBorders>
            <w:shd w:val="clear" w:color="auto" w:fill="CCCCCC"/>
          </w:tcPr>
          <w:p>
            <w:pPr>
              <w:ind w:left="20"/>
              <w:spacing w:after="0" w:line="175" w:lineRule="exact"/>
              <w:rPr>
                <w:sz w:val="20"/>
                <w:szCs w:val="20"/>
                <w:color w:val="auto"/>
              </w:rPr>
            </w:pPr>
            <w:r>
              <w:rPr>
                <w:rFonts w:ascii="Arial" w:cs="Arial" w:eastAsia="Arial" w:hAnsi="Arial"/>
                <w:sz w:val="16"/>
                <w:szCs w:val="16"/>
                <w:color w:val="auto"/>
              </w:rPr>
              <w:t>​</w:t>
            </w:r>
          </w:p>
        </w:tc>
        <w:tc>
          <w:tcPr>
            <w:tcW w:w="1980" w:type="dxa"/>
            <w:vAlign w:val="bottom"/>
            <w:gridSpan w:val="3"/>
            <w:shd w:val="clear" w:color="auto" w:fill="CCCCCC"/>
          </w:tcPr>
          <w:p>
            <w:pPr>
              <w:spacing w:after="0" w:line="175" w:lineRule="exact"/>
              <w:rPr>
                <w:sz w:val="20"/>
                <w:szCs w:val="20"/>
                <w:color w:val="auto"/>
              </w:rPr>
            </w:pPr>
            <w:r>
              <w:rPr>
                <w:rFonts w:ascii="Arial" w:cs="Arial" w:eastAsia="Arial" w:hAnsi="Arial"/>
                <w:sz w:val="16"/>
                <w:szCs w:val="16"/>
                <w:color w:val="auto"/>
              </w:rPr>
              <w:t>​ Audit Committee</w:t>
            </w:r>
          </w:p>
        </w:tc>
        <w:tc>
          <w:tcPr>
            <w:tcW w:w="120" w:type="dxa"/>
            <w:vAlign w:val="bottom"/>
            <w:tcBorders>
              <w:right w:val="single" w:sz="8" w:color="3C5896"/>
            </w:tcBorders>
            <w:shd w:val="clear" w:color="auto" w:fill="CCCCCC"/>
          </w:tcPr>
          <w:p>
            <w:pPr>
              <w:ind w:left="4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80" w:type="dxa"/>
            <w:vAlign w:val="bottom"/>
            <w:tcBorders>
              <w:left w:val="single" w:sz="8" w:color="3C5896"/>
              <w:bottom w:val="single" w:sz="8" w:color="CCCCCC"/>
            </w:tcBorders>
            <w:shd w:val="clear" w:color="auto" w:fill="CCCCCC"/>
          </w:tcPr>
          <w:p>
            <w:pPr>
              <w:spacing w:after="0"/>
              <w:rPr>
                <w:sz w:val="19"/>
                <w:szCs w:val="19"/>
                <w:color w:val="auto"/>
              </w:rPr>
            </w:pPr>
          </w:p>
        </w:tc>
        <w:tc>
          <w:tcPr>
            <w:tcW w:w="1160" w:type="dxa"/>
            <w:vAlign w:val="bottom"/>
            <w:tcBorders>
              <w:bottom w:val="single" w:sz="8" w:color="CCCCCC"/>
            </w:tcBorders>
            <w:shd w:val="clear" w:color="auto" w:fill="CCCCCC"/>
          </w:tcPr>
          <w:p>
            <w:pPr>
              <w:spacing w:after="0"/>
              <w:rPr>
                <w:sz w:val="19"/>
                <w:szCs w:val="19"/>
                <w:color w:val="auto"/>
              </w:rPr>
            </w:pPr>
          </w:p>
        </w:tc>
        <w:tc>
          <w:tcPr>
            <w:tcW w:w="240" w:type="dxa"/>
            <w:vAlign w:val="bottom"/>
            <w:tcBorders>
              <w:bottom w:val="single" w:sz="8" w:color="CCCCCC"/>
            </w:tcBorders>
            <w:shd w:val="clear" w:color="auto" w:fill="CCCCCC"/>
          </w:tcPr>
          <w:p>
            <w:pPr>
              <w:spacing w:after="0"/>
              <w:rPr>
                <w:sz w:val="19"/>
                <w:szCs w:val="19"/>
                <w:color w:val="auto"/>
              </w:rPr>
            </w:pPr>
          </w:p>
        </w:tc>
        <w:tc>
          <w:tcPr>
            <w:tcW w:w="140" w:type="dxa"/>
            <w:vAlign w:val="bottom"/>
            <w:tcBorders>
              <w:bottom w:val="single" w:sz="8" w:color="CCCCCC"/>
              <w:right w:val="single" w:sz="8" w:color="9EACCA"/>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480" w:type="dxa"/>
            <w:vAlign w:val="bottom"/>
            <w:tcBorders>
              <w:bottom w:val="single" w:sz="8" w:color="CCCCCC"/>
            </w:tcBorders>
            <w:shd w:val="clear" w:color="auto" w:fill="CCCCCC"/>
          </w:tcPr>
          <w:p>
            <w:pPr>
              <w:spacing w:after="0"/>
              <w:rPr>
                <w:sz w:val="19"/>
                <w:szCs w:val="19"/>
                <w:color w:val="auto"/>
              </w:rPr>
            </w:pPr>
          </w:p>
        </w:tc>
        <w:tc>
          <w:tcPr>
            <w:tcW w:w="160" w:type="dxa"/>
            <w:vAlign w:val="bottom"/>
            <w:tcBorders>
              <w:bottom w:val="single" w:sz="8" w:color="CCCCCC"/>
              <w:right w:val="single" w:sz="8" w:color="9EACCA"/>
            </w:tcBorders>
            <w:shd w:val="clear" w:color="auto" w:fill="CCCCCC"/>
          </w:tcPr>
          <w:p>
            <w:pPr>
              <w:spacing w:after="0"/>
              <w:rPr>
                <w:sz w:val="19"/>
                <w:szCs w:val="19"/>
                <w:color w:val="auto"/>
              </w:rPr>
            </w:pPr>
          </w:p>
        </w:tc>
        <w:tc>
          <w:tcPr>
            <w:tcW w:w="60" w:type="dxa"/>
            <w:vAlign w:val="bottom"/>
            <w:tcBorders>
              <w:bottom w:val="single" w:sz="8" w:color="CCCCCC"/>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640" w:type="dxa"/>
            <w:vAlign w:val="bottom"/>
            <w:tcBorders>
              <w:bottom w:val="single" w:sz="8" w:color="CCCCCC"/>
            </w:tcBorders>
            <w:shd w:val="clear" w:color="auto" w:fill="CCCCCC"/>
          </w:tcPr>
          <w:p>
            <w:pPr>
              <w:spacing w:after="0"/>
              <w:rPr>
                <w:sz w:val="19"/>
                <w:szCs w:val="19"/>
                <w:color w:val="auto"/>
              </w:rPr>
            </w:pPr>
          </w:p>
        </w:tc>
        <w:tc>
          <w:tcPr>
            <w:tcW w:w="120" w:type="dxa"/>
            <w:vAlign w:val="bottom"/>
            <w:tcBorders>
              <w:bottom w:val="single" w:sz="8" w:color="CCCCCC"/>
              <w:right w:val="single" w:sz="8" w:color="9EACCA"/>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2520" w:type="dxa"/>
            <w:vAlign w:val="bottom"/>
            <w:tcBorders>
              <w:bottom w:val="single" w:sz="8" w:color="CCCCCC"/>
            </w:tcBorders>
            <w:gridSpan w:val="2"/>
            <w:shd w:val="clear" w:color="auto" w:fill="CCCCCC"/>
          </w:tcPr>
          <w:p>
            <w:pPr>
              <w:spacing w:after="0"/>
              <w:rPr>
                <w:sz w:val="20"/>
                <w:szCs w:val="20"/>
                <w:color w:val="auto"/>
              </w:rPr>
            </w:pPr>
            <w:r>
              <w:rPr>
                <w:rFonts w:ascii="Arial" w:cs="Arial" w:eastAsia="Arial" w:hAnsi="Arial"/>
                <w:sz w:val="16"/>
                <w:szCs w:val="16"/>
                <w:color w:val="auto"/>
              </w:rPr>
              <w:t>Financial, Inc.</w:t>
            </w:r>
          </w:p>
        </w:tc>
        <w:tc>
          <w:tcPr>
            <w:tcW w:w="140" w:type="dxa"/>
            <w:vAlign w:val="bottom"/>
            <w:tcBorders>
              <w:bottom w:val="single" w:sz="8" w:color="CCCCCC"/>
              <w:right w:val="single" w:sz="8" w:color="9EACCA"/>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720" w:type="dxa"/>
            <w:vAlign w:val="bottom"/>
            <w:tcBorders>
              <w:bottom w:val="single" w:sz="8" w:color="CCCCCC"/>
            </w:tcBorders>
            <w:shd w:val="clear" w:color="auto" w:fill="CCCCCC"/>
          </w:tcPr>
          <w:p>
            <w:pPr>
              <w:spacing w:after="0"/>
              <w:rPr>
                <w:sz w:val="19"/>
                <w:szCs w:val="19"/>
                <w:color w:val="auto"/>
              </w:rPr>
            </w:pPr>
          </w:p>
        </w:tc>
        <w:tc>
          <w:tcPr>
            <w:tcW w:w="120" w:type="dxa"/>
            <w:vAlign w:val="bottom"/>
            <w:tcBorders>
              <w:bottom w:val="single" w:sz="8" w:color="CCCCCC"/>
              <w:right w:val="single" w:sz="8" w:color="9EACCA"/>
            </w:tcBorders>
            <w:shd w:val="clear" w:color="auto" w:fill="CCCCCC"/>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19"/>
                <w:szCs w:val="19"/>
                <w:color w:val="auto"/>
              </w:rPr>
            </w:pPr>
          </w:p>
        </w:tc>
        <w:tc>
          <w:tcPr>
            <w:tcW w:w="300" w:type="dxa"/>
            <w:vAlign w:val="bottom"/>
            <w:tcBorders>
              <w:bottom w:val="single" w:sz="8" w:color="CCCCCC"/>
            </w:tcBorders>
            <w:shd w:val="clear" w:color="auto" w:fill="CCCCCC"/>
          </w:tcPr>
          <w:p>
            <w:pPr>
              <w:spacing w:after="0"/>
              <w:rPr>
                <w:sz w:val="19"/>
                <w:szCs w:val="19"/>
                <w:color w:val="auto"/>
              </w:rPr>
            </w:pPr>
          </w:p>
        </w:tc>
        <w:tc>
          <w:tcPr>
            <w:tcW w:w="1600" w:type="dxa"/>
            <w:vAlign w:val="bottom"/>
            <w:tcBorders>
              <w:bottom w:val="single" w:sz="8" w:color="CCCCCC"/>
            </w:tcBorders>
            <w:shd w:val="clear" w:color="auto" w:fill="CCCCCC"/>
          </w:tcPr>
          <w:p>
            <w:pPr>
              <w:spacing w:after="0"/>
              <w:rPr>
                <w:sz w:val="19"/>
                <w:szCs w:val="19"/>
                <w:color w:val="auto"/>
              </w:rPr>
            </w:pPr>
          </w:p>
        </w:tc>
        <w:tc>
          <w:tcPr>
            <w:tcW w:w="120" w:type="dxa"/>
            <w:vAlign w:val="bottom"/>
            <w:tcBorders>
              <w:bottom w:val="single" w:sz="8" w:color="CCCCCC"/>
              <w:right w:val="single" w:sz="8" w:color="3C5896"/>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3C5896"/>
            </w:tcBorders>
            <w:gridSpan w:val="2"/>
          </w:tcPr>
          <w:p>
            <w:pPr>
              <w:ind w:lef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Naomi Kelman</w:t>
            </w:r>
          </w:p>
        </w:tc>
        <w:tc>
          <w:tcPr>
            <w:tcW w:w="240" w:type="dxa"/>
            <w:vAlign w:val="bottom"/>
          </w:tcPr>
          <w:p>
            <w:pPr>
              <w:spacing w:after="0"/>
              <w:rPr>
                <w:sz w:val="21"/>
                <w:szCs w:val="21"/>
                <w:color w:val="auto"/>
              </w:rPr>
            </w:pPr>
          </w:p>
        </w:tc>
        <w:tc>
          <w:tcPr>
            <w:tcW w:w="140" w:type="dxa"/>
            <w:vAlign w:val="bottom"/>
            <w:tcBorders>
              <w:right w:val="single" w:sz="8" w:color="9EACCA"/>
            </w:tcBorders>
          </w:tcPr>
          <w:p>
            <w:pPr>
              <w:ind w:lef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60" w:type="dxa"/>
            <w:vAlign w:val="bottom"/>
            <w:tcBorders>
              <w:right w:val="single" w:sz="8" w:color="9EACCA"/>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center"/>
              <w:spacing w:after="0"/>
              <w:rPr>
                <w:sz w:val="20"/>
                <w:szCs w:val="20"/>
                <w:color w:val="auto"/>
              </w:rPr>
            </w:pPr>
            <w:r>
              <w:rPr>
                <w:rFonts w:ascii="Arial" w:cs="Arial" w:eastAsia="Arial" w:hAnsi="Arial"/>
                <w:sz w:val="16"/>
                <w:szCs w:val="16"/>
                <w:color w:val="auto"/>
              </w:rPr>
              <w:t>2020</w:t>
            </w:r>
          </w:p>
        </w:tc>
        <w:tc>
          <w:tcPr>
            <w:tcW w:w="120" w:type="dxa"/>
            <w:vAlign w:val="bottom"/>
            <w:tcBorders>
              <w:right w:val="single" w:sz="8" w:color="9EACCA"/>
            </w:tcBorders>
          </w:tcPr>
          <w:p>
            <w:pPr>
              <w:ind w:left="40"/>
              <w:spacing w:after="0"/>
              <w:rPr>
                <w:sz w:val="20"/>
                <w:szCs w:val="20"/>
                <w:color w:val="auto"/>
              </w:rPr>
            </w:pPr>
            <w:r>
              <w:rPr>
                <w:rFonts w:ascii="Arial" w:cs="Arial" w:eastAsia="Arial" w:hAnsi="Arial"/>
                <w:sz w:val="16"/>
                <w:szCs w:val="16"/>
                <w:color w:val="auto"/>
              </w:rPr>
              <w:t>​</w:t>
            </w:r>
          </w:p>
        </w:tc>
        <w:tc>
          <w:tcPr>
            <w:tcW w:w="2740" w:type="dxa"/>
            <w:vAlign w:val="bottom"/>
            <w:tcBorders>
              <w:right w:val="single" w:sz="8" w:color="9EACCA"/>
            </w:tcBorders>
            <w:gridSpan w:val="4"/>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Former President and CEO, Willow </w:t>
            </w:r>
            <w:r>
              <w:rPr>
                <w:rFonts w:ascii="Arial" w:cs="Arial" w:eastAsia="Arial" w:hAnsi="Arial"/>
                <w:sz w:val="28"/>
                <w:szCs w:val="28"/>
                <w:color w:val="auto"/>
                <w:vertAlign w:val="superscript"/>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88"/>
              </w:rPr>
              <w:t>I</w:t>
            </w:r>
          </w:p>
        </w:tc>
        <w:tc>
          <w:tcPr>
            <w:tcW w:w="120" w:type="dxa"/>
            <w:vAlign w:val="bottom"/>
            <w:tcBorders>
              <w:right w:val="single" w:sz="8" w:color="9EACCA"/>
            </w:tcBorders>
          </w:tcPr>
          <w:p>
            <w:pPr>
              <w:ind w:left="20"/>
              <w:spacing w:after="0"/>
              <w:rPr>
                <w:sz w:val="20"/>
                <w:szCs w:val="20"/>
                <w:color w:val="auto"/>
              </w:rPr>
            </w:pPr>
            <w:r>
              <w:rPr>
                <w:rFonts w:ascii="Arial" w:cs="Arial" w:eastAsia="Arial" w:hAnsi="Arial"/>
                <w:sz w:val="16"/>
                <w:szCs w:val="16"/>
                <w:color w:val="auto"/>
              </w:rPr>
              <w:t>​</w:t>
            </w:r>
          </w:p>
        </w:tc>
        <w:tc>
          <w:tcPr>
            <w:tcW w:w="1980" w:type="dxa"/>
            <w:vAlign w:val="bottom"/>
            <w:gridSpan w:val="3"/>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Audit Committee</w:t>
            </w:r>
          </w:p>
        </w:tc>
        <w:tc>
          <w:tcPr>
            <w:tcW w:w="120" w:type="dxa"/>
            <w:vAlign w:val="bottom"/>
            <w:tcBorders>
              <w:right w:val="single" w:sz="8" w:color="3C5896"/>
            </w:tcBorders>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680" w:type="dxa"/>
            <w:vAlign w:val="bottom"/>
            <w:tcBorders>
              <w:left w:val="single" w:sz="8" w:color="3C5896"/>
            </w:tcBorders>
            <w:gridSpan w:val="3"/>
            <w:shd w:val="clear" w:color="auto" w:fill="CCCCCC"/>
          </w:tcPr>
          <w:p>
            <w:pPr>
              <w:ind w:left="20"/>
              <w:spacing w:after="0"/>
              <w:rPr>
                <w:sz w:val="20"/>
                <w:szCs w:val="20"/>
                <w:color w:val="auto"/>
              </w:rPr>
            </w:pPr>
            <w:r>
              <w:rPr>
                <w:rFonts w:ascii="Arial" w:cs="Arial" w:eastAsia="Arial" w:hAnsi="Arial"/>
                <w:sz w:val="16"/>
                <w:szCs w:val="16"/>
                <w:color w:val="auto"/>
              </w:rPr>
              <w:t>​Thomas V. Taylor, Jr.</w:t>
            </w:r>
          </w:p>
        </w:tc>
        <w:tc>
          <w:tcPr>
            <w:tcW w:w="140" w:type="dxa"/>
            <w:vAlign w:val="bottom"/>
            <w:tcBorders>
              <w:right w:val="single" w:sz="8" w:color="9EACCA"/>
            </w:tcBorders>
            <w:shd w:val="clear" w:color="auto" w:fill="CCCCCC"/>
          </w:tcPr>
          <w:p>
            <w:pPr>
              <w:ind w:lef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56</w:t>
            </w:r>
          </w:p>
        </w:tc>
        <w:tc>
          <w:tcPr>
            <w:tcW w:w="160" w:type="dxa"/>
            <w:vAlign w:val="bottom"/>
            <w:tcBorders>
              <w:right w:val="single" w:sz="8" w:color="9EACCA"/>
            </w:tcBorders>
            <w:shd w:val="clear" w:color="auto" w:fill="CCCCCC"/>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CCCC"/>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2018</w:t>
            </w:r>
          </w:p>
        </w:tc>
        <w:tc>
          <w:tcPr>
            <w:tcW w:w="120" w:type="dxa"/>
            <w:vAlign w:val="bottom"/>
            <w:tcBorders>
              <w:right w:val="single" w:sz="8" w:color="9EACCA"/>
            </w:tcBorders>
            <w:shd w:val="clear" w:color="auto" w:fill="CCCCCC"/>
          </w:tcPr>
          <w:p>
            <w:pPr>
              <w:ind w:left="40"/>
              <w:spacing w:after="0"/>
              <w:rPr>
                <w:sz w:val="20"/>
                <w:szCs w:val="20"/>
                <w:color w:val="auto"/>
              </w:rPr>
            </w:pPr>
            <w:r>
              <w:rPr>
                <w:rFonts w:ascii="Arial" w:cs="Arial" w:eastAsia="Arial" w:hAnsi="Arial"/>
                <w:sz w:val="16"/>
                <w:szCs w:val="16"/>
                <w:color w:val="auto"/>
              </w:rPr>
              <w:t>​</w:t>
            </w:r>
          </w:p>
        </w:tc>
        <w:tc>
          <w:tcPr>
            <w:tcW w:w="2600" w:type="dxa"/>
            <w:vAlign w:val="bottom"/>
            <w:gridSpan w:val="3"/>
            <w:shd w:val="clear" w:color="auto" w:fill="CCCCCC"/>
          </w:tcPr>
          <w:p>
            <w:pPr>
              <w:spacing w:after="0"/>
              <w:rPr>
                <w:sz w:val="20"/>
                <w:szCs w:val="20"/>
                <w:color w:val="auto"/>
              </w:rPr>
            </w:pPr>
            <w:r>
              <w:rPr>
                <w:rFonts w:ascii="Arial" w:cs="Arial" w:eastAsia="Arial" w:hAnsi="Arial"/>
                <w:sz w:val="16"/>
                <w:szCs w:val="16"/>
                <w:color w:val="auto"/>
              </w:rPr>
              <w:t>​ CEO, Floor &amp; Decor</w:t>
            </w:r>
          </w:p>
        </w:tc>
        <w:tc>
          <w:tcPr>
            <w:tcW w:w="140" w:type="dxa"/>
            <w:vAlign w:val="bottom"/>
            <w:tcBorders>
              <w:right w:val="single" w:sz="8" w:color="9EACCA"/>
            </w:tcBorders>
            <w:shd w:val="clear" w:color="auto" w:fill="CCCCCC"/>
          </w:tcPr>
          <w:p>
            <w:pPr>
              <w:ind w:lef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89"/>
              </w:rPr>
              <w:t>III</w:t>
            </w:r>
          </w:p>
        </w:tc>
        <w:tc>
          <w:tcPr>
            <w:tcW w:w="120" w:type="dxa"/>
            <w:vAlign w:val="bottom"/>
            <w:tcBorders>
              <w:right w:val="single" w:sz="8" w:color="9EACCA"/>
            </w:tcBorders>
            <w:shd w:val="clear" w:color="auto" w:fill="CCCCCC"/>
          </w:tcPr>
          <w:p>
            <w:pPr>
              <w:ind w:left="20"/>
              <w:spacing w:after="0"/>
              <w:rPr>
                <w:sz w:val="20"/>
                <w:szCs w:val="20"/>
                <w:color w:val="auto"/>
              </w:rPr>
            </w:pPr>
            <w:r>
              <w:rPr>
                <w:rFonts w:ascii="Arial" w:cs="Arial" w:eastAsia="Arial" w:hAnsi="Arial"/>
                <w:sz w:val="16"/>
                <w:szCs w:val="16"/>
                <w:color w:val="auto"/>
              </w:rPr>
              <w:t>​</w:t>
            </w:r>
          </w:p>
        </w:tc>
        <w:tc>
          <w:tcPr>
            <w:tcW w:w="2100" w:type="dxa"/>
            <w:vAlign w:val="bottom"/>
            <w:tcBorders>
              <w:right w:val="single" w:sz="8" w:color="3C5896"/>
            </w:tcBorders>
            <w:gridSpan w:val="4"/>
            <w:shd w:val="clear" w:color="auto" w:fill="CCCCCC"/>
          </w:tcPr>
          <w:p>
            <w:pPr>
              <w:spacing w:after="0"/>
              <w:rPr>
                <w:sz w:val="20"/>
                <w:szCs w:val="20"/>
                <w:color w:val="auto"/>
              </w:rPr>
            </w:pPr>
            <w:r>
              <w:rPr>
                <w:rFonts w:ascii="Arial" w:cs="Arial" w:eastAsia="Arial" w:hAnsi="Arial"/>
                <w:sz w:val="16"/>
                <w:szCs w:val="16"/>
                <w:color w:val="auto"/>
              </w:rPr>
              <w:t>​ Compensation Committee ​</w:t>
            </w:r>
          </w:p>
        </w:tc>
        <w:tc>
          <w:tcPr>
            <w:tcW w:w="0" w:type="dxa"/>
            <w:vAlign w:val="bottom"/>
          </w:tcPr>
          <w:p>
            <w:pPr>
              <w:spacing w:after="0"/>
              <w:rPr>
                <w:sz w:val="1"/>
                <w:szCs w:val="1"/>
                <w:color w:val="auto"/>
              </w:rPr>
            </w:pPr>
          </w:p>
        </w:tc>
      </w:tr>
      <w:tr>
        <w:trPr>
          <w:trHeight w:val="251"/>
        </w:trPr>
        <w:tc>
          <w:tcPr>
            <w:tcW w:w="280" w:type="dxa"/>
            <w:vAlign w:val="bottom"/>
            <w:tcBorders>
              <w:left w:val="single" w:sz="8" w:color="3C5896"/>
              <w:bottom w:val="single" w:sz="8" w:color="CCCCCC"/>
            </w:tcBorders>
            <w:shd w:val="clear" w:color="auto" w:fill="CCCCCC"/>
          </w:tcPr>
          <w:p>
            <w:pPr>
              <w:spacing w:after="0"/>
              <w:rPr>
                <w:sz w:val="21"/>
                <w:szCs w:val="21"/>
                <w:color w:val="auto"/>
              </w:rPr>
            </w:pPr>
          </w:p>
        </w:tc>
        <w:tc>
          <w:tcPr>
            <w:tcW w:w="1160" w:type="dxa"/>
            <w:vAlign w:val="bottom"/>
            <w:tcBorders>
              <w:bottom w:val="single" w:sz="8" w:color="CCCCCC"/>
            </w:tcBorders>
            <w:shd w:val="clear" w:color="auto" w:fill="CCCCCC"/>
          </w:tcPr>
          <w:p>
            <w:pPr>
              <w:spacing w:after="0"/>
              <w:rPr>
                <w:sz w:val="21"/>
                <w:szCs w:val="21"/>
                <w:color w:val="auto"/>
              </w:rPr>
            </w:pPr>
          </w:p>
        </w:tc>
        <w:tc>
          <w:tcPr>
            <w:tcW w:w="240" w:type="dxa"/>
            <w:vAlign w:val="bottom"/>
            <w:tcBorders>
              <w:bottom w:val="single" w:sz="8" w:color="CCCCCC"/>
            </w:tcBorders>
            <w:shd w:val="clear" w:color="auto" w:fill="CCCCCC"/>
          </w:tcPr>
          <w:p>
            <w:pPr>
              <w:spacing w:after="0"/>
              <w:rPr>
                <w:sz w:val="21"/>
                <w:szCs w:val="21"/>
                <w:color w:val="auto"/>
              </w:rPr>
            </w:pPr>
          </w:p>
        </w:tc>
        <w:tc>
          <w:tcPr>
            <w:tcW w:w="14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480" w:type="dxa"/>
            <w:vAlign w:val="bottom"/>
            <w:tcBorders>
              <w:bottom w:val="single" w:sz="8" w:color="CCCCCC"/>
            </w:tcBorders>
            <w:shd w:val="clear" w:color="auto" w:fill="CCCCCC"/>
          </w:tcPr>
          <w:p>
            <w:pPr>
              <w:spacing w:after="0"/>
              <w:rPr>
                <w:sz w:val="21"/>
                <w:szCs w:val="21"/>
                <w:color w:val="auto"/>
              </w:rPr>
            </w:pPr>
          </w:p>
        </w:tc>
        <w:tc>
          <w:tcPr>
            <w:tcW w:w="160" w:type="dxa"/>
            <w:vAlign w:val="bottom"/>
            <w:tcBorders>
              <w:bottom w:val="single" w:sz="8" w:color="CCCCCC"/>
              <w:right w:val="single" w:sz="8" w:color="9EACCA"/>
            </w:tcBorders>
            <w:shd w:val="clear" w:color="auto" w:fill="CCCCCC"/>
          </w:tcPr>
          <w:p>
            <w:pPr>
              <w:spacing w:after="0"/>
              <w:rPr>
                <w:sz w:val="21"/>
                <w:szCs w:val="21"/>
                <w:color w:val="auto"/>
              </w:rPr>
            </w:pPr>
          </w:p>
        </w:tc>
        <w:tc>
          <w:tcPr>
            <w:tcW w:w="60" w:type="dxa"/>
            <w:vAlign w:val="bottom"/>
            <w:tcBorders>
              <w:bottom w:val="single" w:sz="8" w:color="CCCCCC"/>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640" w:type="dxa"/>
            <w:vAlign w:val="bottom"/>
            <w:tcBorders>
              <w:bottom w:val="single" w:sz="8" w:color="CCCCCC"/>
            </w:tcBorders>
            <w:shd w:val="clear" w:color="auto" w:fill="CCCCCC"/>
          </w:tcPr>
          <w:p>
            <w:pPr>
              <w:spacing w:after="0"/>
              <w:rPr>
                <w:sz w:val="21"/>
                <w:szCs w:val="21"/>
                <w:color w:val="auto"/>
              </w:rPr>
            </w:pPr>
          </w:p>
        </w:tc>
        <w:tc>
          <w:tcPr>
            <w:tcW w:w="12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640" w:type="dxa"/>
            <w:vAlign w:val="bottom"/>
            <w:tcBorders>
              <w:bottom w:val="single" w:sz="8" w:color="CCCCCC"/>
            </w:tcBorders>
            <w:shd w:val="clear" w:color="auto" w:fill="CCCCCC"/>
          </w:tcPr>
          <w:p>
            <w:pPr>
              <w:spacing w:after="0"/>
              <w:rPr>
                <w:sz w:val="21"/>
                <w:szCs w:val="21"/>
                <w:color w:val="auto"/>
              </w:rPr>
            </w:pPr>
          </w:p>
        </w:tc>
        <w:tc>
          <w:tcPr>
            <w:tcW w:w="1880" w:type="dxa"/>
            <w:vAlign w:val="bottom"/>
            <w:tcBorders>
              <w:bottom w:val="single" w:sz="8" w:color="CCCCCC"/>
            </w:tcBorders>
            <w:shd w:val="clear" w:color="auto" w:fill="CCCCCC"/>
          </w:tcPr>
          <w:p>
            <w:pPr>
              <w:spacing w:after="0"/>
              <w:rPr>
                <w:sz w:val="21"/>
                <w:szCs w:val="21"/>
                <w:color w:val="auto"/>
              </w:rPr>
            </w:pPr>
          </w:p>
        </w:tc>
        <w:tc>
          <w:tcPr>
            <w:tcW w:w="14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720" w:type="dxa"/>
            <w:vAlign w:val="bottom"/>
            <w:tcBorders>
              <w:bottom w:val="single" w:sz="8" w:color="CCCCCC"/>
            </w:tcBorders>
            <w:shd w:val="clear" w:color="auto" w:fill="CCCCCC"/>
          </w:tcPr>
          <w:p>
            <w:pPr>
              <w:spacing w:after="0"/>
              <w:rPr>
                <w:sz w:val="21"/>
                <w:szCs w:val="21"/>
                <w:color w:val="auto"/>
              </w:rPr>
            </w:pPr>
          </w:p>
        </w:tc>
        <w:tc>
          <w:tcPr>
            <w:tcW w:w="120" w:type="dxa"/>
            <w:vAlign w:val="bottom"/>
            <w:tcBorders>
              <w:bottom w:val="single" w:sz="8" w:color="CCCCCC"/>
              <w:right w:val="single" w:sz="8" w:color="9EACCA"/>
            </w:tcBorders>
            <w:shd w:val="clear" w:color="auto" w:fill="CCCCCC"/>
          </w:tcPr>
          <w:p>
            <w:pPr>
              <w:spacing w:after="0"/>
              <w:rPr>
                <w:sz w:val="21"/>
                <w:szCs w:val="21"/>
                <w:color w:val="auto"/>
              </w:rPr>
            </w:pPr>
          </w:p>
        </w:tc>
        <w:tc>
          <w:tcPr>
            <w:tcW w:w="80" w:type="dxa"/>
            <w:vAlign w:val="bottom"/>
            <w:tcBorders>
              <w:bottom w:val="single" w:sz="8" w:color="CCCCCC"/>
            </w:tcBorders>
            <w:shd w:val="clear" w:color="auto" w:fill="CCCCCC"/>
          </w:tcPr>
          <w:p>
            <w:pPr>
              <w:spacing w:after="0"/>
              <w:rPr>
                <w:sz w:val="21"/>
                <w:szCs w:val="21"/>
                <w:color w:val="auto"/>
              </w:rPr>
            </w:pPr>
          </w:p>
        </w:tc>
        <w:tc>
          <w:tcPr>
            <w:tcW w:w="1900" w:type="dxa"/>
            <w:vAlign w:val="bottom"/>
            <w:tcBorders>
              <w:bottom w:val="single" w:sz="8" w:color="CCCCCC"/>
            </w:tcBorders>
            <w:gridSpan w:val="2"/>
            <w:shd w:val="clear" w:color="auto" w:fill="CCCCCC"/>
          </w:tcPr>
          <w:p>
            <w:pPr>
              <w:spacing w:after="0"/>
              <w:rPr>
                <w:sz w:val="20"/>
                <w:szCs w:val="20"/>
                <w:color w:val="auto"/>
              </w:rPr>
            </w:pPr>
            <w:r>
              <w:rPr>
                <w:rFonts w:ascii="Arial" w:cs="Arial" w:eastAsia="Arial" w:hAnsi="Arial"/>
                <w:sz w:val="16"/>
                <w:szCs w:val="16"/>
                <w:color w:val="auto"/>
              </w:rPr>
              <w:t>(Chair)</w:t>
            </w:r>
          </w:p>
        </w:tc>
        <w:tc>
          <w:tcPr>
            <w:tcW w:w="120" w:type="dxa"/>
            <w:vAlign w:val="bottom"/>
            <w:tcBorders>
              <w:bottom w:val="single" w:sz="8" w:color="CCCCCC"/>
              <w:right w:val="single" w:sz="8" w:color="3C5896"/>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3C5896"/>
              <w:bottom w:val="single" w:sz="8" w:color="3C5896"/>
            </w:tcBorders>
            <w:gridSpan w:val="2"/>
          </w:tcPr>
          <w:p>
            <w:pPr>
              <w:ind w:left="2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David M. Tehle</w:t>
            </w:r>
          </w:p>
        </w:tc>
        <w:tc>
          <w:tcPr>
            <w:tcW w:w="240" w:type="dxa"/>
            <w:vAlign w:val="bottom"/>
            <w:tcBorders>
              <w:bottom w:val="single" w:sz="8" w:color="3C5896"/>
            </w:tcBorders>
          </w:tcPr>
          <w:p>
            <w:pPr>
              <w:spacing w:after="0"/>
              <w:rPr>
                <w:sz w:val="19"/>
                <w:szCs w:val="19"/>
                <w:color w:val="auto"/>
              </w:rPr>
            </w:pPr>
          </w:p>
        </w:tc>
        <w:tc>
          <w:tcPr>
            <w:tcW w:w="140" w:type="dxa"/>
            <w:vAlign w:val="bottom"/>
            <w:tcBorders>
              <w:bottom w:val="single" w:sz="8" w:color="3C5896"/>
              <w:right w:val="single" w:sz="8" w:color="9EACCA"/>
            </w:tcBorders>
          </w:tcPr>
          <w:p>
            <w:pPr>
              <w:ind w:lef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C5896"/>
            </w:tcBorders>
          </w:tcPr>
          <w:p>
            <w:pPr>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3C5896"/>
            </w:tcBorders>
          </w:tcPr>
          <w:p>
            <w:pPr>
              <w:jc w:val="right"/>
              <w:ind w:right="39"/>
              <w:spacing w:after="0"/>
              <w:rPr>
                <w:sz w:val="20"/>
                <w:szCs w:val="20"/>
                <w:color w:val="auto"/>
              </w:rPr>
            </w:pPr>
            <w:r>
              <w:rPr>
                <w:rFonts w:ascii="Arial" w:cs="Arial" w:eastAsia="Arial" w:hAnsi="Arial"/>
                <w:sz w:val="16"/>
                <w:szCs w:val="16"/>
                <w:color w:val="auto"/>
              </w:rPr>
              <w:t>65</w:t>
            </w:r>
          </w:p>
        </w:tc>
        <w:tc>
          <w:tcPr>
            <w:tcW w:w="160" w:type="dxa"/>
            <w:vAlign w:val="bottom"/>
            <w:tcBorders>
              <w:bottom w:val="single" w:sz="8" w:color="3C5896"/>
              <w:right w:val="single" w:sz="8" w:color="9EACCA"/>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3C5896"/>
            </w:tcBorders>
            <w:gridSpan w:val="2"/>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3C5896"/>
            </w:tcBorders>
          </w:tcPr>
          <w:p>
            <w:pPr>
              <w:jc w:val="center"/>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3C5896"/>
              <w:right w:val="single" w:sz="8" w:color="9EACCA"/>
            </w:tcBorders>
          </w:tcPr>
          <w:p>
            <w:pPr>
              <w:ind w:left="40"/>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3C5896"/>
            </w:tcBorders>
            <w:gridSpan w:val="3"/>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Retired CFO, Dollar General</w:t>
            </w:r>
          </w:p>
        </w:tc>
        <w:tc>
          <w:tcPr>
            <w:tcW w:w="140" w:type="dxa"/>
            <w:vAlign w:val="bottom"/>
            <w:tcBorders>
              <w:bottom w:val="single" w:sz="8" w:color="3C5896"/>
              <w:right w:val="single" w:sz="8" w:color="9EACCA"/>
            </w:tcBorders>
          </w:tcPr>
          <w:p>
            <w:pPr>
              <w:ind w:lef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C5896"/>
            </w:tcBorders>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3C5896"/>
            </w:tcBorders>
          </w:tcPr>
          <w:p>
            <w:pPr>
              <w:jc w:val="center"/>
              <w:spacing w:after="0"/>
              <w:rPr>
                <w:sz w:val="20"/>
                <w:szCs w:val="20"/>
                <w:color w:val="auto"/>
              </w:rPr>
            </w:pPr>
            <w:r>
              <w:rPr>
                <w:rFonts w:ascii="Arial" w:cs="Arial" w:eastAsia="Arial" w:hAnsi="Arial"/>
                <w:sz w:val="16"/>
                <w:szCs w:val="16"/>
                <w:color w:val="auto"/>
                <w:w w:val="89"/>
              </w:rPr>
              <w:t>III</w:t>
            </w:r>
          </w:p>
        </w:tc>
        <w:tc>
          <w:tcPr>
            <w:tcW w:w="120" w:type="dxa"/>
            <w:vAlign w:val="bottom"/>
            <w:tcBorders>
              <w:bottom w:val="single" w:sz="8" w:color="3C5896"/>
              <w:right w:val="single" w:sz="8" w:color="9EACCA"/>
            </w:tcBorders>
          </w:tcPr>
          <w:p>
            <w:pPr>
              <w:ind w:left="2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3C5896"/>
            </w:tcBorders>
            <w:gridSpan w:val="3"/>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Audit Committee (Chair)</w:t>
            </w:r>
          </w:p>
        </w:tc>
        <w:tc>
          <w:tcPr>
            <w:tcW w:w="120" w:type="dxa"/>
            <w:vAlign w:val="bottom"/>
            <w:tcBorders>
              <w:bottom w:val="single" w:sz="8" w:color="3C5896"/>
              <w:right w:val="single" w:sz="8" w:color="3C5896"/>
            </w:tcBorders>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1040" w:right="760" w:hanging="278"/>
        <w:spacing w:after="0" w:line="266" w:lineRule="auto"/>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At the 2021 annual meeting, stockholders approved an amendment to our certificate of incorporation to phase out the classified structure of the Board. Under the prior classified structure, our Board included three directors in Class I (Mr. Fahs, Ms. Johnson and Ms. Kelman), three directors in Class II (Messrs. Armario and Peeler and Ms. Cianfrocco), and three directors in Class III (Messrs. Tehle and Taylor and Ms. Hepner). Beginning with this Annual Meeting, the Class II directors are standing for re-election for one-year terms and one class of directors will stand for election at each annual meeting of stockholders for a one-year term until our prior classified structure is phased out. By the 2024 annual meeting, the Board will be completely declassified and all directors will stand for election annually.</w:t>
      </w:r>
    </w:p>
    <w:p>
      <w:pPr>
        <w:spacing w:after="0" w:line="36" w:lineRule="exact"/>
        <w:rPr>
          <w:rFonts w:ascii="Arial" w:cs="Arial" w:eastAsia="Arial" w:hAnsi="Arial"/>
          <w:sz w:val="14"/>
          <w:szCs w:val="14"/>
          <w:color w:val="auto"/>
        </w:rPr>
      </w:pPr>
    </w:p>
    <w:p>
      <w:pPr>
        <w:ind w:left="1040" w:hanging="278"/>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directors are independent, except for Mr. Fahs.</w:t>
      </w:r>
    </w:p>
    <w:p>
      <w:pPr>
        <w:spacing w:after="0" w:line="82" w:lineRule="exact"/>
        <w:rPr>
          <w:rFonts w:ascii="Arial" w:cs="Arial" w:eastAsia="Arial" w:hAnsi="Arial"/>
          <w:sz w:val="14"/>
          <w:szCs w:val="14"/>
          <w:color w:val="auto"/>
        </w:rPr>
      </w:pPr>
    </w:p>
    <w:p>
      <w:pPr>
        <w:ind w:left="1040" w:hanging="278"/>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Peeler serves as the independent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469265</wp:posOffset>
            </wp:positionV>
            <wp:extent cx="29972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40" w:type="dxa"/>
            <w:vAlign w:val="bottom"/>
          </w:tcPr>
          <w:p>
            <w:pPr>
              <w:ind w:left="7440"/>
              <w:spacing w:after="0"/>
              <w:rPr>
                <w:sz w:val="20"/>
                <w:szCs w:val="20"/>
                <w:color w:val="auto"/>
              </w:rPr>
            </w:pPr>
            <w:r>
              <w:rPr>
                <w:rFonts w:ascii="Arial" w:cs="Arial" w:eastAsia="Arial" w:hAnsi="Arial"/>
                <w:sz w:val="16"/>
                <w:szCs w:val="16"/>
                <w:color w:val="auto"/>
              </w:rPr>
              <w:t>2022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5</w:t>
            </w:r>
          </w:p>
        </w:tc>
      </w:tr>
      <w:tr>
        <w:trPr>
          <w:trHeight w:val="406"/>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2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The fundamental duty of the Board is to oversee the Company’s strategy and the long-term interests of its stockholders. The following snapshots provide summary information about our Board and the range of backgrounds and skills of the directors that allow for their sound and prudent guidance. Additionally, the following provides diversity information for the members of our Board on an aggregate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81280</wp:posOffset>
            </wp:positionV>
            <wp:extent cx="5829300" cy="4732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473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  </w:t>
      </w:r>
      <w:r>
        <w:rPr>
          <w:sz w:val="1"/>
          <w:szCs w:val="1"/>
          <w:color w:val="auto"/>
        </w:rPr>
        <w:drawing>
          <wp:inline distT="0" distB="0" distL="0" distR="0">
            <wp:extent cx="299720" cy="2400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FFFFFF"/>
        </w:rPr>
        <w:t>PROXY STATEMENT SUMMARY​</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CORPORATE RESPONSIBILITY &amp;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82" w:lineRule="exact"/>
        <w:rPr>
          <w:sz w:val="20"/>
          <w:szCs w:val="20"/>
          <w:color w:val="auto"/>
        </w:rPr>
      </w:pPr>
    </w:p>
    <w:p>
      <w:pPr>
        <w:jc w:val="both"/>
        <w:ind w:left="760" w:right="760"/>
        <w:spacing w:after="0" w:line="230" w:lineRule="auto"/>
        <w:rPr>
          <w:sz w:val="20"/>
          <w:szCs w:val="20"/>
          <w:color w:val="auto"/>
        </w:rPr>
      </w:pPr>
      <w:r>
        <w:rPr>
          <w:rFonts w:ascii="Arial" w:cs="Arial" w:eastAsia="Arial" w:hAnsi="Arial"/>
          <w:sz w:val="18"/>
          <w:szCs w:val="18"/>
          <w:color w:val="auto"/>
        </w:rPr>
        <w:t>Corporate Responsibility is foundational to who we are as a company, including our commitment to balancing the social, economic, human capital management and environmental aspects of our business. In October 2021, we achieved a significant milestone with the publication of our first-ever Corporate Responsibility Report for fiscal year 2020 detailing our corporate responsibility framework of social, employees, environment and governance (SEE+G) and our key focus areas to create positive impacts in our local and global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85090</wp:posOffset>
            </wp:positionV>
            <wp:extent cx="5820410" cy="2322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041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760" w:right="760"/>
        <w:spacing w:after="0" w:line="227" w:lineRule="auto"/>
        <w:rPr>
          <w:sz w:val="20"/>
          <w:szCs w:val="20"/>
          <w:color w:val="auto"/>
        </w:rPr>
      </w:pPr>
      <w:r>
        <w:rPr>
          <w:rFonts w:ascii="Arial" w:cs="Arial" w:eastAsia="Arial" w:hAnsi="Arial"/>
          <w:sz w:val="18"/>
          <w:szCs w:val="18"/>
          <w:color w:val="auto"/>
        </w:rPr>
        <w:t>With an inclusive and people-first culture, we have taken meaningful steps to foster, celebrate and respect our associates’ diverse backgrounds, empower, reward and develop our associates and aim to give back to the communities in which we serve. Our human capital initiatives are focused on attracting highly qualified individuals and providing them with continued opportunities for growth and development in a diverse, equitable and inclusive work environment. Our long-standing commitment to diversity is embodied by the fact that National Vision is a majority minority company with Black, Indigenous, and People of Color (“BIPOC”) individuals representing the majority of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3368040</wp:posOffset>
            </wp:positionV>
            <wp:extent cx="29972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40" w:type="dxa"/>
            <w:vAlign w:val="bottom"/>
          </w:tcPr>
          <w:p>
            <w:pPr>
              <w:ind w:left="7440"/>
              <w:spacing w:after="0"/>
              <w:rPr>
                <w:sz w:val="20"/>
                <w:szCs w:val="20"/>
                <w:color w:val="auto"/>
              </w:rPr>
            </w:pPr>
            <w:r>
              <w:rPr>
                <w:rFonts w:ascii="Arial" w:cs="Arial" w:eastAsia="Arial" w:hAnsi="Arial"/>
                <w:sz w:val="16"/>
                <w:szCs w:val="16"/>
                <w:color w:val="auto"/>
              </w:rPr>
              <w:t>2022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7</w:t>
            </w:r>
          </w:p>
        </w:tc>
      </w:tr>
      <w:tr>
        <w:trPr>
          <w:trHeight w:val="406"/>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PROXY STATEMENT SUMMARY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also strive to help people with the greatest of needs in a variety of ways, including providing free eye exams and</w:t>
      </w:r>
    </w:p>
    <w:p>
      <w:pPr>
        <w:spacing w:after="0" w:line="25" w:lineRule="exact"/>
        <w:rPr>
          <w:sz w:val="20"/>
          <w:szCs w:val="20"/>
          <w:color w:val="auto"/>
        </w:rPr>
      </w:pPr>
    </w:p>
    <w:p>
      <w:pPr>
        <w:jc w:val="both"/>
        <w:ind w:left="760"/>
        <w:spacing w:after="0" w:line="226" w:lineRule="auto"/>
        <w:rPr>
          <w:sz w:val="20"/>
          <w:szCs w:val="20"/>
          <w:color w:val="auto"/>
        </w:rPr>
      </w:pPr>
      <w:r>
        <w:rPr>
          <w:rFonts w:ascii="Arial" w:cs="Arial" w:eastAsia="Arial" w:hAnsi="Arial"/>
          <w:sz w:val="18"/>
          <w:szCs w:val="18"/>
          <w:color w:val="auto"/>
        </w:rPr>
        <w:t>glasses to those for whom even our low-cost products are unaffordable. On a broader national and international scale, we have contributed both financially and operationally to a wide variety of efforts to help those in need</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throughout America and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109220</wp:posOffset>
            </wp:positionV>
            <wp:extent cx="5760720" cy="28803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See Corporate Responsibility and Human Capital Management on pages </w:t>
      </w:r>
      <w:r>
        <w:rPr>
          <w:rFonts w:ascii="Arial" w:cs="Arial" w:eastAsia="Arial" w:hAnsi="Arial"/>
          <w:sz w:val="18"/>
          <w:szCs w:val="18"/>
          <w:u w:val="single" w:color="auto"/>
          <w:color w:val="0000EE"/>
        </w:rPr>
        <w:t>22</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23</w:t>
      </w:r>
      <w:r>
        <w:rPr>
          <w:rFonts w:ascii="Arial" w:cs="Arial" w:eastAsia="Arial" w:hAnsi="Arial"/>
          <w:sz w:val="18"/>
          <w:szCs w:val="18"/>
          <w:color w:val="auto"/>
        </w:rPr>
        <w:t>, respectively, for more details.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23"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We strive to create an executive compensation program that strikes the right balance of pay for performance with an overarching goal to motivate our leaders to contribute to the achievement of our financial goals and focus on long-term value for our stockholders without taking undue risk. Our executive compensation program has three main components: (1) base salary; (2) annual cash incentive compensation; and (3) long-term incentive awards. Each component is designed to be consistent with the Company’s compensation philosophy.</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and governance practices that support these principles include the following:</w:t>
      </w:r>
    </w:p>
    <w:p>
      <w:pPr>
        <w:sectPr>
          <w:pgSz w:w="11900" w:h="16838" w:orient="portrait"/>
          <w:cols w:equalWidth="0" w:num="1">
            <w:col w:w="9960"/>
          </w:cols>
          <w:pgMar w:left="580" w:top="97" w:right="1359" w:bottom="1440" w:gutter="0" w:footer="0" w:header="0"/>
        </w:sectPr>
      </w:pPr>
    </w:p>
    <w:p>
      <w:pPr>
        <w:spacing w:after="0" w:line="30"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FFFFFF"/>
          <w:vertAlign w:val="subscript"/>
        </w:rPr>
        <w:t>​</w:t>
      </w: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-170180</wp:posOffset>
            </wp:positionV>
            <wp:extent cx="5837555" cy="2451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37555" cy="2451735"/>
                    </a:xfrm>
                    <a:prstGeom prst="rect">
                      <a:avLst/>
                    </a:prstGeom>
                    <a:noFill/>
                  </pic:spPr>
                </pic:pic>
              </a:graphicData>
            </a:graphic>
          </wp:anchor>
        </w:drawing>
      </w:r>
    </w:p>
    <w:p>
      <w:pPr>
        <w:ind w:left="1000" w:hanging="224"/>
        <w:spacing w:after="0" w:line="290" w:lineRule="exact"/>
        <w:tabs>
          <w:tab w:leader="none" w:pos="1000" w:val="left"/>
        </w:tabs>
        <w:numPr>
          <w:ilvl w:val="0"/>
          <w:numId w:val="12"/>
        </w:numPr>
        <w:rPr>
          <w:rFonts w:ascii="Arial" w:cs="Arial" w:eastAsia="Arial" w:hAnsi="Arial"/>
          <w:sz w:val="33"/>
          <w:szCs w:val="33"/>
          <w:color w:val="auto"/>
          <w:vertAlign w:val="superscript"/>
        </w:rPr>
      </w:pPr>
      <w:r>
        <w:rPr>
          <w:rFonts w:ascii="MS PGothic" w:cs="MS PGothic" w:eastAsia="MS PGothic" w:hAnsi="MS PGothic"/>
          <w:sz w:val="17"/>
          <w:szCs w:val="17"/>
          <w:color w:val="3C5896"/>
        </w:rPr>
        <w:t>✓</w:t>
      </w:r>
      <w:r>
        <w:rPr>
          <w:rFonts w:ascii="Arial" w:cs="Arial" w:eastAsia="Arial" w:hAnsi="Arial"/>
          <w:sz w:val="17"/>
          <w:szCs w:val="17"/>
          <w:color w:val="auto"/>
        </w:rPr>
        <w:t>Pay for performance</w:t>
      </w:r>
    </w:p>
    <w:p>
      <w:pPr>
        <w:spacing w:after="0" w:line="21" w:lineRule="exact"/>
        <w:rPr>
          <w:rFonts w:ascii="Arial" w:cs="Arial" w:eastAsia="Arial" w:hAnsi="Arial"/>
          <w:sz w:val="33"/>
          <w:szCs w:val="33"/>
          <w:color w:val="auto"/>
          <w:vertAlign w:val="superscript"/>
        </w:rPr>
      </w:pPr>
    </w:p>
    <w:p>
      <w:pPr>
        <w:ind w:left="1180" w:right="600" w:hanging="184"/>
        <w:spacing w:after="0" w:line="247" w:lineRule="auto"/>
        <w:tabs>
          <w:tab w:leader="none" w:pos="1180" w:val="left"/>
        </w:tabs>
        <w:numPr>
          <w:ilvl w:val="1"/>
          <w:numId w:val="12"/>
        </w:numPr>
        <w:rPr>
          <w:rFonts w:ascii="MS PGothic" w:cs="MS PGothic" w:eastAsia="MS PGothic" w:hAnsi="MS PGothic"/>
          <w:sz w:val="18"/>
          <w:szCs w:val="18"/>
          <w:color w:val="3C5896"/>
        </w:rPr>
      </w:pPr>
      <w:r>
        <w:rPr>
          <w:rFonts w:ascii="Arial" w:cs="Arial" w:eastAsia="Arial" w:hAnsi="Arial"/>
          <w:sz w:val="18"/>
          <w:szCs w:val="18"/>
          <w:color w:val="auto"/>
        </w:rPr>
        <w:t>Maintain robust stock ownership guidelines for our named executive officers (“NEOs”)</w:t>
      </w:r>
    </w:p>
    <w:p>
      <w:pPr>
        <w:spacing w:after="0" w:line="28" w:lineRule="exact"/>
        <w:rPr>
          <w:rFonts w:ascii="MS PGothic" w:cs="MS PGothic" w:eastAsia="MS PGothic" w:hAnsi="MS PGothic"/>
          <w:sz w:val="18"/>
          <w:szCs w:val="18"/>
          <w:color w:val="3C5896"/>
        </w:rPr>
      </w:pPr>
    </w:p>
    <w:p>
      <w:pPr>
        <w:ind w:left="1180" w:right="420" w:hanging="184"/>
        <w:spacing w:after="0" w:line="264" w:lineRule="auto"/>
        <w:tabs>
          <w:tab w:leader="none" w:pos="1180" w:val="left"/>
        </w:tabs>
        <w:numPr>
          <w:ilvl w:val="1"/>
          <w:numId w:val="12"/>
        </w:numPr>
        <w:rPr>
          <w:rFonts w:ascii="MS PGothic" w:cs="MS PGothic" w:eastAsia="MS PGothic" w:hAnsi="MS PGothic"/>
          <w:sz w:val="17"/>
          <w:szCs w:val="17"/>
          <w:color w:val="3C5896"/>
        </w:rPr>
      </w:pPr>
      <w:r>
        <w:rPr>
          <w:rFonts w:ascii="Arial" w:cs="Arial" w:eastAsia="Arial" w:hAnsi="Arial"/>
          <w:sz w:val="17"/>
          <w:szCs w:val="17"/>
          <w:color w:val="auto"/>
        </w:rPr>
        <w:t>Require our NEOs to retain 50% of vested awards net of tax withholdings until they have met our ownership guidelines</w:t>
      </w:r>
    </w:p>
    <w:p>
      <w:pPr>
        <w:spacing w:after="0" w:line="28" w:lineRule="exact"/>
        <w:rPr>
          <w:rFonts w:ascii="MS PGothic" w:cs="MS PGothic" w:eastAsia="MS PGothic" w:hAnsi="MS PGothic"/>
          <w:sz w:val="17"/>
          <w:szCs w:val="17"/>
          <w:color w:val="3C5896"/>
        </w:rPr>
      </w:pPr>
    </w:p>
    <w:p>
      <w:pPr>
        <w:ind w:left="1180" w:hanging="184"/>
        <w:spacing w:after="0" w:line="257" w:lineRule="auto"/>
        <w:tabs>
          <w:tab w:leader="none" w:pos="1180" w:val="left"/>
        </w:tabs>
        <w:numPr>
          <w:ilvl w:val="1"/>
          <w:numId w:val="12"/>
        </w:numPr>
        <w:rPr>
          <w:rFonts w:ascii="MS PGothic" w:cs="MS PGothic" w:eastAsia="MS PGothic" w:hAnsi="MS PGothic"/>
          <w:sz w:val="18"/>
          <w:szCs w:val="18"/>
          <w:color w:val="3C5896"/>
        </w:rPr>
      </w:pPr>
      <w:r>
        <w:rPr>
          <w:rFonts w:ascii="Arial" w:cs="Arial" w:eastAsia="Arial" w:hAnsi="Arial"/>
          <w:sz w:val="18"/>
          <w:szCs w:val="18"/>
          <w:color w:val="auto"/>
        </w:rPr>
        <w:t>Engage an independent compensation consultant to advise us on matters surrounding our compensation plans</w:t>
      </w:r>
    </w:p>
    <w:p>
      <w:pPr>
        <w:spacing w:after="0" w:line="29" w:lineRule="exact"/>
        <w:rPr>
          <w:rFonts w:ascii="MS PGothic" w:cs="MS PGothic" w:eastAsia="MS PGothic" w:hAnsi="MS PGothic"/>
          <w:sz w:val="18"/>
          <w:szCs w:val="18"/>
          <w:color w:val="3C5896"/>
        </w:rPr>
      </w:pPr>
    </w:p>
    <w:p>
      <w:pPr>
        <w:ind w:left="1180" w:right="200" w:hanging="184"/>
        <w:spacing w:after="0" w:line="257" w:lineRule="auto"/>
        <w:tabs>
          <w:tab w:leader="none" w:pos="1180" w:val="left"/>
        </w:tabs>
        <w:numPr>
          <w:ilvl w:val="1"/>
          <w:numId w:val="12"/>
        </w:numPr>
        <w:rPr>
          <w:rFonts w:ascii="MS PGothic" w:cs="MS PGothic" w:eastAsia="MS PGothic" w:hAnsi="MS PGothic"/>
          <w:sz w:val="18"/>
          <w:szCs w:val="18"/>
          <w:color w:val="3C5896"/>
        </w:rPr>
      </w:pPr>
      <w:r>
        <w:rPr>
          <w:rFonts w:ascii="Arial" w:cs="Arial" w:eastAsia="Arial" w:hAnsi="Arial"/>
          <w:sz w:val="18"/>
          <w:szCs w:val="18"/>
          <w:color w:val="auto"/>
        </w:rPr>
        <w:t>Review our compensation programs annually to prevent undue risk taking</w:t>
      </w:r>
    </w:p>
    <w:p>
      <w:pPr>
        <w:spacing w:after="0" w:line="29" w:lineRule="exact"/>
        <w:rPr>
          <w:rFonts w:ascii="MS PGothic" w:cs="MS PGothic" w:eastAsia="MS PGothic" w:hAnsi="MS PGothic"/>
          <w:sz w:val="18"/>
          <w:szCs w:val="18"/>
          <w:color w:val="3C5896"/>
        </w:rPr>
      </w:pPr>
    </w:p>
    <w:p>
      <w:pPr>
        <w:ind w:left="1180" w:hanging="184"/>
        <w:spacing w:after="0"/>
        <w:tabs>
          <w:tab w:leader="none" w:pos="1180" w:val="left"/>
        </w:tabs>
        <w:numPr>
          <w:ilvl w:val="1"/>
          <w:numId w:val="12"/>
        </w:numPr>
        <w:rPr>
          <w:rFonts w:ascii="MS PGothic" w:cs="MS PGothic" w:eastAsia="MS PGothic" w:hAnsi="MS PGothic"/>
          <w:sz w:val="18"/>
          <w:szCs w:val="18"/>
          <w:color w:val="3C5896"/>
        </w:rPr>
      </w:pPr>
      <w:r>
        <w:rPr>
          <w:rFonts w:ascii="Arial" w:cs="Arial" w:eastAsia="Arial" w:hAnsi="Arial"/>
          <w:sz w:val="18"/>
          <w:szCs w:val="18"/>
          <w:color w:val="auto"/>
        </w:rPr>
        <w:t>Hold an annual say-on-pay vote</w:t>
      </w:r>
    </w:p>
    <w:p>
      <w:pPr>
        <w:spacing w:after="0" w:line="47" w:lineRule="exact"/>
        <w:rPr>
          <w:rFonts w:ascii="MS PGothic" w:cs="MS PGothic" w:eastAsia="MS PGothic" w:hAnsi="MS PGothic"/>
          <w:sz w:val="18"/>
          <w:szCs w:val="18"/>
          <w:color w:val="3C5896"/>
        </w:rPr>
      </w:pPr>
    </w:p>
    <w:p>
      <w:pPr>
        <w:ind w:left="1180" w:right="320" w:hanging="184"/>
        <w:spacing w:after="0" w:line="250" w:lineRule="auto"/>
        <w:tabs>
          <w:tab w:leader="none" w:pos="1180" w:val="left"/>
        </w:tabs>
        <w:numPr>
          <w:ilvl w:val="1"/>
          <w:numId w:val="12"/>
        </w:numPr>
        <w:rPr>
          <w:rFonts w:ascii="MS PGothic" w:cs="MS PGothic" w:eastAsia="MS PGothic" w:hAnsi="MS PGothic"/>
          <w:sz w:val="18"/>
          <w:szCs w:val="18"/>
          <w:color w:val="3C5896"/>
        </w:rPr>
      </w:pPr>
      <w:r>
        <w:rPr>
          <w:rFonts w:ascii="Arial" w:cs="Arial" w:eastAsia="Arial" w:hAnsi="Arial"/>
          <w:sz w:val="18"/>
          <w:szCs w:val="18"/>
          <w:color w:val="auto"/>
        </w:rPr>
        <w:t>Establish target and maximum awards under our annual cash incentive program</w:t>
      </w:r>
    </w:p>
    <w:p>
      <w:pPr>
        <w:spacing w:after="0" w:line="29" w:lineRule="exact"/>
        <w:rPr>
          <w:rFonts w:ascii="MS PGothic" w:cs="MS PGothic" w:eastAsia="MS PGothic" w:hAnsi="MS PGothic"/>
          <w:sz w:val="18"/>
          <w:szCs w:val="18"/>
          <w:color w:val="3C5896"/>
        </w:rPr>
      </w:pPr>
    </w:p>
    <w:p>
      <w:pPr>
        <w:ind w:left="1180" w:hanging="184"/>
        <w:spacing w:after="0"/>
        <w:tabs>
          <w:tab w:leader="none" w:pos="1180" w:val="left"/>
        </w:tabs>
        <w:numPr>
          <w:ilvl w:val="1"/>
          <w:numId w:val="12"/>
        </w:numPr>
        <w:rPr>
          <w:rFonts w:ascii="MS PGothic" w:cs="MS PGothic" w:eastAsia="MS PGothic" w:hAnsi="MS PGothic"/>
          <w:sz w:val="18"/>
          <w:szCs w:val="18"/>
          <w:color w:val="3C5896"/>
        </w:rPr>
      </w:pPr>
      <w:r>
        <w:rPr>
          <w:rFonts w:ascii="Arial" w:cs="Arial" w:eastAsia="Arial" w:hAnsi="Arial"/>
          <w:sz w:val="18"/>
          <w:szCs w:val="18"/>
          <w:color w:val="auto"/>
        </w:rPr>
        <w:t>Maintain an established stockholder engagement program</w:t>
      </w:r>
    </w:p>
    <w:p>
      <w:pPr>
        <w:spacing w:after="0" w:line="49" w:lineRule="exact"/>
        <w:rPr>
          <w:rFonts w:ascii="MS PGothic" w:cs="MS PGothic" w:eastAsia="MS PGothic" w:hAnsi="MS PGothic"/>
          <w:sz w:val="18"/>
          <w:szCs w:val="18"/>
          <w:color w:val="3C5896"/>
        </w:rPr>
      </w:pPr>
    </w:p>
    <w:p>
      <w:pPr>
        <w:ind w:left="1180" w:right="120" w:hanging="184"/>
        <w:spacing w:after="0" w:line="256" w:lineRule="auto"/>
        <w:tabs>
          <w:tab w:leader="none" w:pos="1180" w:val="left"/>
        </w:tabs>
        <w:numPr>
          <w:ilvl w:val="1"/>
          <w:numId w:val="12"/>
        </w:numPr>
        <w:rPr>
          <w:rFonts w:ascii="MS PGothic" w:cs="MS PGothic" w:eastAsia="MS PGothic" w:hAnsi="MS PGothic"/>
          <w:sz w:val="18"/>
          <w:szCs w:val="18"/>
          <w:color w:val="3C5896"/>
        </w:rPr>
      </w:pPr>
      <w:r>
        <w:rPr>
          <w:rFonts w:ascii="Arial" w:cs="Arial" w:eastAsia="Arial" w:hAnsi="Arial"/>
          <w:sz w:val="18"/>
          <w:szCs w:val="18"/>
          <w:color w:val="auto"/>
        </w:rPr>
        <w:t>Require “Double-Trigger” vesting for Change in Control in equity awards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35"/>
          <w:szCs w:val="35"/>
          <w:b w:val="1"/>
          <w:bCs w:val="1"/>
          <w:color w:val="FFFFFF"/>
          <w:vertAlign w:val="subscript"/>
        </w:rPr>
        <w:t>​ ​</w:t>
      </w:r>
      <w:r>
        <w:rPr>
          <w:rFonts w:ascii="Arial" w:cs="Arial" w:eastAsia="Arial" w:hAnsi="Arial"/>
          <w:sz w:val="18"/>
          <w:szCs w:val="18"/>
          <w:b w:val="1"/>
          <w:bCs w:val="1"/>
          <w:color w:val="FFFFFF"/>
        </w:rPr>
        <w:t xml:space="preserve"> What We Don’t Do:</w:t>
      </w:r>
    </w:p>
    <w:p>
      <w:pPr>
        <w:ind w:left="380" w:right="320" w:hanging="561"/>
        <w:spacing w:after="0" w:line="235" w:lineRule="exact"/>
        <w:tabs>
          <w:tab w:leader="none" w:pos="360" w:val="left"/>
        </w:tabs>
        <w:rPr>
          <w:sz w:val="20"/>
          <w:szCs w:val="20"/>
          <w:color w:val="auto"/>
        </w:rPr>
      </w:pPr>
      <w:r>
        <w:rPr>
          <w:rFonts w:ascii="Arial" w:cs="Arial" w:eastAsia="Arial" w:hAnsi="Arial"/>
          <w:sz w:val="35"/>
          <w:szCs w:val="35"/>
          <w:color w:val="auto"/>
          <w:vertAlign w:val="superscript"/>
        </w:rPr>
        <w:t>​ ​</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color w:val="auto"/>
        </w:rPr>
        <w:t>No excise tax gross-ups upon a</w:t>
      </w:r>
      <w:r>
        <w:rPr>
          <w:rFonts w:ascii="MS PGothic" w:cs="MS PGothic" w:eastAsia="MS PGothic" w:hAnsi="MS PGothic"/>
          <w:sz w:val="18"/>
          <w:szCs w:val="18"/>
          <w:color w:val="auto"/>
        </w:rPr>
        <w:t xml:space="preserve"> </w:t>
      </w:r>
      <w:r>
        <w:rPr>
          <w:rFonts w:ascii="Arial" w:cs="Arial" w:eastAsia="Arial" w:hAnsi="Arial"/>
          <w:sz w:val="18"/>
          <w:szCs w:val="18"/>
          <w:color w:val="auto"/>
        </w:rPr>
        <w:t>Change in Control</w:t>
      </w:r>
    </w:p>
    <w:p>
      <w:pPr>
        <w:spacing w:after="0" w:line="39" w:lineRule="exact"/>
        <w:rPr>
          <w:sz w:val="20"/>
          <w:szCs w:val="20"/>
          <w:color w:val="auto"/>
        </w:rPr>
      </w:pPr>
    </w:p>
    <w:p>
      <w:pPr>
        <w:ind w:left="560" w:hanging="185"/>
        <w:spacing w:after="0" w:line="257" w:lineRule="auto"/>
        <w:tabs>
          <w:tab w:leader="none" w:pos="5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No hedging of the Company’s stock by NEOs or directors</w:t>
      </w:r>
    </w:p>
    <w:p>
      <w:pPr>
        <w:spacing w:after="0" w:line="29" w:lineRule="exact"/>
        <w:rPr>
          <w:rFonts w:ascii="MS PGothic" w:cs="MS PGothic" w:eastAsia="MS PGothic" w:hAnsi="MS PGothic"/>
          <w:sz w:val="18"/>
          <w:szCs w:val="18"/>
          <w:color w:val="auto"/>
        </w:rPr>
      </w:pPr>
    </w:p>
    <w:p>
      <w:pPr>
        <w:ind w:left="560" w:right="680" w:hanging="185"/>
        <w:spacing w:after="0" w:line="249" w:lineRule="auto"/>
        <w:tabs>
          <w:tab w:leader="none" w:pos="5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No supplemental executive retirement plans</w:t>
      </w:r>
    </w:p>
    <w:p>
      <w:pPr>
        <w:spacing w:after="0" w:line="29" w:lineRule="exact"/>
        <w:rPr>
          <w:rFonts w:ascii="MS PGothic" w:cs="MS PGothic" w:eastAsia="MS PGothic" w:hAnsi="MS PGothic"/>
          <w:sz w:val="18"/>
          <w:szCs w:val="18"/>
          <w:color w:val="auto"/>
        </w:rPr>
      </w:pPr>
    </w:p>
    <w:p>
      <w:pPr>
        <w:jc w:val="both"/>
        <w:ind w:left="560" w:right="500" w:hanging="185"/>
        <w:spacing w:after="0" w:line="272" w:lineRule="auto"/>
        <w:tabs>
          <w:tab w:leader="none" w:pos="560"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No re-pricing of stock options without stockholder approval</w:t>
      </w:r>
    </w:p>
    <w:p>
      <w:pPr>
        <w:spacing w:after="0" w:line="29" w:lineRule="exact"/>
        <w:rPr>
          <w:rFonts w:ascii="MS PGothic" w:cs="MS PGothic" w:eastAsia="MS PGothic" w:hAnsi="MS PGothic"/>
          <w:sz w:val="17"/>
          <w:szCs w:val="17"/>
          <w:color w:val="auto"/>
        </w:rPr>
      </w:pPr>
    </w:p>
    <w:p>
      <w:pPr>
        <w:ind w:left="560" w:right="580" w:hanging="185"/>
        <w:spacing w:after="0" w:line="271" w:lineRule="auto"/>
        <w:tabs>
          <w:tab w:leader="none" w:pos="5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No significant perquisites for executive officers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rPr>
          <w:sz w:val="20"/>
          <w:szCs w:val="20"/>
          <w:color w:val="auto"/>
        </w:rPr>
      </w:pPr>
      <w:r>
        <w:rPr>
          <w:rFonts w:ascii="Arial" w:cs="Arial" w:eastAsia="Arial" w:hAnsi="Arial"/>
          <w:sz w:val="18"/>
          <w:szCs w:val="18"/>
          <w:color w:val="auto"/>
        </w:rPr>
        <w:t>​</w:t>
      </w:r>
    </w:p>
    <w:p>
      <w:pPr>
        <w:spacing w:after="0" w:line="3566" w:lineRule="exact"/>
        <w:rPr>
          <w:sz w:val="20"/>
          <w:szCs w:val="20"/>
          <w:color w:val="auto"/>
        </w:rPr>
      </w:pPr>
    </w:p>
    <w:p>
      <w:pPr>
        <w:sectPr>
          <w:pgSz w:w="11900" w:h="16838" w:orient="portrait"/>
          <w:cols w:equalWidth="0" w:num="3">
            <w:col w:w="6360" w:space="80"/>
            <w:col w:w="3380" w:space="60"/>
            <w:col w:w="80"/>
          </w:cols>
          <w:pgMar w:left="580" w:top="97" w:right="1359" w:bottom="1440" w:gutter="0" w:footer="0" w:header="0"/>
          <w:type w:val="continuous"/>
        </w:sectPr>
      </w:pPr>
    </w:p>
    <w:p>
      <w:pPr>
        <w:ind w:left="760"/>
        <w:spacing w:after="0"/>
        <w:rPr>
          <w:sz w:val="20"/>
          <w:szCs w:val="20"/>
          <w:color w:val="auto"/>
        </w:rPr>
      </w:pPr>
      <w:r>
        <w:rPr>
          <w:rFonts w:ascii="Arial" w:cs="Arial" w:eastAsia="Arial" w:hAnsi="Arial"/>
          <w:sz w:val="16"/>
          <w:szCs w:val="16"/>
          <w:b w:val="1"/>
          <w:bCs w:val="1"/>
          <w:color w:val="auto"/>
        </w:rPr>
        <w:t xml:space="preserve">8  </w:t>
      </w:r>
      <w:r>
        <w:rPr>
          <w:sz w:val="1"/>
          <w:szCs w:val="1"/>
          <w:color w:val="auto"/>
        </w:rPr>
        <w:drawing>
          <wp:inline distT="0" distB="0" distL="0" distR="0">
            <wp:extent cx="299720" cy="24003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9720"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FFFFFF"/>
        </w:rPr>
        <w:t>PROXY STATEMENT SUMMARY​</w:t>
      </w:r>
    </w:p>
    <w:p>
      <w:pPr>
        <w:spacing w:after="0" w:line="225" w:lineRule="exact"/>
        <w:rPr>
          <w:sz w:val="20"/>
          <w:szCs w:val="20"/>
          <w:color w:val="auto"/>
        </w:rPr>
      </w:pPr>
    </w:p>
    <w:p>
      <w:pPr>
        <w:jc w:val="both"/>
        <w:ind w:left="760" w:right="760"/>
        <w:spacing w:after="0" w:line="262" w:lineRule="auto"/>
        <w:rPr>
          <w:sz w:val="20"/>
          <w:szCs w:val="20"/>
          <w:color w:val="auto"/>
        </w:rPr>
      </w:pPr>
      <w:r>
        <w:rPr>
          <w:rFonts w:ascii="Arial" w:cs="Arial" w:eastAsia="Arial" w:hAnsi="Arial"/>
          <w:sz w:val="18"/>
          <w:szCs w:val="18"/>
          <w:color w:val="auto"/>
        </w:rPr>
        <w:t xml:space="preserve">The discussion beginning on page </w:t>
      </w:r>
      <w:r>
        <w:rPr>
          <w:rFonts w:ascii="Arial" w:cs="Arial" w:eastAsia="Arial" w:hAnsi="Arial"/>
          <w:sz w:val="18"/>
          <w:szCs w:val="18"/>
          <w:u w:val="single" w:color="auto"/>
          <w:color w:val="0000EE"/>
        </w:rPr>
        <w:t>28</w:t>
      </w:r>
      <w:r>
        <w:rPr>
          <w:rFonts w:ascii="Arial" w:cs="Arial" w:eastAsia="Arial" w:hAnsi="Arial"/>
          <w:sz w:val="18"/>
          <w:szCs w:val="18"/>
          <w:color w:val="auto"/>
        </w:rPr>
        <w:t xml:space="preserve"> more fully describes the design and evolution of our executive compensation program, including the Company’s performance for fiscal 2021 and its connection to executive officer compensation as well as certain changes to the Company’s long-term incentive mix for fiscal 2022. See Proposal 2 beginning on page </w:t>
      </w:r>
      <w:r>
        <w:rPr>
          <w:rFonts w:ascii="Arial" w:cs="Arial" w:eastAsia="Arial" w:hAnsi="Arial"/>
          <w:sz w:val="18"/>
          <w:szCs w:val="18"/>
          <w:u w:val="single" w:color="auto"/>
          <w:color w:val="0000EE"/>
        </w:rPr>
        <w:t>27.</w:t>
      </w:r>
    </w:p>
    <w:p>
      <w:pPr>
        <w:spacing w:after="0" w:line="275" w:lineRule="exact"/>
        <w:rPr>
          <w:sz w:val="20"/>
          <w:szCs w:val="20"/>
          <w:color w:val="auto"/>
        </w:rPr>
      </w:pPr>
    </w:p>
    <w:p>
      <w:pPr>
        <w:ind w:left="760" w:right="2200"/>
        <w:spacing w:after="0" w:line="285" w:lineRule="auto"/>
        <w:rPr>
          <w:sz w:val="20"/>
          <w:szCs w:val="20"/>
          <w:color w:val="auto"/>
        </w:rPr>
      </w:pPr>
      <w:r>
        <w:rPr>
          <w:rFonts w:ascii="Arial" w:cs="Arial" w:eastAsia="Arial" w:hAnsi="Arial"/>
          <w:sz w:val="22"/>
          <w:szCs w:val="22"/>
          <w:b w:val="1"/>
          <w:bCs w:val="1"/>
          <w:color w:val="3C5896"/>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-19685</wp:posOffset>
            </wp:positionV>
            <wp:extent cx="58375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04" w:lineRule="exact"/>
        <w:rPr>
          <w:sz w:val="20"/>
          <w:szCs w:val="20"/>
          <w:color w:val="auto"/>
        </w:rPr>
      </w:pPr>
    </w:p>
    <w:p>
      <w:pPr>
        <w:jc w:val="both"/>
        <w:ind w:left="760" w:right="760"/>
        <w:spacing w:after="0" w:line="257" w:lineRule="auto"/>
        <w:rPr>
          <w:sz w:val="20"/>
          <w:szCs w:val="20"/>
          <w:color w:val="auto"/>
        </w:rPr>
      </w:pPr>
      <w:r>
        <w:rPr>
          <w:rFonts w:ascii="Arial" w:cs="Arial" w:eastAsia="Arial" w:hAnsi="Arial"/>
          <w:sz w:val="18"/>
          <w:szCs w:val="18"/>
          <w:color w:val="auto"/>
        </w:rPr>
        <w:t xml:space="preserve">The audit committee of the Board has selected Deloitte &amp; Touche LLP as our independent registered public accounting firm for fiscal 2022. Each year the audit committee evaluates the qualifications and performance of the Company’s independent registered public accountants and determines whether to re-engage the current independent registered public accountants. Based on this evaluation, the audit committee believes the continued retention of Deloitte &amp; Touche LLP is in the best interests of the Company and its stockholders. See Proposal 3 beginning on page </w:t>
      </w:r>
      <w:r>
        <w:rPr>
          <w:rFonts w:ascii="Arial" w:cs="Arial" w:eastAsia="Arial" w:hAnsi="Arial"/>
          <w:sz w:val="18"/>
          <w:szCs w:val="18"/>
          <w:u w:val="single" w:color="auto"/>
          <w:color w:val="0000EE"/>
        </w:rPr>
        <w:t>52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5614035</wp:posOffset>
            </wp:positionV>
            <wp:extent cx="29972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97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40" w:type="dxa"/>
            <w:vAlign w:val="bottom"/>
          </w:tcPr>
          <w:p>
            <w:pPr>
              <w:ind w:left="7440"/>
              <w:spacing w:after="0"/>
              <w:rPr>
                <w:sz w:val="20"/>
                <w:szCs w:val="20"/>
                <w:color w:val="auto"/>
              </w:rPr>
            </w:pPr>
            <w:r>
              <w:rPr>
                <w:rFonts w:ascii="Arial" w:cs="Arial" w:eastAsia="Arial" w:hAnsi="Arial"/>
                <w:sz w:val="16"/>
                <w:szCs w:val="16"/>
                <w:color w:val="auto"/>
              </w:rPr>
              <w:t>2022 Proxy Statement</w:t>
            </w:r>
          </w:p>
        </w:tc>
        <w:tc>
          <w:tcPr>
            <w:tcW w:w="1280" w:type="dxa"/>
            <w:vAlign w:val="bottom"/>
          </w:tcPr>
          <w:p>
            <w:pPr>
              <w:jc w:val="right"/>
              <w:ind w:right="719"/>
              <w:spacing w:after="0"/>
              <w:rPr>
                <w:sz w:val="20"/>
                <w:szCs w:val="20"/>
                <w:color w:val="auto"/>
              </w:rPr>
            </w:pPr>
            <w:r>
              <w:rPr>
                <w:rFonts w:ascii="Arial" w:cs="Arial" w:eastAsia="Arial" w:hAnsi="Arial"/>
                <w:sz w:val="16"/>
                <w:szCs w:val="16"/>
                <w:b w:val="1"/>
                <w:bCs w:val="1"/>
                <w:color w:val="auto"/>
              </w:rPr>
              <w:t>9</w:t>
            </w:r>
          </w:p>
        </w:tc>
      </w:tr>
      <w:tr>
        <w:trPr>
          <w:trHeight w:val="406"/>
        </w:trPr>
        <w:tc>
          <w:tcPr>
            <w:tcW w:w="9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PROXY STATEMENT</w:t>
      </w:r>
    </w:p>
    <w:p>
      <w:pPr>
        <w:spacing w:after="0" w:line="107" w:lineRule="exact"/>
        <w:rPr>
          <w:sz w:val="20"/>
          <w:szCs w:val="20"/>
          <w:color w:val="auto"/>
        </w:rPr>
      </w:pPr>
    </w:p>
    <w:p>
      <w:pPr>
        <w:ind w:left="760"/>
        <w:spacing w:after="0"/>
        <w:rPr>
          <w:sz w:val="20"/>
          <w:szCs w:val="20"/>
          <w:color w:val="auto"/>
        </w:rPr>
      </w:pPr>
      <w:r>
        <w:rPr>
          <w:rFonts w:ascii="Arial" w:cs="Arial" w:eastAsia="Arial" w:hAnsi="Arial"/>
          <w:sz w:val="32"/>
          <w:szCs w:val="32"/>
          <w:color w:val="auto"/>
        </w:rPr>
        <w:t>PROPOSAL NO. 1—ELECTION OF DIRECTORS</w:t>
      </w:r>
    </w:p>
    <w:p>
      <w:pPr>
        <w:sectPr>
          <w:pgSz w:w="11900" w:h="16838" w:orient="portrait"/>
          <w:cols w:equalWidth="0" w:num="1">
            <w:col w:w="9960"/>
          </w:cols>
          <w:pgMar w:left="580" w:top="97" w:right="1359" w:bottom="1440" w:gutter="0" w:footer="0" w:header="0"/>
        </w:sectPr>
      </w:pPr>
    </w:p>
    <w:p>
      <w:pPr>
        <w:spacing w:after="0" w:line="276" w:lineRule="exact"/>
        <w:rPr>
          <w:sz w:val="20"/>
          <w:szCs w:val="20"/>
          <w:color w:val="auto"/>
        </w:rPr>
      </w:pPr>
    </w:p>
    <w:p>
      <w:pPr>
        <w:ind w:left="880" w:hanging="104"/>
        <w:spacing w:after="0" w:line="198" w:lineRule="auto"/>
        <w:tabs>
          <w:tab w:leader="none" w:pos="880" w:val="left"/>
        </w:tabs>
        <w:numPr>
          <w:ilvl w:val="0"/>
          <w:numId w:val="14"/>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 I</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are being asked to elect each of the three director nominees named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to hold office until the 2023 annual meeting and until their respective successors are elected and qualified.</w:t>
      </w:r>
    </w:p>
    <w:p>
      <w:pPr>
        <w:spacing w:after="0" w:line="18" w:lineRule="exact"/>
        <w:rPr>
          <w:rFonts w:ascii="Arial" w:cs="Arial" w:eastAsia="Arial" w:hAnsi="Arial"/>
          <w:sz w:val="36"/>
          <w:szCs w:val="36"/>
          <w:b w:val="1"/>
          <w:bCs w:val="1"/>
          <w:color w:val="auto"/>
          <w:vertAlign w:val="superscript"/>
        </w:rPr>
      </w:pPr>
    </w:p>
    <w:p>
      <w:pPr>
        <w:ind w:left="880" w:hanging="104"/>
        <w:spacing w:after="0" w:line="271" w:lineRule="auto"/>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recommends stockholders vote FOR the election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nominee named in this proxy statement. The nominating and corporate governance committee evaluated and recommended the director nominees in accordance with its charter and our Corporate Governance Guidelines.</w:t>
      </w:r>
    </w:p>
    <w:p>
      <w:pPr>
        <w:spacing w:after="0" w:line="243" w:lineRule="exact"/>
        <w:rPr>
          <w:rFonts w:ascii="Arial" w:cs="Arial" w:eastAsia="Arial" w:hAnsi="Arial"/>
          <w:sz w:val="18"/>
          <w:szCs w:val="18"/>
          <w:b w:val="1"/>
          <w:bCs w:val="1"/>
          <w:color w:val="auto"/>
        </w:rPr>
      </w:pPr>
    </w:p>
    <w:p>
      <w:pPr>
        <w:ind w:left="880" w:right="180" w:hanging="104"/>
        <w:spacing w:after="0" w:line="276" w:lineRule="auto"/>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elected, a director must receive a plurality of the votes cast in respect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in person or represented by proxy at the meeting and entitled to vote on the election of directors, which means that the director nominees with the greatest number of FOR votes cast will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-1537970</wp:posOffset>
            </wp:positionV>
            <wp:extent cx="5837555" cy="1569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37555" cy="1569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97" w:lineRule="exact"/>
        <w:rPr>
          <w:sz w:val="20"/>
          <w:szCs w:val="20"/>
          <w:color w:val="auto"/>
        </w:rPr>
      </w:pPr>
    </w:p>
    <w:p>
      <w:pPr>
        <w:sectPr>
          <w:pgSz w:w="11900" w:h="16838" w:orient="portrait"/>
          <w:cols w:equalWidth="0" w:num="2">
            <w:col w:w="9820" w:space="20"/>
            <w:col w:w="120"/>
          </w:cols>
          <w:pgMar w:left="580" w:top="97" w:right="1359" w:bottom="1440" w:gutter="0" w:footer="0" w:header="0"/>
          <w:type w:val="continuous"/>
        </w:sectPr>
      </w:pPr>
    </w:p>
    <w:p>
      <w:pPr>
        <w:jc w:val="both"/>
        <w:ind w:left="760"/>
        <w:spacing w:after="0" w:line="262" w:lineRule="auto"/>
        <w:rPr>
          <w:sz w:val="20"/>
          <w:szCs w:val="20"/>
          <w:color w:val="auto"/>
        </w:rPr>
      </w:pPr>
      <w:r>
        <w:rPr>
          <w:rFonts w:ascii="Arial" w:cs="Arial" w:eastAsia="Arial" w:hAnsi="Arial"/>
          <w:sz w:val="18"/>
          <w:szCs w:val="18"/>
          <w:color w:val="auto"/>
        </w:rPr>
        <w:t>Our Board of Directors oversees or directs our business and affairs, as provided by Delaware law, and conducts its business through meetings of the Board and three standing committees: the audit committee, the nominating and corporate governance committee and the compensation committee. The Board is currently comprised of nine directors, eight of whom are independent.</w:t>
      </w:r>
    </w:p>
    <w:p>
      <w:pPr>
        <w:spacing w:after="0" w:line="5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Last year our stockholders approved the amendment of our certificate of incorporation to phase out the classified structure of the Board. Under the prior classified structure, our Board included three directors in Class I (Mr. Fahs, Ms. Johnson and Ms. Kelman), three directors in Class II (Messrs. Armario and Peeler and Ms. Cianfrocco), and three directors in Class III (Messrs. Tehle and Taylor and Ms. Hepner). One class of directors will stand for election at each annual meeting of stockholders for a one-year term until our prior classified structure is phased out. By the 2024 annual meeting, the Board will be completed declassified and all directors will stand for election annually. The three Class II directors standing at this Annual Meeting will be re-elected for a one-year term.</w:t>
      </w:r>
    </w:p>
    <w:p>
      <w:pPr>
        <w:spacing w:after="0" w:line="61"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The terms of our three current director nominees expire on the date of the Annual Meeting, subject to the election and qualification of their successors. Upon the recommendation of the nominating and corporate governance committee, the Board has nominated D. Randolph Peeler, Jose Armario and Heather Cianfrocco for re-election as directors for a one-year term expiring at the 2023 annual meeting.</w:t>
      </w:r>
    </w:p>
    <w:p>
      <w:pPr>
        <w:spacing w:after="0" w:line="4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Unless otherwise instructed, the persons named in the form of proxy card (the “proxyholders”) included with this proxy statement intend to vote the proxies held by them “FOR” the election of D. Randolph Peeler, Jose Armario and Heather Cianfrocco. We have no reason to believe that Messrs. Peeler and Armario and Ms. Cianfrocco will be unable or unwilling to serve if elected. If Mr. Peeler, Mr. Armario and Ms. Cianfrocco cease to be candidates for election by the time of the Annual Meeting (a contingency which the Board does not expect to occur), such proxies may be voted by the proxyholders in accordance with the 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10  </w:t>
      </w:r>
      <w:r>
        <w:rPr>
          <w:sz w:val="1"/>
          <w:szCs w:val="1"/>
          <w:color w:val="auto"/>
        </w:rPr>
        <w:drawing>
          <wp:inline distT="0" distB="0" distL="0" distR="0">
            <wp:extent cx="300355" cy="24003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69" w:lineRule="exact"/>
        <w:rPr>
          <w:sz w:val="20"/>
          <w:szCs w:val="20"/>
          <w:color w:val="auto"/>
        </w:rPr>
      </w:pPr>
    </w:p>
    <w:p>
      <w:pPr>
        <w:ind w:left="760" w:right="760"/>
        <w:spacing w:after="0" w:line="287" w:lineRule="auto"/>
        <w:rPr>
          <w:sz w:val="20"/>
          <w:szCs w:val="20"/>
          <w:color w:val="auto"/>
        </w:rPr>
      </w:pPr>
      <w:r>
        <w:rPr>
          <w:rFonts w:ascii="Arial" w:cs="Arial" w:eastAsia="Arial" w:hAnsi="Arial"/>
          <w:sz w:val="18"/>
          <w:szCs w:val="18"/>
          <w:color w:val="auto"/>
        </w:rPr>
        <w:t>Set forth below is certain information regarding each director nominee. Beneficial ownership of equity securities of each director nominee is shown under “Ownership of Our Securities” later in this proxy statement.</w:t>
      </w:r>
    </w:p>
    <w:tbl>
      <w:tblPr>
        <w:tblLayout w:type="fixed"/>
        <w:tblInd w:w="760" w:type="dxa"/>
        <w:tblCellMar>
          <w:top w:w="0" w:type="dxa"/>
          <w:left w:w="0" w:type="dxa"/>
          <w:bottom w:w="0" w:type="dxa"/>
          <w:right w:w="0" w:type="dxa"/>
        </w:tblCellMar>
      </w:tblPr>
      <w:tr>
        <w:trPr>
          <w:trHeight w:val="469"/>
        </w:trPr>
        <w:tc>
          <w:tcPr>
            <w:tcW w:w="780" w:type="dxa"/>
            <w:vAlign w:val="bottom"/>
          </w:tcPr>
          <w:p>
            <w:pPr>
              <w:spacing w:after="0"/>
              <w:rPr>
                <w:sz w:val="20"/>
                <w:szCs w:val="20"/>
                <w:color w:val="auto"/>
              </w:rPr>
            </w:pPr>
            <w:r>
              <w:rPr>
                <w:rFonts w:ascii="Arial" w:cs="Arial" w:eastAsia="Arial" w:hAnsi="Arial"/>
                <w:sz w:val="22"/>
                <w:szCs w:val="22"/>
                <w:b w:val="1"/>
                <w:bCs w:val="1"/>
                <w:color w:val="3C5896"/>
              </w:rPr>
              <w:t>​</w:t>
            </w:r>
          </w:p>
        </w:tc>
        <w:tc>
          <w:tcPr>
            <w:tcW w:w="8400" w:type="dxa"/>
            <w:vAlign w:val="bottom"/>
            <w:gridSpan w:val="2"/>
          </w:tcPr>
          <w:p>
            <w:pPr>
              <w:ind w:left="720"/>
              <w:spacing w:after="0" w:line="468" w:lineRule="exact"/>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D. Randolph Peeler</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194"/>
        </w:trPr>
        <w:tc>
          <w:tcPr>
            <w:tcW w:w="780" w:type="dxa"/>
            <w:vAlign w:val="bottom"/>
          </w:tcPr>
          <w:p>
            <w:pPr>
              <w:spacing w:after="0"/>
              <w:rPr>
                <w:sz w:val="16"/>
                <w:szCs w:val="16"/>
                <w:color w:val="auto"/>
              </w:rPr>
            </w:pPr>
          </w:p>
        </w:tc>
        <w:tc>
          <w:tcPr>
            <w:tcW w:w="820" w:type="dxa"/>
            <w:vAlign w:val="bottom"/>
          </w:tcPr>
          <w:p>
            <w:pPr>
              <w:ind w:left="760"/>
              <w:spacing w:after="0"/>
              <w:rPr>
                <w:sz w:val="20"/>
                <w:szCs w:val="20"/>
                <w:color w:val="auto"/>
              </w:rPr>
            </w:pPr>
            <w:r>
              <w:rPr>
                <w:rFonts w:ascii="Arial" w:cs="Arial" w:eastAsia="Arial" w:hAnsi="Arial"/>
                <w:sz w:val="14"/>
                <w:szCs w:val="14"/>
                <w:color w:val="auto"/>
              </w:rPr>
              <w:t>​</w:t>
            </w:r>
          </w:p>
        </w:tc>
        <w:tc>
          <w:tcPr>
            <w:tcW w:w="7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March 2014</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195"/>
        </w:trPr>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tc>
        <w:tc>
          <w:tcPr>
            <w:tcW w:w="60" w:type="dxa"/>
            <w:vAlign w:val="bottom"/>
          </w:tcPr>
          <w:p>
            <w:pPr>
              <w:spacing w:after="0"/>
              <w:rPr>
                <w:sz w:val="16"/>
                <w:szCs w:val="16"/>
                <w:color w:val="auto"/>
              </w:rPr>
            </w:pPr>
          </w:p>
        </w:tc>
      </w:tr>
      <w:tr>
        <w:trPr>
          <w:trHeight w:val="196"/>
        </w:trPr>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0</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-555625</wp:posOffset>
            </wp:positionV>
            <wp:extent cx="882650" cy="12426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2650" cy="1242695"/>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42" w:lineRule="exact"/>
        <w:rPr>
          <w:sz w:val="20"/>
          <w:szCs w:val="20"/>
          <w:color w:val="auto"/>
        </w:rPr>
      </w:pPr>
    </w:p>
    <w:p>
      <w:pPr>
        <w:jc w:val="both"/>
        <w:ind w:left="2360" w:right="780"/>
        <w:spacing w:after="0" w:line="260" w:lineRule="auto"/>
        <w:rPr>
          <w:sz w:val="20"/>
          <w:szCs w:val="20"/>
          <w:color w:val="auto"/>
        </w:rPr>
      </w:pPr>
      <w:r>
        <w:rPr>
          <w:rFonts w:ascii="Arial" w:cs="Arial" w:eastAsia="Arial" w:hAnsi="Arial"/>
          <w:sz w:val="14"/>
          <w:szCs w:val="14"/>
          <w:color w:val="auto"/>
        </w:rPr>
        <w:t>Mr. Peeler joined Berkshire Partners LLC (“Berkshire”) in 1996 and became a Managing 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 Inc. and Curriculum Associates, LLC. Mr. Peeler also serves on the boards of DVx Ventures and Milk Street Kitchen and on the boards of multiple non-profit organizations including Boys and Girls Club of Boston, Huntington Theater Company and Unite America Institute. In addition, Mr. Peeler is on the board of visitors for the Sanford School of Public Policy, Duke University. Mr. Peeler has an A.B. from Duke University and an M.B.A. from Harvard Business School. Mr. Peeler brings to our Board of Directors acquisition and capital market transactions knowledge from years of experience in the private equity industry, along with board experience from serving as a director of several of Berkshire’s current or former portfolio companies, industry experience in the optical/healthcare and retail industries, financial/accounting experience and human capital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-10795</wp:posOffset>
            </wp:positionV>
            <wp:extent cx="58375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4" w:lineRule="exact"/>
        <w:rPr>
          <w:sz w:val="20"/>
          <w:szCs w:val="20"/>
          <w:color w:val="auto"/>
        </w:rPr>
      </w:pPr>
    </w:p>
    <w:tbl>
      <w:tblPr>
        <w:tblLayout w:type="fixed"/>
        <w:tblInd w:w="760" w:type="dxa"/>
        <w:tblCellMar>
          <w:top w:w="0" w:type="dxa"/>
          <w:left w:w="0" w:type="dxa"/>
          <w:bottom w:w="0" w:type="dxa"/>
          <w:right w:w="0" w:type="dxa"/>
        </w:tblCellMar>
      </w:tblPr>
      <w:tr>
        <w:trPr>
          <w:trHeight w:val="494"/>
        </w:trPr>
        <w:tc>
          <w:tcPr>
            <w:tcW w:w="780" w:type="dxa"/>
            <w:vAlign w:val="bottom"/>
          </w:tcPr>
          <w:p>
            <w:pPr>
              <w:spacing w:after="0"/>
              <w:rPr>
                <w:sz w:val="20"/>
                <w:szCs w:val="20"/>
                <w:color w:val="auto"/>
              </w:rPr>
            </w:pPr>
            <w:r>
              <w:rPr>
                <w:rFonts w:ascii="Arial" w:cs="Arial" w:eastAsia="Arial" w:hAnsi="Arial"/>
                <w:sz w:val="22"/>
                <w:szCs w:val="22"/>
                <w:b w:val="1"/>
                <w:bCs w:val="1"/>
                <w:color w:val="3C5896"/>
              </w:rPr>
              <w:t>​</w:t>
            </w:r>
          </w:p>
        </w:tc>
        <w:tc>
          <w:tcPr>
            <w:tcW w:w="8400" w:type="dxa"/>
            <w:vAlign w:val="bottom"/>
            <w:gridSpan w:val="2"/>
          </w:tcPr>
          <w:p>
            <w:pPr>
              <w:ind w:left="720"/>
              <w:spacing w:after="0"/>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Heather Cianfrocco</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262"/>
        </w:trPr>
        <w:tc>
          <w:tcPr>
            <w:tcW w:w="780" w:type="dxa"/>
            <w:vAlign w:val="bottom"/>
          </w:tcPr>
          <w:p>
            <w:pPr>
              <w:spacing w:after="0"/>
              <w:rPr>
                <w:sz w:val="22"/>
                <w:szCs w:val="22"/>
                <w:color w:val="auto"/>
              </w:rPr>
            </w:pPr>
          </w:p>
        </w:tc>
        <w:tc>
          <w:tcPr>
            <w:tcW w:w="820" w:type="dxa"/>
            <w:vAlign w:val="bottom"/>
          </w:tcPr>
          <w:p>
            <w:pPr>
              <w:ind w:left="760"/>
              <w:spacing w:after="0"/>
              <w:rPr>
                <w:sz w:val="20"/>
                <w:szCs w:val="20"/>
                <w:color w:val="auto"/>
              </w:rPr>
            </w:pPr>
            <w:r>
              <w:rPr>
                <w:rFonts w:ascii="Arial" w:cs="Arial" w:eastAsia="Arial" w:hAnsi="Arial"/>
                <w:sz w:val="14"/>
                <w:szCs w:val="14"/>
                <w:color w:val="auto"/>
              </w:rPr>
              <w:t>​</w:t>
            </w:r>
          </w:p>
        </w:tc>
        <w:tc>
          <w:tcPr>
            <w:tcW w:w="7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July 2019</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195"/>
        </w:trPr>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48</w:t>
            </w:r>
          </w:p>
        </w:tc>
        <w:tc>
          <w:tcPr>
            <w:tcW w:w="60" w:type="dxa"/>
            <w:vAlign w:val="bottom"/>
          </w:tcPr>
          <w:p>
            <w:pPr>
              <w:spacing w:after="0"/>
              <w:rPr>
                <w:sz w:val="16"/>
                <w:szCs w:val="16"/>
                <w:color w:val="auto"/>
              </w:rPr>
            </w:pPr>
          </w:p>
        </w:tc>
      </w:tr>
      <w:tr>
        <w:trPr>
          <w:trHeight w:val="196"/>
        </w:trPr>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0</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-598170</wp:posOffset>
            </wp:positionV>
            <wp:extent cx="857250" cy="129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0" cy="1294130"/>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42" w:lineRule="exact"/>
        <w:rPr>
          <w:sz w:val="20"/>
          <w:szCs w:val="20"/>
          <w:color w:val="auto"/>
        </w:rPr>
      </w:pPr>
    </w:p>
    <w:p>
      <w:pPr>
        <w:jc w:val="both"/>
        <w:ind w:left="2360" w:right="780"/>
        <w:spacing w:after="0" w:line="258" w:lineRule="auto"/>
        <w:rPr>
          <w:sz w:val="20"/>
          <w:szCs w:val="20"/>
          <w:color w:val="auto"/>
        </w:rPr>
      </w:pPr>
      <w:r>
        <w:rPr>
          <w:rFonts w:ascii="Arial" w:cs="Arial" w:eastAsia="Arial" w:hAnsi="Arial"/>
          <w:sz w:val="14"/>
          <w:szCs w:val="14"/>
          <w:color w:val="auto"/>
        </w:rPr>
        <w:t>Ms. Cianfrocco is the Chief Executive Officer, OptumRX at UnitedHealth Group and has served in that role since April 2021. Ms. Cianfrocco previously served as the Chief Executive Officer of OptumHealth Services from July 2020 until April 2021 and as the Chief Executive Officer of UnitedHealthcare Community &amp; State from February 2018 until July 2020. From July 2017 until February 2018, Ms. Cianfrocco served as Senior Vice President of Health Advancement and Clinical Transformation for UnitedHealthcare Medicare &amp; Retirement. From June 2016 until July 2017, she served as senior vice president of Clinical Strategy and Operations for UnitedHealthcare Community &amp; State. Prior to that, Ms. Cianfrocco was the Northeast Region President for UnitedHealthcare Community &amp; State from June 2012 until June 2016. Throughout her time with UnitedHealthcare, she has held other leadership positions within Community &amp; State in legal, compliance, operations, and contracting. Before joining UnitedHealthcare, Ms. Cianfrocco worked in private legal practices in Pittsburgh, Pennsylvania where she concentrated on corporate and securities law, representing health care entities in mergers and acquisitions. In addition, Ms. Cianfrocco is an advisory board member of Pharmaceutical Care Management Associates and serves as an advisory board member of UnitedHealth Foundation as well as The Salvation Army of Western Pennsylvania—Allegheny County. Ms. Cianfrocco has a Bachelor of Arts degree from Pennsylvania State University, a Juris Doctorate from Duquesne University School of Law, and a Masters in Health Care Delivery Science from Dartmouth College. Ms. Cianfrocco brings to our Board of Directors senior leadership, healthcare industry and government/​regulatory experience from her position as CEO of a large, national, multiple market healthcare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99060</wp:posOffset>
            </wp:positionV>
            <wp:extent cx="58375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9" w:lineRule="exact"/>
        <w:rPr>
          <w:sz w:val="20"/>
          <w:szCs w:val="20"/>
          <w:color w:val="auto"/>
        </w:rPr>
      </w:pPr>
    </w:p>
    <w:tbl>
      <w:tblPr>
        <w:tblLayout w:type="fixed"/>
        <w:tblInd w:w="760" w:type="dxa"/>
        <w:tblCellMar>
          <w:top w:w="0" w:type="dxa"/>
          <w:left w:w="0" w:type="dxa"/>
          <w:bottom w:w="0" w:type="dxa"/>
          <w:right w:w="0" w:type="dxa"/>
        </w:tblCellMar>
      </w:tblPr>
      <w:tr>
        <w:trPr>
          <w:trHeight w:val="494"/>
        </w:trPr>
        <w:tc>
          <w:tcPr>
            <w:tcW w:w="780" w:type="dxa"/>
            <w:vAlign w:val="bottom"/>
          </w:tcPr>
          <w:p>
            <w:pPr>
              <w:spacing w:after="0"/>
              <w:rPr>
                <w:sz w:val="20"/>
                <w:szCs w:val="20"/>
                <w:color w:val="auto"/>
              </w:rPr>
            </w:pPr>
            <w:r>
              <w:rPr>
                <w:rFonts w:ascii="Arial" w:cs="Arial" w:eastAsia="Arial" w:hAnsi="Arial"/>
                <w:sz w:val="22"/>
                <w:szCs w:val="22"/>
                <w:b w:val="1"/>
                <w:bCs w:val="1"/>
                <w:color w:val="3C5896"/>
              </w:rPr>
              <w:t>​</w:t>
            </w:r>
          </w:p>
        </w:tc>
        <w:tc>
          <w:tcPr>
            <w:tcW w:w="8400" w:type="dxa"/>
            <w:vAlign w:val="bottom"/>
            <w:gridSpan w:val="2"/>
          </w:tcPr>
          <w:p>
            <w:pPr>
              <w:ind w:left="720"/>
              <w:spacing w:after="0"/>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Jose Armario</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221"/>
        </w:trPr>
        <w:tc>
          <w:tcPr>
            <w:tcW w:w="780" w:type="dxa"/>
            <w:vAlign w:val="bottom"/>
          </w:tcPr>
          <w:p>
            <w:pPr>
              <w:spacing w:after="0"/>
              <w:rPr>
                <w:sz w:val="19"/>
                <w:szCs w:val="19"/>
                <w:color w:val="auto"/>
              </w:rPr>
            </w:pPr>
          </w:p>
        </w:tc>
        <w:tc>
          <w:tcPr>
            <w:tcW w:w="820" w:type="dxa"/>
            <w:vAlign w:val="bottom"/>
          </w:tcPr>
          <w:p>
            <w:pPr>
              <w:ind w:left="760"/>
              <w:spacing w:after="0"/>
              <w:rPr>
                <w:sz w:val="20"/>
                <w:szCs w:val="20"/>
                <w:color w:val="auto"/>
              </w:rPr>
            </w:pPr>
            <w:r>
              <w:rPr>
                <w:rFonts w:ascii="Arial" w:cs="Arial" w:eastAsia="Arial" w:hAnsi="Arial"/>
                <w:sz w:val="14"/>
                <w:szCs w:val="14"/>
                <w:color w:val="auto"/>
              </w:rPr>
              <w:t>​</w:t>
            </w:r>
          </w:p>
        </w:tc>
        <w:tc>
          <w:tcPr>
            <w:tcW w:w="7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February 2021</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195"/>
        </w:trPr>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tc>
        <w:tc>
          <w:tcPr>
            <w:tcW w:w="60" w:type="dxa"/>
            <w:vAlign w:val="bottom"/>
          </w:tcPr>
          <w:p>
            <w:pPr>
              <w:spacing w:after="0"/>
              <w:rPr>
                <w:sz w:val="16"/>
                <w:szCs w:val="16"/>
                <w:color w:val="auto"/>
              </w:rPr>
            </w:pPr>
          </w:p>
        </w:tc>
      </w:tr>
      <w:tr>
        <w:trPr>
          <w:trHeight w:val="196"/>
        </w:trPr>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0</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-572770</wp:posOffset>
            </wp:positionV>
            <wp:extent cx="857250" cy="127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0" cy="1276985"/>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42" w:lineRule="exact"/>
        <w:rPr>
          <w:sz w:val="20"/>
          <w:szCs w:val="20"/>
          <w:color w:val="auto"/>
        </w:rPr>
      </w:pPr>
    </w:p>
    <w:p>
      <w:pPr>
        <w:jc w:val="both"/>
        <w:ind w:left="2360" w:right="780"/>
        <w:spacing w:after="0" w:line="260" w:lineRule="auto"/>
        <w:rPr>
          <w:sz w:val="20"/>
          <w:szCs w:val="20"/>
          <w:color w:val="auto"/>
        </w:rPr>
      </w:pPr>
      <w:r>
        <w:rPr>
          <w:rFonts w:ascii="Arial" w:cs="Arial" w:eastAsia="Arial" w:hAnsi="Arial"/>
          <w:sz w:val="14"/>
          <w:szCs w:val="14"/>
          <w:color w:val="auto"/>
        </w:rPr>
        <w:t>Mr. Armario is the Chief Executive Officer and President of Bojangles’, Inc., a restaurant operator and franchisor, and has served in this role since January 2019. From January 2016 until January 2019, Mr. Armario was the founder and Chief Executive Officer of Armario Enterprises, LLC and PowerC, LLC. He retired as Executive Vice President of Worldwide Supply Chain, Development, and Franchising of McDonald’s Corporation in October 2015, after having held that position since August 2011. Mr. Armario has over 38 years of experience turning around key markets and geographies. Currently, Mr. Armario serves as a director at Bojangles’, Inc. and as a director for Golden State Foods and The Greg Olsen Foundation. He is also a member of the President’s Council of the University of Miami. He earned his Associate of Arts degree in Business Administration from Miami-Dade Community College. He holds a Master of Science degree in Management from the University of Miami and a CEO Perspective Course completion from Northwestern University. Mr. Armario brings to our Board of Directors senior leadership, public company board and retail industry experience from his role as CEO of Bojangles, prior executive positions and board work, along with optical/healthcare industry, marketing ESG/sustainability and human capital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-10795</wp:posOffset>
            </wp:positionV>
            <wp:extent cx="58375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37555" cy="8890"/>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91440</wp:posOffset>
            </wp:positionV>
            <wp:extent cx="300355" cy="2311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0355" cy="23114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60" w:type="dxa"/>
            <w:vAlign w:val="bottom"/>
          </w:tcPr>
          <w:p>
            <w:pPr>
              <w:ind w:left="7360"/>
              <w:spacing w:after="0"/>
              <w:rPr>
                <w:sz w:val="20"/>
                <w:szCs w:val="20"/>
                <w:color w:val="auto"/>
              </w:rPr>
            </w:pPr>
            <w:r>
              <w:rPr>
                <w:rFonts w:ascii="Arial" w:cs="Arial" w:eastAsia="Arial" w:hAnsi="Arial"/>
                <w:sz w:val="16"/>
                <w:szCs w:val="16"/>
                <w:color w:val="auto"/>
              </w:rPr>
              <w:t>2022 Proxy Statement</w:t>
            </w:r>
          </w:p>
        </w:tc>
        <w:tc>
          <w:tcPr>
            <w:tcW w:w="1360" w:type="dxa"/>
            <w:vAlign w:val="bottom"/>
          </w:tcPr>
          <w:p>
            <w:pPr>
              <w:jc w:val="right"/>
              <w:ind w:right="719"/>
              <w:spacing w:after="0"/>
              <w:rPr>
                <w:sz w:val="20"/>
                <w:szCs w:val="20"/>
                <w:color w:val="auto"/>
              </w:rPr>
            </w:pPr>
            <w:r>
              <w:rPr>
                <w:rFonts w:ascii="Arial" w:cs="Arial" w:eastAsia="Arial" w:hAnsi="Arial"/>
                <w:sz w:val="16"/>
                <w:szCs w:val="16"/>
                <w:b w:val="1"/>
                <w:bCs w:val="1"/>
                <w:color w:val="auto"/>
              </w:rPr>
              <w:t>11</w:t>
            </w:r>
          </w:p>
        </w:tc>
      </w:tr>
      <w:tr>
        <w:trPr>
          <w:trHeight w:val="419"/>
        </w:trPr>
        <w:tc>
          <w:tcPr>
            <w:tcW w:w="9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Continuing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63" w:lineRule="exact"/>
        <w:rPr>
          <w:sz w:val="20"/>
          <w:szCs w:val="20"/>
          <w:color w:val="auto"/>
        </w:rPr>
      </w:pPr>
    </w:p>
    <w:p>
      <w:pPr>
        <w:jc w:val="both"/>
        <w:ind w:left="760" w:right="40"/>
        <w:spacing w:after="0" w:line="261" w:lineRule="auto"/>
        <w:rPr>
          <w:sz w:val="20"/>
          <w:szCs w:val="20"/>
          <w:color w:val="auto"/>
        </w:rPr>
      </w:pPr>
      <w:r>
        <w:rPr>
          <w:rFonts w:ascii="Arial" w:cs="Arial" w:eastAsia="Arial" w:hAnsi="Arial"/>
          <w:sz w:val="18"/>
          <w:szCs w:val="18"/>
          <w:color w:val="auto"/>
        </w:rPr>
        <w:t>Set forth below is certain information regarding each director whose term continues beyond the Annual Meeting and who is not subject to election this year. Beneficial ownership of equity securities for these directors is also shown under “Ownership of Our Securities” later in this proxy statement.</w:t>
      </w:r>
    </w:p>
    <w:p>
      <w:pPr>
        <w:spacing w:after="0" w:line="78" w:lineRule="exact"/>
        <w:rPr>
          <w:sz w:val="20"/>
          <w:szCs w:val="20"/>
          <w:color w:val="auto"/>
        </w:rPr>
      </w:pPr>
    </w:p>
    <w:tbl>
      <w:tblPr>
        <w:tblLayout w:type="fixed"/>
        <w:tblInd w:w="760" w:type="dxa"/>
        <w:tblCellMar>
          <w:top w:w="0" w:type="dxa"/>
          <w:left w:w="0" w:type="dxa"/>
          <w:bottom w:w="0" w:type="dxa"/>
          <w:right w:w="0" w:type="dxa"/>
        </w:tblCellMar>
      </w:tblPr>
      <w:tr>
        <w:trPr>
          <w:trHeight w:val="494"/>
        </w:trPr>
        <w:tc>
          <w:tcPr>
            <w:tcW w:w="780" w:type="dxa"/>
            <w:vAlign w:val="bottom"/>
          </w:tcPr>
          <w:p>
            <w:pPr>
              <w:spacing w:after="0"/>
              <w:rPr>
                <w:sz w:val="20"/>
                <w:szCs w:val="20"/>
                <w:color w:val="auto"/>
              </w:rPr>
            </w:pPr>
            <w:r>
              <w:rPr>
                <w:rFonts w:ascii="Arial" w:cs="Arial" w:eastAsia="Arial" w:hAnsi="Arial"/>
                <w:sz w:val="22"/>
                <w:szCs w:val="22"/>
                <w:b w:val="1"/>
                <w:bCs w:val="1"/>
                <w:color w:val="3C5896"/>
              </w:rPr>
              <w:t>​</w:t>
            </w:r>
          </w:p>
        </w:tc>
        <w:tc>
          <w:tcPr>
            <w:tcW w:w="8400" w:type="dxa"/>
            <w:vAlign w:val="bottom"/>
            <w:gridSpan w:val="2"/>
          </w:tcPr>
          <w:p>
            <w:pPr>
              <w:ind w:left="720"/>
              <w:spacing w:after="0"/>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Thomas V. Taylor, Jr.</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262"/>
        </w:trPr>
        <w:tc>
          <w:tcPr>
            <w:tcW w:w="780" w:type="dxa"/>
            <w:vAlign w:val="bottom"/>
          </w:tcPr>
          <w:p>
            <w:pPr>
              <w:spacing w:after="0"/>
              <w:rPr>
                <w:sz w:val="22"/>
                <w:szCs w:val="22"/>
                <w:color w:val="auto"/>
              </w:rPr>
            </w:pPr>
          </w:p>
        </w:tc>
        <w:tc>
          <w:tcPr>
            <w:tcW w:w="820" w:type="dxa"/>
            <w:vAlign w:val="bottom"/>
          </w:tcPr>
          <w:p>
            <w:pPr>
              <w:ind w:left="760"/>
              <w:spacing w:after="0"/>
              <w:rPr>
                <w:sz w:val="20"/>
                <w:szCs w:val="20"/>
                <w:color w:val="auto"/>
              </w:rPr>
            </w:pPr>
            <w:r>
              <w:rPr>
                <w:rFonts w:ascii="Arial" w:cs="Arial" w:eastAsia="Arial" w:hAnsi="Arial"/>
                <w:sz w:val="14"/>
                <w:szCs w:val="14"/>
                <w:color w:val="auto"/>
              </w:rPr>
              <w:t>​</w:t>
            </w:r>
          </w:p>
        </w:tc>
        <w:tc>
          <w:tcPr>
            <w:tcW w:w="7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September 2018</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216"/>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56</w:t>
            </w:r>
          </w:p>
        </w:tc>
        <w:tc>
          <w:tcPr>
            <w:tcW w:w="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1</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-632460</wp:posOffset>
            </wp:positionV>
            <wp:extent cx="865505" cy="1243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5505" cy="1243330"/>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55" w:lineRule="exact"/>
        <w:rPr>
          <w:sz w:val="20"/>
          <w:szCs w:val="20"/>
          <w:color w:val="auto"/>
        </w:rPr>
      </w:pPr>
    </w:p>
    <w:p>
      <w:pPr>
        <w:jc w:val="both"/>
        <w:ind w:left="2360" w:right="60"/>
        <w:spacing w:after="0" w:line="273" w:lineRule="auto"/>
        <w:rPr>
          <w:sz w:val="20"/>
          <w:szCs w:val="20"/>
          <w:color w:val="auto"/>
        </w:rPr>
      </w:pPr>
      <w:r>
        <w:rPr>
          <w:rFonts w:ascii="Arial" w:cs="Arial" w:eastAsia="Arial" w:hAnsi="Arial"/>
          <w:sz w:val="14"/>
          <w:szCs w:val="14"/>
          <w:color w:val="auto"/>
        </w:rPr>
        <w:t>Mr. Taylor has served as Floor &amp; Decor’s Chief Executive Officer and as a director since December 2012, including during its 2017 IPO. Starting his retail career working at a Miami Home Depot store in 1983 at the age of 16, Mr. Taylor worked his way up through various operations roles to eventually serve as Executive Vice President of Operations responsible for all 2,200 Home Depot Stores; he also held the role of Executive Vice President of Merchandising and Marketing again for all stores. From 2006 to 2012, Mr. Taylor was Managing Director at Sun Capital Partners, during which time he served as a board member for more than 20 portfolio companies domestically and in Europe. Mr. Taylor also serves on the board of directors of Cooper’s Hawk, a differentiated wine club and restaurant concept. Mr. Taylor brings to our Board of Directors extensive experience as a director and senior leader, along with retail industry knowledge, from his position as CEO of Floor &amp; Decor and past board work, along with financial/accounting, marketing and human capital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125095</wp:posOffset>
            </wp:positionV>
            <wp:extent cx="58375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31" w:lineRule="exact"/>
        <w:rPr>
          <w:sz w:val="20"/>
          <w:szCs w:val="20"/>
          <w:color w:val="auto"/>
        </w:rPr>
      </w:pPr>
    </w:p>
    <w:tbl>
      <w:tblPr>
        <w:tblLayout w:type="fixed"/>
        <w:tblInd w:w="760" w:type="dxa"/>
        <w:tblCellMar>
          <w:top w:w="0" w:type="dxa"/>
          <w:left w:w="0" w:type="dxa"/>
          <w:bottom w:w="0" w:type="dxa"/>
          <w:right w:w="0" w:type="dxa"/>
        </w:tblCellMar>
      </w:tblPr>
      <w:tr>
        <w:trPr>
          <w:trHeight w:val="494"/>
        </w:trPr>
        <w:tc>
          <w:tcPr>
            <w:tcW w:w="780" w:type="dxa"/>
            <w:vAlign w:val="bottom"/>
          </w:tcPr>
          <w:p>
            <w:pPr>
              <w:spacing w:after="0"/>
              <w:rPr>
                <w:sz w:val="20"/>
                <w:szCs w:val="20"/>
                <w:color w:val="auto"/>
              </w:rPr>
            </w:pPr>
            <w:r>
              <w:rPr>
                <w:rFonts w:ascii="Arial" w:cs="Arial" w:eastAsia="Arial" w:hAnsi="Arial"/>
                <w:sz w:val="22"/>
                <w:szCs w:val="22"/>
                <w:b w:val="1"/>
                <w:bCs w:val="1"/>
                <w:color w:val="3C5896"/>
              </w:rPr>
              <w:t>​</w:t>
            </w:r>
          </w:p>
        </w:tc>
        <w:tc>
          <w:tcPr>
            <w:tcW w:w="8400" w:type="dxa"/>
            <w:vAlign w:val="bottom"/>
            <w:gridSpan w:val="2"/>
          </w:tcPr>
          <w:p>
            <w:pPr>
              <w:ind w:left="720"/>
              <w:spacing w:after="0"/>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Virginia A. Hepner</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261"/>
        </w:trPr>
        <w:tc>
          <w:tcPr>
            <w:tcW w:w="780" w:type="dxa"/>
            <w:vAlign w:val="bottom"/>
          </w:tcPr>
          <w:p>
            <w:pPr>
              <w:spacing w:after="0"/>
              <w:rPr>
                <w:sz w:val="22"/>
                <w:szCs w:val="22"/>
                <w:color w:val="auto"/>
              </w:rPr>
            </w:pPr>
          </w:p>
        </w:tc>
        <w:tc>
          <w:tcPr>
            <w:tcW w:w="820" w:type="dxa"/>
            <w:vAlign w:val="bottom"/>
          </w:tcPr>
          <w:p>
            <w:pPr>
              <w:ind w:left="760"/>
              <w:spacing w:after="0"/>
              <w:rPr>
                <w:sz w:val="20"/>
                <w:szCs w:val="20"/>
                <w:color w:val="auto"/>
              </w:rPr>
            </w:pPr>
            <w:r>
              <w:rPr>
                <w:rFonts w:ascii="Arial" w:cs="Arial" w:eastAsia="Arial" w:hAnsi="Arial"/>
                <w:sz w:val="14"/>
                <w:szCs w:val="14"/>
                <w:color w:val="auto"/>
              </w:rPr>
              <w:t>​</w:t>
            </w:r>
          </w:p>
        </w:tc>
        <w:tc>
          <w:tcPr>
            <w:tcW w:w="7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January 2018</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216"/>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tc>
        <w:tc>
          <w:tcPr>
            <w:tcW w:w="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2</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-632460</wp:posOffset>
            </wp:positionV>
            <wp:extent cx="865505" cy="1243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5505" cy="1243330"/>
                    </a:xfrm>
                    <a:prstGeom prst="rect">
                      <a:avLst/>
                    </a:prstGeom>
                    <a:noFill/>
                  </pic:spPr>
                </pic:pic>
              </a:graphicData>
            </a:graphic>
          </wp:anchor>
        </w:drawing>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55" w:lineRule="exact"/>
        <w:rPr>
          <w:sz w:val="20"/>
          <w:szCs w:val="20"/>
          <w:color w:val="auto"/>
        </w:rPr>
      </w:pPr>
    </w:p>
    <w:p>
      <w:pPr>
        <w:jc w:val="both"/>
        <w:ind w:left="2360" w:right="60"/>
        <w:spacing w:after="0" w:line="270" w:lineRule="auto"/>
        <w:rPr>
          <w:sz w:val="20"/>
          <w:szCs w:val="20"/>
          <w:color w:val="auto"/>
        </w:rPr>
      </w:pPr>
      <w:r>
        <w:rPr>
          <w:rFonts w:ascii="Arial" w:cs="Arial" w:eastAsia="Arial" w:hAnsi="Arial"/>
          <w:sz w:val="14"/>
          <w:szCs w:val="14"/>
          <w:color w:val="auto"/>
        </w:rPr>
        <w:t>Ms. Hepner is the former President and Chief Executive Officer of The Woodruff Arts Center in Atlanta, Georgia, having served in that position from July 2012 to July 2017. Ms. Hepner has over 25 years of corporate banking experience with Wachovia Bank and its predecessors, having held numerous positions in corporate finance and capital markets until retiring in 2005 as an Executive Vice President. With the merger between Bancorp South and Cadence Bank in October 2021, Ms. Hepner became Chair of the audit committee and a member of the executive compensation committee of the new Cadence Bank. Her board service with predecessor banks of Cadence Bank began in September 2010 with State Bank &amp; Trust Company. Additionally, Ms. Hepner joined the board of directors of Oxford Industries, Inc. in 2016, serving on its nominating, compensation and governance committee. Ms. Hepner holds a bachelor’s degree in finance from The Wharton School of the University of Pennsylvania and attended the Kellogg School of Management at Northwestern University. In addition, Ms. Hepner serves on multiple non-profit boards including, the Westside Future Fund, The Community Foundation for Greater Atlanta Investment Committee, PennIUR Advisory Board of the University of Pennsylvania, Reach Foundation of Georgia advisory board, Agnes Scott College advisory board, and the Georgia Chapter of the International Women’s Forum. Ms. Hepner also was elected a Life Trustee of The Woodruff Arts Center. Ms. Hepner brings to our Board of Directors senior leadership experience and public company board knowledge from her time as CEO of The Woodruff Arts Center and positions on the boards of Cadence Bank and Oxford Industries, along with and extensive corporate finance knowledge and ESG and human capital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120015</wp:posOffset>
            </wp:positionV>
            <wp:extent cx="58375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36" w:lineRule="exact"/>
        <w:rPr>
          <w:sz w:val="20"/>
          <w:szCs w:val="20"/>
          <w:color w:val="auto"/>
        </w:rPr>
      </w:pPr>
    </w:p>
    <w:tbl>
      <w:tblPr>
        <w:tblLayout w:type="fixed"/>
        <w:tblInd w:w="760" w:type="dxa"/>
        <w:tblCellMar>
          <w:top w:w="0" w:type="dxa"/>
          <w:left w:w="0" w:type="dxa"/>
          <w:bottom w:w="0" w:type="dxa"/>
          <w:right w:w="0" w:type="dxa"/>
        </w:tblCellMar>
      </w:tblPr>
      <w:tr>
        <w:trPr>
          <w:trHeight w:val="494"/>
        </w:trPr>
        <w:tc>
          <w:tcPr>
            <w:tcW w:w="780" w:type="dxa"/>
            <w:vAlign w:val="bottom"/>
          </w:tcPr>
          <w:p>
            <w:pPr>
              <w:spacing w:after="0"/>
              <w:rPr>
                <w:sz w:val="20"/>
                <w:szCs w:val="20"/>
                <w:color w:val="auto"/>
              </w:rPr>
            </w:pPr>
            <w:r>
              <w:rPr>
                <w:rFonts w:ascii="Arial" w:cs="Arial" w:eastAsia="Arial" w:hAnsi="Arial"/>
                <w:sz w:val="22"/>
                <w:szCs w:val="22"/>
                <w:b w:val="1"/>
                <w:bCs w:val="1"/>
                <w:color w:val="3C5896"/>
              </w:rPr>
              <w:t>​</w:t>
            </w:r>
          </w:p>
        </w:tc>
        <w:tc>
          <w:tcPr>
            <w:tcW w:w="8400" w:type="dxa"/>
            <w:vAlign w:val="bottom"/>
            <w:gridSpan w:val="2"/>
          </w:tcPr>
          <w:p>
            <w:pPr>
              <w:ind w:left="720"/>
              <w:spacing w:after="0"/>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David M. Tehle</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262"/>
        </w:trPr>
        <w:tc>
          <w:tcPr>
            <w:tcW w:w="780" w:type="dxa"/>
            <w:vAlign w:val="bottom"/>
          </w:tcPr>
          <w:p>
            <w:pPr>
              <w:spacing w:after="0"/>
              <w:rPr>
                <w:sz w:val="22"/>
                <w:szCs w:val="22"/>
                <w:color w:val="auto"/>
              </w:rPr>
            </w:pPr>
          </w:p>
        </w:tc>
        <w:tc>
          <w:tcPr>
            <w:tcW w:w="820" w:type="dxa"/>
            <w:vAlign w:val="bottom"/>
          </w:tcPr>
          <w:p>
            <w:pPr>
              <w:ind w:left="760"/>
              <w:spacing w:after="0"/>
              <w:rPr>
                <w:sz w:val="20"/>
                <w:szCs w:val="20"/>
                <w:color w:val="auto"/>
              </w:rPr>
            </w:pPr>
            <w:r>
              <w:rPr>
                <w:rFonts w:ascii="Arial" w:cs="Arial" w:eastAsia="Arial" w:hAnsi="Arial"/>
                <w:sz w:val="14"/>
                <w:szCs w:val="14"/>
                <w:color w:val="auto"/>
              </w:rPr>
              <w:t>​</w:t>
            </w:r>
          </w:p>
        </w:tc>
        <w:tc>
          <w:tcPr>
            <w:tcW w:w="7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July 2017</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216"/>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tc>
        <w:tc>
          <w:tcPr>
            <w:tcW w:w="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2</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-632460</wp:posOffset>
            </wp:positionV>
            <wp:extent cx="865505" cy="12433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5505" cy="1243330"/>
                    </a:xfrm>
                    <a:prstGeom prst="rect">
                      <a:avLst/>
                    </a:prstGeom>
                    <a:noFill/>
                  </pic:spPr>
                </pic:pic>
              </a:graphicData>
            </a:graphic>
          </wp:anchor>
        </w:drawing>
      </w:r>
    </w:p>
    <w:p>
      <w:pPr>
        <w:spacing w:after="0" w:line="40"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55" w:lineRule="exact"/>
        <w:rPr>
          <w:sz w:val="20"/>
          <w:szCs w:val="20"/>
          <w:color w:val="auto"/>
        </w:rPr>
      </w:pPr>
    </w:p>
    <w:p>
      <w:pPr>
        <w:jc w:val="both"/>
        <w:ind w:left="2360" w:right="60"/>
        <w:spacing w:after="0" w:line="273" w:lineRule="auto"/>
        <w:rPr>
          <w:sz w:val="20"/>
          <w:szCs w:val="20"/>
          <w:color w:val="auto"/>
        </w:rPr>
      </w:pPr>
      <w:r>
        <w:rPr>
          <w:rFonts w:ascii="Arial" w:cs="Arial" w:eastAsia="Arial" w:hAnsi="Arial"/>
          <w:sz w:val="14"/>
          <w:szCs w:val="14"/>
          <w:color w:val="auto"/>
        </w:rPr>
        <w:t>Mr. Tehle retired from Dollar General Corporation in July 2015 as 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US Foods Holding Corp. in 2016, and serves on the audit and compensation committees. From 2016 until 2019, he was a member of the board of directors of Genesco, Inc. and he also served on the audit committee. Mr. Tehle holds a B.S. from the University of Wisconsin-Oshkosh and an M.B.A. from the University of Michigan’s Ross School of Business. Mr. Tehle brings to our Board of Directors senior leadership, financial/accounting, retail and cybersecurity and data/privacy experience from his time as CFO of Dollar General Corporation and public company board experience and retail industry knowledge from his prior and current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125095</wp:posOffset>
            </wp:positionV>
            <wp:extent cx="58375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40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12  </w:t>
      </w:r>
      <w:r>
        <w:rPr>
          <w:sz w:val="1"/>
          <w:szCs w:val="1"/>
          <w:color w:val="auto"/>
        </w:rPr>
        <w:drawing>
          <wp:inline distT="0" distB="0" distL="0" distR="0">
            <wp:extent cx="300355" cy="23177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0355" cy="231775"/>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-99060</wp:posOffset>
            </wp:positionV>
            <wp:extent cx="865505" cy="1234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6550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-99060</wp:posOffset>
            </wp:positionV>
            <wp:extent cx="857250" cy="127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-99060</wp:posOffset>
            </wp:positionV>
            <wp:extent cx="857250" cy="129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0" cy="129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780" w:type="dxa"/>
            <w:vAlign w:val="bottom"/>
            <w:gridSpan w:val="2"/>
          </w:tcPr>
          <w:p>
            <w:pPr>
              <w:ind w:left="40"/>
              <w:spacing w:after="0"/>
              <w:rPr>
                <w:sz w:val="20"/>
                <w:szCs w:val="20"/>
                <w:color w:val="auto"/>
              </w:rPr>
            </w:pPr>
            <w:r>
              <w:rPr>
                <w:rFonts w:ascii="Arial" w:cs="Arial" w:eastAsia="Arial" w:hAnsi="Arial"/>
                <w:sz w:val="18"/>
                <w:szCs w:val="18"/>
                <w:b w:val="1"/>
                <w:bCs w:val="1"/>
                <w:color w:val="FFFFFF"/>
              </w:rPr>
              <w:t>BOARD OF DIRECTORS AND CERTAIN GOVERNANCE MATTERS​</w:t>
            </w:r>
          </w:p>
        </w:tc>
      </w:tr>
      <w:tr>
        <w:trPr>
          <w:trHeight w:val="555"/>
        </w:trPr>
        <w:tc>
          <w:tcPr>
            <w:tcW w:w="1960" w:type="dxa"/>
            <w:vAlign w:val="bottom"/>
            <w:gridSpan w:val="2"/>
          </w:tcPr>
          <w:p>
            <w:pPr>
              <w:spacing w:after="0"/>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L. Reade Fahs</w:t>
            </w:r>
          </w:p>
        </w:tc>
        <w:tc>
          <w:tcPr>
            <w:tcW w:w="57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207"/>
        </w:trPr>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March 2014</w:t>
            </w:r>
          </w:p>
        </w:tc>
        <w:tc>
          <w:tcPr>
            <w:tcW w:w="572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216"/>
        </w:trPr>
        <w:tc>
          <w:tcPr>
            <w:tcW w:w="10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p>
        </w:tc>
        <w:tc>
          <w:tcPr>
            <w:tcW w:w="5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0</w:t>
            </w:r>
          </w:p>
        </w:tc>
        <w:tc>
          <w:tcPr>
            <w:tcW w:w="57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-966470</wp:posOffset>
            </wp:positionV>
            <wp:extent cx="583755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55" w:lineRule="exact"/>
        <w:rPr>
          <w:sz w:val="20"/>
          <w:szCs w:val="20"/>
          <w:color w:val="auto"/>
        </w:rPr>
      </w:pPr>
    </w:p>
    <w:p>
      <w:pPr>
        <w:jc w:val="both"/>
        <w:ind w:left="100" w:right="60"/>
        <w:spacing w:after="0" w:line="274" w:lineRule="auto"/>
        <w:rPr>
          <w:sz w:val="20"/>
          <w:szCs w:val="20"/>
          <w:color w:val="auto"/>
        </w:rPr>
      </w:pPr>
      <w:r>
        <w:rPr>
          <w:rFonts w:ascii="Arial" w:cs="Arial" w:eastAsia="Arial" w:hAnsi="Arial"/>
          <w:sz w:val="14"/>
          <w:szCs w:val="14"/>
          <w:color w:val="auto"/>
        </w:rPr>
        <w:t>Mr. Fahs has served as the Chief Executive Officer of National Vision, Inc. (“NVI”) since January 2003, having joined NVI in April 2002 as the President and Chief Operating Officer, and was appointed the Chief Executive Officer of National Vision Holdings, Inc. in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a long-term Board member of RestoringVision. Mr. Fahs also serves on the boards of RestoringVision, Ditto Technologies, Inc., Affordable Care, Inc. and Atlanta’s Alliance Theatre. Mr. Fahs holds a B.A. degree in English Literature from Harvard College. Mr. Fahs brings to our Board extensive knowledge of the Company, its operations, business and the optical and retail industries and provides a unique perspective as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wp:posOffset>
            </wp:positionV>
            <wp:extent cx="58375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7680" w:type="dxa"/>
            <w:vAlign w:val="bottom"/>
            <w:gridSpan w:val="2"/>
          </w:tcPr>
          <w:p>
            <w:pPr>
              <w:spacing w:after="0"/>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Susan Somersille Johnson</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262"/>
        </w:trPr>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7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October 2020</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56</w:t>
            </w: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1</w:t>
            </w:r>
          </w:p>
        </w:tc>
        <w:tc>
          <w:tcPr>
            <w:tcW w:w="60" w:type="dxa"/>
            <w:vAlign w:val="bottom"/>
          </w:tcPr>
          <w:p>
            <w:pPr>
              <w:spacing w:after="0"/>
              <w:rPr>
                <w:sz w:val="18"/>
                <w:szCs w:val="18"/>
                <w:color w:val="auto"/>
              </w:rPr>
            </w:pPr>
          </w:p>
        </w:tc>
      </w:tr>
    </w:tbl>
    <w:p>
      <w:pPr>
        <w:spacing w:after="0" w:line="7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55" w:lineRule="exact"/>
        <w:rPr>
          <w:sz w:val="20"/>
          <w:szCs w:val="20"/>
          <w:color w:val="auto"/>
        </w:rPr>
      </w:pPr>
    </w:p>
    <w:p>
      <w:pPr>
        <w:jc w:val="both"/>
        <w:ind w:left="100" w:right="60"/>
        <w:spacing w:after="0" w:line="272" w:lineRule="auto"/>
        <w:rPr>
          <w:sz w:val="20"/>
          <w:szCs w:val="20"/>
          <w:color w:val="auto"/>
        </w:rPr>
      </w:pPr>
      <w:r>
        <w:rPr>
          <w:rFonts w:ascii="Arial" w:cs="Arial" w:eastAsia="Arial" w:hAnsi="Arial"/>
          <w:sz w:val="14"/>
          <w:szCs w:val="14"/>
          <w:color w:val="auto"/>
        </w:rPr>
        <w:t>Ms. Johnson is the Chief Marketing Officer for Prudential Financial, Inc. From 2014 to 2020, Ms. Johnson previously served as Executive Vice President and Chief Marketing Officer of Truist Financial, the bank holding company formed in 2019 following the merger of SunTrust Bank and BB&amp;T. Ms. Johnson began her career as an engineer at Apple before taking on a series of high-profile global marketing leadership roles at organizations including NCR Corporation and Nokia. She served as the Vice President of Global Marketing at NCR Corp. from 2012 to 2014 and the Global Head of Operator Marketing at Nokia from 2007 to 2012. Ms. Johnson is a member of the board of directors of Constellation Brands, a leading beverage alcohol company, serving on its compensation committee. She also serves as a board member of United Way U.S.A. and Operation Hope. Ms. Johnson has a bachelor’s degree in engineering sciences from Harvard University and an M.B.A. in finance from The Wharton School of The University of Pennsylvania. Ms. Johnson brings to our Board of Directors extensive marketing, technology and retail experience and senior leadership experience from her current role at Prudential Financial and prior roles at Truist, NCR and Nokia.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0</wp:posOffset>
            </wp:positionV>
            <wp:extent cx="58375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7680" w:type="dxa"/>
            <w:vAlign w:val="bottom"/>
            <w:gridSpan w:val="2"/>
          </w:tcPr>
          <w:p>
            <w:pPr>
              <w:spacing w:after="0"/>
              <w:rPr>
                <w:sz w:val="20"/>
                <w:szCs w:val="20"/>
                <w:color w:val="auto"/>
              </w:rPr>
            </w:pPr>
            <w:r>
              <w:rPr>
                <w:rFonts w:ascii="Arial" w:cs="Arial" w:eastAsia="Arial" w:hAnsi="Arial"/>
                <w:sz w:val="43"/>
                <w:szCs w:val="43"/>
                <w:b w:val="1"/>
                <w:bCs w:val="1"/>
                <w:color w:val="3C5896"/>
                <w:vertAlign w:val="superscript"/>
              </w:rPr>
              <w:t>​​</w:t>
            </w:r>
            <w:r>
              <w:rPr>
                <w:rFonts w:ascii="Arial" w:cs="Arial" w:eastAsia="Arial" w:hAnsi="Arial"/>
                <w:sz w:val="22"/>
                <w:szCs w:val="22"/>
                <w:b w:val="1"/>
                <w:bCs w:val="1"/>
                <w:color w:val="3C5896"/>
              </w:rPr>
              <w:t>Naomi Kelman</w:t>
            </w:r>
          </w:p>
        </w:tc>
        <w:tc>
          <w:tcPr>
            <w:tcW w:w="60" w:type="dxa"/>
            <w:vAlign w:val="bottom"/>
          </w:tcPr>
          <w:p>
            <w:pPr>
              <w:spacing w:after="0"/>
              <w:rPr>
                <w:sz w:val="20"/>
                <w:szCs w:val="20"/>
                <w:color w:val="auto"/>
              </w:rPr>
            </w:pPr>
            <w:r>
              <w:rPr>
                <w:rFonts w:ascii="Arial" w:cs="Arial" w:eastAsia="Arial" w:hAnsi="Arial"/>
                <w:sz w:val="22"/>
                <w:szCs w:val="22"/>
                <w:b w:val="1"/>
                <w:bCs w:val="1"/>
                <w:color w:val="3C5896"/>
              </w:rPr>
              <w:t>​</w:t>
            </w:r>
          </w:p>
        </w:tc>
      </w:tr>
      <w:tr>
        <w:trPr>
          <w:trHeight w:val="262"/>
        </w:trPr>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7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September 2020</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4"/>
                <w:szCs w:val="14"/>
                <w:b w:val="1"/>
                <w:bCs w:val="1"/>
                <w:color w:val="auto"/>
              </w:rPr>
              <w:t xml:space="preserve">Other Public Boards: </w:t>
            </w:r>
            <w:r>
              <w:rPr>
                <w:rFonts w:ascii="Arial" w:cs="Arial" w:eastAsia="Arial" w:hAnsi="Arial"/>
                <w:sz w:val="14"/>
                <w:szCs w:val="14"/>
                <w:color w:val="auto"/>
              </w:rPr>
              <w:t>0</w:t>
            </w:r>
          </w:p>
        </w:tc>
        <w:tc>
          <w:tcPr>
            <w:tcW w:w="60" w:type="dxa"/>
            <w:vAlign w:val="bottom"/>
          </w:tcPr>
          <w:p>
            <w:pPr>
              <w:spacing w:after="0"/>
              <w:rPr>
                <w:sz w:val="18"/>
                <w:szCs w:val="18"/>
                <w:color w:val="auto"/>
              </w:rPr>
            </w:pP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3C5896"/>
        </w:rPr>
        <w:t>PRINCIPAL OCCUPATION AND OTHER INFORMATION</w:t>
      </w:r>
    </w:p>
    <w:p>
      <w:pPr>
        <w:spacing w:after="0" w:line="55" w:lineRule="exact"/>
        <w:rPr>
          <w:sz w:val="20"/>
          <w:szCs w:val="20"/>
          <w:color w:val="auto"/>
        </w:rPr>
      </w:pPr>
    </w:p>
    <w:p>
      <w:pPr>
        <w:jc w:val="both"/>
        <w:ind w:left="100" w:right="60"/>
        <w:spacing w:after="0" w:line="272" w:lineRule="auto"/>
        <w:rPr>
          <w:sz w:val="20"/>
          <w:szCs w:val="20"/>
          <w:color w:val="auto"/>
        </w:rPr>
      </w:pPr>
      <w:r>
        <w:rPr>
          <w:rFonts w:ascii="Arial" w:cs="Arial" w:eastAsia="Arial" w:hAnsi="Arial"/>
          <w:sz w:val="14"/>
          <w:szCs w:val="14"/>
          <w:color w:val="auto"/>
        </w:rPr>
        <w:t>Ms. Kelman is the former President and Chief Executive Officer of Willow, a revolutionary new women’s health company, having served in that role from 2014 to 2019. From 2011 to 2012, Ms. Kelman served as the Global Division Head of Novartis OTC. Prior to that, Ms. Kelman served in a number of executive roles during her time at Johnson &amp; Johnson from 2000 to 2011, including as President of Vistakon Americas (Acuvue contact lenses) from 2004 to 2009 and as President of LifeScan (OneTouch diabetes monitor) from 2009 to 2011. Before joining J&amp;J, Ms. Kelman worked at Clairol, where she worked on a broad range of CPG personal care categories and was based in Europe for five years. Ms. Kelman started her career in finance at American Express. Ms. Kelman is a member of the board of directors of Mirvie, Brilliant Home Technology, Inc., Binx Health, Inc. and Blue River PetCare, serving as its board chair. Ms. Kelman has a Bachelor of Arts degree and an M.B.A. from Cornell University. Ms. Kelman brings to our Board of Directors extensive knowledge of the healthcare industry and senior leadership and human capital knowledge from her time as CEO of Willow and prior leadership roles in the optical and healthcare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8890</wp:posOffset>
            </wp:positionV>
            <wp:extent cx="58375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201295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1540" w:space="720"/>
            <w:col w:w="7740"/>
          </w:cols>
          <w:pgMar w:left="580" w:top="97" w:right="131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The primary responsibility of our Board is to oversee the management of the business and the affairs of the Company for the benefit of our stockholders and other stakeholders. As part of its responsibility, the Board oversees critical matters such as strategy, management succession planning, financial and other internal controls, corporate governance, risk management and compliance. To assist it in fulfilling its duties, our Board has delegated certain authority to its standing committees—the audit committee, the nominating and corporate governance committee and the compensation committee. The duties and responsibilities of these standing committees are described below under “Board Committees and Meetings.”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9"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We believe the Company benefits from having a strong and independent Board. Under our Corporate Governance Guidelines and the Nasdaq Listing Rules, a director is not independent unless the Board affirmatively determines that he or she does not have a relationship with management that, in the opinion of the Board, would interfere with the exercise of independent judgment in carrying out the responsibilities of a director.</w:t>
      </w:r>
    </w:p>
    <w:p>
      <w:pPr>
        <w:spacing w:after="0" w:line="68" w:lineRule="exact"/>
        <w:rPr>
          <w:sz w:val="20"/>
          <w:szCs w:val="20"/>
          <w:color w:val="auto"/>
        </w:rPr>
      </w:pPr>
    </w:p>
    <w:p>
      <w:pPr>
        <w:jc w:val="both"/>
        <w:ind w:left="760" w:right="20"/>
        <w:spacing w:after="0" w:line="268" w:lineRule="auto"/>
        <w:rPr>
          <w:sz w:val="20"/>
          <w:szCs w:val="20"/>
          <w:color w:val="auto"/>
        </w:rPr>
      </w:pPr>
      <w:r>
        <w:rPr>
          <w:rFonts w:ascii="Arial" w:cs="Arial" w:eastAsia="Arial" w:hAnsi="Arial"/>
          <w:sz w:val="18"/>
          <w:szCs w:val="18"/>
          <w:color w:val="auto"/>
        </w:rPr>
        <w:t>Our Corporate Governance Guidelines define independence in accordance with the independence standards in the current Nasdaq Listing Rules. Our Corporate Governance Guidelines require the Board to review the independence of all directors at least annually.</w:t>
      </w:r>
    </w:p>
    <w:p>
      <w:pPr>
        <w:spacing w:after="0" w:line="6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Our Board has affirmatively determined that all of the directors and nominees for director, except Mr. Fahs, are independent under the guidelines for director independence set forth in the Corporate Governance Guidelines and under all applicable Nasdaq guidelines. Mr. Fahs is not considered an independent director because of his employment as Chief Executive Officer of the Company. All members of the audit committee, compensation committee and nominating and corporate governance committee are independent.</w:t>
      </w:r>
    </w:p>
    <w:p>
      <w:pPr>
        <w:spacing w:after="0" w:line="71"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In making its independence determinations, the Board considered and reviewed all information known to it, including information identified through annual directors’ questionnaires.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We currently have nine directors on our Board. Our certificate of incorporation provides that the authorized number of directors may be changed only by resolution of our Board of Directors.</w:t>
      </w:r>
    </w:p>
    <w:p>
      <w:pPr>
        <w:spacing w:after="0" w:line="4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At the 2021 annual meeting, the stockholders approved an amendment of our certificate of incorporation to phase out the classified structure of the Board and allow for the annual election of our directors. Under the prior classified structure, our Board included three directors in Class I (Mr. Fahs, Ms. Johnson and Ms. Kelman), three directors in Class II (Messrs. Armario and Peeler and Ms. Cianfrocco), and three directors in Class III (Messrs. Tehle and Taylor and Ms. Hepner). One class of directors will stand for election at each annual meeting of stockholders for a one-year term until our prior classified structure is phased out. By the 2024 annual meeting, the Board will be completed declassified and all directors will stand for election annually.</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nominating and corporate governance committee weighs the characteristics, experience, independence and skills of potential candidates for election to the Board and recommends nominees for director to the Board for election by our stockholders in accordance with our Corporate Governance Guidelines.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integrity, accountability, skills, experience, independence, other outside commitments and ability to work collegially with the other members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14  </w:t>
      </w:r>
      <w:r>
        <w:rPr>
          <w:sz w:val="1"/>
          <w:szCs w:val="1"/>
          <w:color w:val="auto"/>
        </w:rPr>
        <w:drawing>
          <wp:inline distT="0" distB="0" distL="0" distR="0">
            <wp:extent cx="300355" cy="24003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Diversity, Qualifications, Skills and Experiences of our Directors</w:t>
      </w:r>
    </w:p>
    <w:p>
      <w:pPr>
        <w:spacing w:after="0" w:line="11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addition, although the Board considers and fully appreciates the value of a diversity of viewpoints, background and experiences (including age, gender, race and ethnicity) as important to the selection of directors to enhance the Board’s cognitive diversity and quality of dialogue in the Boardroom, the Board does not have a formal diversity policy. The nominating and corporate governance committee believes that the current members of the Board provide a demonstrated executive leadership ability and are representative of diverse backgrounds.</w:t>
      </w:r>
    </w:p>
    <w:p>
      <w:pPr>
        <w:spacing w:after="0" w:line="71"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When considering whether directors and nominees have the experience, qualifications, attributes or skills, taken as a whole, to enable our Board of Directors to satisfy its oversight responsibilities effectively in light of our business and structure and address areas where additional expertise or skills may be needed,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 as key qualifications, attributes or skills to provide Board oversight of the Company’s business operations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86360</wp:posOffset>
            </wp:positionV>
            <wp:extent cx="5829300" cy="4705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29300" cy="470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26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24" w:lineRule="exact"/>
        <w:rPr>
          <w:sz w:val="20"/>
          <w:szCs w:val="20"/>
          <w:color w:val="auto"/>
        </w:rPr>
      </w:pPr>
    </w:p>
    <w:tbl>
      <w:tblPr>
        <w:tblLayout w:type="fixed"/>
        <w:tblInd w:w="770" w:type="dxa"/>
        <w:tblCellMar>
          <w:top w:w="0" w:type="dxa"/>
          <w:left w:w="0" w:type="dxa"/>
          <w:bottom w:w="0" w:type="dxa"/>
          <w:right w:w="0" w:type="dxa"/>
        </w:tblCellMar>
      </w:tblPr>
      <w:tr>
        <w:trPr>
          <w:trHeight w:val="256"/>
        </w:trPr>
        <w:tc>
          <w:tcPr>
            <w:tcW w:w="40" w:type="dxa"/>
            <w:vAlign w:val="bottom"/>
            <w:tcBorders>
              <w:left w:val="single" w:sz="8" w:color="3C5896"/>
            </w:tcBorders>
          </w:tcPr>
          <w:p>
            <w:pPr>
              <w:spacing w:after="0"/>
              <w:rPr>
                <w:sz w:val="22"/>
                <w:szCs w:val="22"/>
                <w:color w:val="auto"/>
              </w:rPr>
            </w:pPr>
          </w:p>
        </w:tc>
        <w:tc>
          <w:tcPr>
            <w:tcW w:w="18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6360" w:type="dxa"/>
            <w:vAlign w:val="bottom"/>
            <w:gridSpan w:val="4"/>
            <w:shd w:val="clear" w:color="auto" w:fill="3C5896"/>
          </w:tcPr>
          <w:p>
            <w:pPr>
              <w:jc w:val="right"/>
              <w:spacing w:after="0"/>
              <w:rPr>
                <w:sz w:val="20"/>
                <w:szCs w:val="20"/>
                <w:color w:val="auto"/>
              </w:rPr>
            </w:pPr>
            <w:r>
              <w:rPr>
                <w:rFonts w:ascii="Arial" w:cs="Arial" w:eastAsia="Arial" w:hAnsi="Arial"/>
                <w:sz w:val="18"/>
                <w:szCs w:val="18"/>
                <w:b w:val="1"/>
                <w:bCs w:val="1"/>
                <w:color w:val="FFFFFF"/>
              </w:rPr>
              <w:t>Board Diversity Matrix (As of January 1, 2022)</w:t>
            </w:r>
          </w:p>
        </w:tc>
        <w:tc>
          <w:tcPr>
            <w:tcW w:w="200" w:type="dxa"/>
            <w:vAlign w:val="bottom"/>
            <w:shd w:val="clear" w:color="auto" w:fill="3C5896"/>
          </w:tcPr>
          <w:p>
            <w:pPr>
              <w:spacing w:after="0"/>
              <w:rPr>
                <w:sz w:val="22"/>
                <w:szCs w:val="22"/>
                <w:color w:val="auto"/>
              </w:rPr>
            </w:pPr>
          </w:p>
        </w:tc>
        <w:tc>
          <w:tcPr>
            <w:tcW w:w="340" w:type="dxa"/>
            <w:vAlign w:val="bottom"/>
            <w:shd w:val="clear" w:color="auto" w:fill="3C5896"/>
          </w:tcPr>
          <w:p>
            <w:pPr>
              <w:spacing w:after="0"/>
              <w:rPr>
                <w:sz w:val="22"/>
                <w:szCs w:val="22"/>
                <w:color w:val="auto"/>
              </w:rPr>
            </w:pPr>
          </w:p>
        </w:tc>
        <w:tc>
          <w:tcPr>
            <w:tcW w:w="20" w:type="dxa"/>
            <w:vAlign w:val="bottom"/>
            <w:shd w:val="clear" w:color="auto" w:fill="3C5896"/>
          </w:tcPr>
          <w:p>
            <w:pPr>
              <w:spacing w:after="0"/>
              <w:rPr>
                <w:sz w:val="22"/>
                <w:szCs w:val="22"/>
                <w:color w:val="auto"/>
              </w:rPr>
            </w:pPr>
          </w:p>
        </w:tc>
        <w:tc>
          <w:tcPr>
            <w:tcW w:w="160" w:type="dxa"/>
            <w:vAlign w:val="bottom"/>
            <w:shd w:val="clear" w:color="auto" w:fill="3C5896"/>
          </w:tcPr>
          <w:p>
            <w:pPr>
              <w:spacing w:after="0"/>
              <w:rPr>
                <w:sz w:val="22"/>
                <w:szCs w:val="22"/>
                <w:color w:val="auto"/>
              </w:rPr>
            </w:pPr>
          </w:p>
        </w:tc>
        <w:tc>
          <w:tcPr>
            <w:tcW w:w="900" w:type="dxa"/>
            <w:vAlign w:val="bottom"/>
            <w:shd w:val="clear" w:color="auto" w:fill="3C5896"/>
          </w:tcPr>
          <w:p>
            <w:pPr>
              <w:spacing w:after="0"/>
              <w:rPr>
                <w:sz w:val="22"/>
                <w:szCs w:val="22"/>
                <w:color w:val="auto"/>
              </w:rPr>
            </w:pPr>
          </w:p>
        </w:tc>
        <w:tc>
          <w:tcPr>
            <w:tcW w:w="80" w:type="dxa"/>
            <w:vAlign w:val="bottom"/>
            <w:shd w:val="clear" w:color="auto" w:fill="3C5896"/>
          </w:tcPr>
          <w:p>
            <w:pPr>
              <w:spacing w:after="0"/>
              <w:rPr>
                <w:sz w:val="22"/>
                <w:szCs w:val="22"/>
                <w:color w:val="auto"/>
              </w:rPr>
            </w:pPr>
          </w:p>
        </w:tc>
        <w:tc>
          <w:tcPr>
            <w:tcW w:w="800" w:type="dxa"/>
            <w:vAlign w:val="bottom"/>
            <w:shd w:val="clear" w:color="auto" w:fill="3C5896"/>
          </w:tcPr>
          <w:p>
            <w:pPr>
              <w:spacing w:after="0"/>
              <w:rPr>
                <w:sz w:val="22"/>
                <w:szCs w:val="22"/>
                <w:color w:val="auto"/>
              </w:rPr>
            </w:pPr>
          </w:p>
        </w:tc>
        <w:tc>
          <w:tcPr>
            <w:tcW w:w="120" w:type="dxa"/>
            <w:vAlign w:val="bottom"/>
            <w:tcBorders>
              <w:right w:val="single" w:sz="8" w:color="3C5896"/>
            </w:tcBorders>
            <w:shd w:val="clear" w:color="auto" w:fill="3C5896"/>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6"/>
        </w:trPr>
        <w:tc>
          <w:tcPr>
            <w:tcW w:w="40" w:type="dxa"/>
            <w:vAlign w:val="bottom"/>
            <w:tcBorders>
              <w:left w:val="single" w:sz="8" w:color="3C5896"/>
            </w:tcBorders>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highlight w:val="white"/>
              </w:rPr>
              <w:t>​</w:t>
            </w:r>
            <w:r>
              <w:rPr>
                <w:rFonts w:ascii="Arial" w:cs="Arial" w:eastAsia="Arial" w:hAnsi="Arial"/>
                <w:sz w:val="18"/>
                <w:szCs w:val="18"/>
                <w:color w:val="auto"/>
              </w:rPr>
              <w:t>Total Number of Directors</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40" w:type="dxa"/>
            <w:vAlign w:val="bottom"/>
            <w:tcBorders>
              <w:left w:val="single" w:sz="8" w:color="3C5896"/>
            </w:tcBorders>
          </w:tcPr>
          <w:p>
            <w:pPr>
              <w:spacing w:after="0"/>
              <w:rPr>
                <w:sz w:val="15"/>
                <w:szCs w:val="15"/>
                <w:color w:val="auto"/>
              </w:rPr>
            </w:pPr>
          </w:p>
        </w:tc>
        <w:tc>
          <w:tcPr>
            <w:tcW w:w="180" w:type="dxa"/>
            <w:vAlign w:val="bottom"/>
            <w:shd w:val="clear" w:color="auto" w:fill="3C5896"/>
          </w:tcPr>
          <w:p>
            <w:pPr>
              <w:spacing w:after="0"/>
              <w:rPr>
                <w:sz w:val="15"/>
                <w:szCs w:val="15"/>
                <w:color w:val="auto"/>
              </w:rPr>
            </w:pPr>
          </w:p>
        </w:tc>
        <w:tc>
          <w:tcPr>
            <w:tcW w:w="4580" w:type="dxa"/>
            <w:vAlign w:val="bottom"/>
            <w:shd w:val="clear" w:color="auto" w:fill="3C5896"/>
          </w:tcPr>
          <w:p>
            <w:pPr>
              <w:spacing w:after="0"/>
              <w:rPr>
                <w:sz w:val="15"/>
                <w:szCs w:val="15"/>
                <w:color w:val="auto"/>
              </w:rPr>
            </w:pPr>
          </w:p>
        </w:tc>
        <w:tc>
          <w:tcPr>
            <w:tcW w:w="1120" w:type="dxa"/>
            <w:vAlign w:val="bottom"/>
            <w:shd w:val="clear" w:color="auto" w:fill="3C5896"/>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3C5896"/>
          </w:tcPr>
          <w:p>
            <w:pPr>
              <w:spacing w:after="0"/>
              <w:rPr>
                <w:sz w:val="15"/>
                <w:szCs w:val="15"/>
                <w:color w:val="auto"/>
              </w:rPr>
            </w:pPr>
          </w:p>
        </w:tc>
        <w:tc>
          <w:tcPr>
            <w:tcW w:w="900" w:type="dxa"/>
            <w:vAlign w:val="bottom"/>
            <w:shd w:val="clear" w:color="auto" w:fill="3C5896"/>
          </w:tcPr>
          <w:p>
            <w:pPr>
              <w:spacing w:after="0"/>
              <w:rPr>
                <w:sz w:val="15"/>
                <w:szCs w:val="15"/>
                <w:color w:val="auto"/>
              </w:rPr>
            </w:pPr>
          </w:p>
        </w:tc>
        <w:tc>
          <w:tcPr>
            <w:tcW w:w="80" w:type="dxa"/>
            <w:vAlign w:val="bottom"/>
            <w:shd w:val="clear" w:color="auto" w:fill="3C5896"/>
          </w:tcPr>
          <w:p>
            <w:pPr>
              <w:spacing w:after="0"/>
              <w:rPr>
                <w:sz w:val="15"/>
                <w:szCs w:val="15"/>
                <w:color w:val="auto"/>
              </w:rPr>
            </w:pPr>
          </w:p>
        </w:tc>
        <w:tc>
          <w:tcPr>
            <w:tcW w:w="800" w:type="dxa"/>
            <w:vAlign w:val="bottom"/>
            <w:shd w:val="clear" w:color="auto" w:fill="3C5896"/>
          </w:tcPr>
          <w:p>
            <w:pPr>
              <w:jc w:val="center"/>
              <w:spacing w:after="0" w:line="183" w:lineRule="exact"/>
              <w:rPr>
                <w:sz w:val="20"/>
                <w:szCs w:val="20"/>
                <w:color w:val="auto"/>
              </w:rPr>
            </w:pPr>
            <w:r>
              <w:rPr>
                <w:rFonts w:ascii="Arial" w:cs="Arial" w:eastAsia="Arial" w:hAnsi="Arial"/>
                <w:sz w:val="18"/>
                <w:szCs w:val="18"/>
                <w:b w:val="1"/>
                <w:bCs w:val="1"/>
                <w:color w:val="FFFFFF"/>
                <w:w w:val="99"/>
              </w:rPr>
              <w:t>Did Not</w:t>
            </w:r>
          </w:p>
        </w:tc>
        <w:tc>
          <w:tcPr>
            <w:tcW w:w="120" w:type="dxa"/>
            <w:vAlign w:val="bottom"/>
            <w:tcBorders>
              <w:right w:val="single" w:sz="8" w:color="3C5896"/>
            </w:tcBorders>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3C5896"/>
            </w:tcBorders>
          </w:tcPr>
          <w:p>
            <w:pPr>
              <w:spacing w:after="0"/>
              <w:rPr>
                <w:sz w:val="16"/>
                <w:szCs w:val="16"/>
                <w:color w:val="auto"/>
              </w:rPr>
            </w:pPr>
          </w:p>
        </w:tc>
        <w:tc>
          <w:tcPr>
            <w:tcW w:w="180" w:type="dxa"/>
            <w:vAlign w:val="bottom"/>
            <w:vMerge w:val="restart"/>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4580" w:type="dxa"/>
            <w:vAlign w:val="bottom"/>
            <w:shd w:val="clear" w:color="auto" w:fill="3C5896"/>
          </w:tcPr>
          <w:p>
            <w:pPr>
              <w:spacing w:after="0"/>
              <w:rPr>
                <w:sz w:val="16"/>
                <w:szCs w:val="16"/>
                <w:color w:val="auto"/>
              </w:rPr>
            </w:pPr>
          </w:p>
        </w:tc>
        <w:tc>
          <w:tcPr>
            <w:tcW w:w="1120" w:type="dxa"/>
            <w:vAlign w:val="bottom"/>
            <w:shd w:val="clear" w:color="auto" w:fill="3C5896"/>
          </w:tcPr>
          <w:p>
            <w:pPr>
              <w:spacing w:after="0"/>
              <w:rPr>
                <w:sz w:val="16"/>
                <w:szCs w:val="16"/>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FFFFFF"/>
                <w:w w:val="86"/>
              </w:rPr>
              <w:t>​​Female​​Male​​Non</w:t>
            </w:r>
          </w:p>
        </w:tc>
        <w:tc>
          <w:tcPr>
            <w:tcW w:w="20" w:type="dxa"/>
            <w:vAlign w:val="bottom"/>
          </w:tcPr>
          <w:p>
            <w:pPr>
              <w:spacing w:after="0"/>
              <w:rPr>
                <w:sz w:val="16"/>
                <w:szCs w:val="16"/>
                <w:color w:val="auto"/>
              </w:rPr>
            </w:pPr>
          </w:p>
        </w:tc>
        <w:tc>
          <w:tcPr>
            <w:tcW w:w="1060" w:type="dxa"/>
            <w:vAlign w:val="bottom"/>
            <w:gridSpan w:val="2"/>
            <w:vMerge w:val="restart"/>
            <w:shd w:val="clear" w:color="auto" w:fill="3C5896"/>
          </w:tcPr>
          <w:p>
            <w:pPr>
              <w:jc w:val="right"/>
              <w:spacing w:after="0"/>
              <w:rPr>
                <w:sz w:val="20"/>
                <w:szCs w:val="20"/>
                <w:color w:val="auto"/>
              </w:rPr>
            </w:pPr>
            <w:r>
              <w:rPr>
                <w:rFonts w:ascii="Arial" w:cs="Arial" w:eastAsia="Arial" w:hAnsi="Arial"/>
                <w:sz w:val="18"/>
                <w:szCs w:val="18"/>
                <w:b w:val="1"/>
                <w:bCs w:val="1"/>
                <w:color w:val="FFFFFF"/>
              </w:rPr>
              <w:t>-Binary​​</w:t>
            </w:r>
          </w:p>
        </w:tc>
        <w:tc>
          <w:tcPr>
            <w:tcW w:w="80" w:type="dxa"/>
            <w:vAlign w:val="bottom"/>
            <w:shd w:val="clear" w:color="auto" w:fill="3C5896"/>
          </w:tcPr>
          <w:p>
            <w:pPr>
              <w:spacing w:after="0"/>
              <w:rPr>
                <w:sz w:val="16"/>
                <w:szCs w:val="16"/>
                <w:color w:val="auto"/>
              </w:rPr>
            </w:pPr>
          </w:p>
        </w:tc>
        <w:tc>
          <w:tcPr>
            <w:tcW w:w="800" w:type="dxa"/>
            <w:vAlign w:val="bottom"/>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Disclose</w:t>
            </w:r>
          </w:p>
        </w:tc>
        <w:tc>
          <w:tcPr>
            <w:tcW w:w="120" w:type="dxa"/>
            <w:vAlign w:val="bottom"/>
            <w:tcBorders>
              <w:right w:val="single" w:sz="8" w:color="3C5896"/>
            </w:tcBorders>
            <w:vMerge w:val="restart"/>
            <w:shd w:val="clear" w:color="auto" w:fill="3C5896"/>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35"/>
        </w:trPr>
        <w:tc>
          <w:tcPr>
            <w:tcW w:w="40" w:type="dxa"/>
            <w:vAlign w:val="bottom"/>
            <w:tcBorders>
              <w:left w:val="single" w:sz="8" w:color="3C5896"/>
            </w:tcBorders>
          </w:tcPr>
          <w:p>
            <w:pPr>
              <w:spacing w:after="0"/>
              <w:rPr>
                <w:sz w:val="20"/>
                <w:szCs w:val="20"/>
                <w:color w:val="auto"/>
              </w:rPr>
            </w:pPr>
          </w:p>
        </w:tc>
        <w:tc>
          <w:tcPr>
            <w:tcW w:w="180" w:type="dxa"/>
            <w:vAlign w:val="bottom"/>
            <w:vMerge w:val="continue"/>
            <w:shd w:val="clear" w:color="auto" w:fill="3C5896"/>
          </w:tcPr>
          <w:p>
            <w:pPr>
              <w:spacing w:after="0"/>
              <w:rPr>
                <w:sz w:val="20"/>
                <w:szCs w:val="20"/>
                <w:color w:val="auto"/>
              </w:rPr>
            </w:pPr>
          </w:p>
        </w:tc>
        <w:tc>
          <w:tcPr>
            <w:tcW w:w="4580" w:type="dxa"/>
            <w:vAlign w:val="bottom"/>
            <w:shd w:val="clear" w:color="auto" w:fill="3C5896"/>
          </w:tcPr>
          <w:p>
            <w:pPr>
              <w:spacing w:after="0"/>
              <w:rPr>
                <w:sz w:val="20"/>
                <w:szCs w:val="20"/>
                <w:color w:val="auto"/>
              </w:rPr>
            </w:pPr>
          </w:p>
        </w:tc>
        <w:tc>
          <w:tcPr>
            <w:tcW w:w="1120" w:type="dxa"/>
            <w:vAlign w:val="bottom"/>
            <w:shd w:val="clear" w:color="auto" w:fill="3C5896"/>
          </w:tcPr>
          <w:p>
            <w:pPr>
              <w:spacing w:after="0"/>
              <w:rPr>
                <w:sz w:val="20"/>
                <w:szCs w:val="20"/>
                <w:color w:val="auto"/>
              </w:rPr>
            </w:pPr>
          </w:p>
        </w:tc>
        <w:tc>
          <w:tcPr>
            <w:tcW w:w="120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vMerge w:val="continue"/>
            <w:shd w:val="clear" w:color="auto" w:fill="3C5896"/>
          </w:tcPr>
          <w:p>
            <w:pPr>
              <w:spacing w:after="0"/>
              <w:rPr>
                <w:sz w:val="20"/>
                <w:szCs w:val="20"/>
                <w:color w:val="auto"/>
              </w:rPr>
            </w:pPr>
          </w:p>
        </w:tc>
        <w:tc>
          <w:tcPr>
            <w:tcW w:w="80" w:type="dxa"/>
            <w:vAlign w:val="bottom"/>
            <w:shd w:val="clear" w:color="auto" w:fill="3C5896"/>
          </w:tcPr>
          <w:p>
            <w:pPr>
              <w:spacing w:after="0"/>
              <w:rPr>
                <w:sz w:val="20"/>
                <w:szCs w:val="20"/>
                <w:color w:val="auto"/>
              </w:rPr>
            </w:pPr>
          </w:p>
        </w:tc>
        <w:tc>
          <w:tcPr>
            <w:tcW w:w="800" w:type="dxa"/>
            <w:vAlign w:val="bottom"/>
            <w:shd w:val="clear" w:color="auto" w:fill="3C5896"/>
          </w:tcPr>
          <w:p>
            <w:pPr>
              <w:jc w:val="center"/>
              <w:spacing w:after="0"/>
              <w:rPr>
                <w:sz w:val="20"/>
                <w:szCs w:val="20"/>
                <w:color w:val="auto"/>
              </w:rPr>
            </w:pPr>
            <w:r>
              <w:rPr>
                <w:rFonts w:ascii="Arial" w:cs="Arial" w:eastAsia="Arial" w:hAnsi="Arial"/>
                <w:sz w:val="18"/>
                <w:szCs w:val="18"/>
                <w:b w:val="1"/>
                <w:bCs w:val="1"/>
                <w:color w:val="FFFFFF"/>
                <w:w w:val="98"/>
              </w:rPr>
              <w:t>Gender</w:t>
            </w:r>
          </w:p>
        </w:tc>
        <w:tc>
          <w:tcPr>
            <w:tcW w:w="120" w:type="dxa"/>
            <w:vAlign w:val="bottom"/>
            <w:tcBorders>
              <w:right w:val="single" w:sz="8" w:color="3C5896"/>
            </w:tcBorders>
            <w:vMerge w:val="continue"/>
            <w:shd w:val="clear" w:color="auto" w:fill="3C589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3C5896"/>
            </w:tcBorders>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40" w:type="dxa"/>
            <w:vAlign w:val="bottom"/>
            <w:tcBorders>
              <w:left w:val="single" w:sz="8" w:color="3C5896"/>
            </w:tcBorders>
          </w:tcPr>
          <w:p>
            <w:pPr>
              <w:spacing w:after="0"/>
              <w:rPr>
                <w:sz w:val="19"/>
                <w:szCs w:val="19"/>
                <w:color w:val="auto"/>
              </w:rPr>
            </w:pPr>
          </w:p>
        </w:tc>
        <w:tc>
          <w:tcPr>
            <w:tcW w:w="4760" w:type="dxa"/>
            <w:vAlign w:val="bottom"/>
            <w:gridSpan w:val="2"/>
            <w:shd w:val="clear" w:color="auto" w:fill="CCCCCC"/>
          </w:tcPr>
          <w:p>
            <w:pPr>
              <w:ind w:left="20"/>
              <w:spacing w:after="0"/>
              <w:rPr>
                <w:sz w:val="20"/>
                <w:szCs w:val="20"/>
                <w:color w:val="auto"/>
              </w:rPr>
            </w:pPr>
            <w:r>
              <w:rPr>
                <w:rFonts w:ascii="Arial" w:cs="Arial" w:eastAsia="Arial" w:hAnsi="Arial"/>
                <w:sz w:val="18"/>
                <w:szCs w:val="18"/>
                <w:color w:val="auto"/>
              </w:rPr>
              <w:t>​Directors</w:t>
            </w:r>
          </w:p>
        </w:tc>
        <w:tc>
          <w:tcPr>
            <w:tcW w:w="1120" w:type="dxa"/>
            <w:vAlign w:val="bottom"/>
            <w:shd w:val="clear" w:color="auto" w:fill="CCCCCC"/>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left w:val="single" w:sz="8" w:color="3C5896"/>
            </w:tcBorders>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 Demographic Background</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tcBorders>
          </w:tcPr>
          <w:p>
            <w:pPr>
              <w:spacing w:after="0"/>
              <w:rPr>
                <w:sz w:val="21"/>
                <w:szCs w:val="21"/>
                <w:color w:val="auto"/>
              </w:rPr>
            </w:pPr>
          </w:p>
        </w:tc>
        <w:tc>
          <w:tcPr>
            <w:tcW w:w="180" w:type="dxa"/>
            <w:vAlign w:val="bottom"/>
            <w:shd w:val="clear" w:color="auto" w:fill="CCCCCC"/>
          </w:tcPr>
          <w:p>
            <w:pPr>
              <w:ind w:left="20"/>
              <w:spacing w:after="0"/>
              <w:rPr>
                <w:sz w:val="20"/>
                <w:szCs w:val="20"/>
                <w:color w:val="auto"/>
              </w:rPr>
            </w:pPr>
            <w:r>
              <w:rPr>
                <w:rFonts w:ascii="Arial" w:cs="Arial" w:eastAsia="Arial" w:hAnsi="Arial"/>
                <w:sz w:val="18"/>
                <w:szCs w:val="18"/>
                <w:color w:val="auto"/>
              </w:rPr>
              <w:t>​</w:t>
            </w:r>
          </w:p>
        </w:tc>
        <w:tc>
          <w:tcPr>
            <w:tcW w:w="4580" w:type="dxa"/>
            <w:vAlign w:val="bottom"/>
            <w:shd w:val="clear" w:color="auto" w:fill="CCCCCC"/>
          </w:tcPr>
          <w:p>
            <w:pPr>
              <w:ind w:left="60"/>
              <w:spacing w:after="0"/>
              <w:rPr>
                <w:sz w:val="20"/>
                <w:szCs w:val="20"/>
                <w:color w:val="auto"/>
              </w:rPr>
            </w:pPr>
            <w:r>
              <w:rPr>
                <w:rFonts w:ascii="Arial" w:cs="Arial" w:eastAsia="Arial" w:hAnsi="Arial"/>
                <w:sz w:val="18"/>
                <w:szCs w:val="18"/>
                <w:color w:val="auto"/>
              </w:rPr>
              <w:t>African American or Black</w:t>
            </w:r>
          </w:p>
        </w:tc>
        <w:tc>
          <w:tcPr>
            <w:tcW w:w="1120" w:type="dxa"/>
            <w:vAlign w:val="bottom"/>
            <w:shd w:val="clear" w:color="auto" w:fill="CCCCCC"/>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tcBorders>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4580" w:type="dxa"/>
            <w:vAlign w:val="bottom"/>
          </w:tcPr>
          <w:p>
            <w:pPr>
              <w:ind w:left="60"/>
              <w:spacing w:after="0"/>
              <w:rPr>
                <w:sz w:val="20"/>
                <w:szCs w:val="20"/>
                <w:color w:val="auto"/>
              </w:rPr>
            </w:pPr>
            <w:r>
              <w:rPr>
                <w:rFonts w:ascii="Arial" w:cs="Arial" w:eastAsia="Arial" w:hAnsi="Arial"/>
                <w:sz w:val="18"/>
                <w:szCs w:val="18"/>
                <w:color w:val="auto"/>
              </w:rPr>
              <w:t>Alaskan Native or Native American</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tcBorders>
          </w:tcPr>
          <w:p>
            <w:pPr>
              <w:spacing w:after="0"/>
              <w:rPr>
                <w:sz w:val="21"/>
                <w:szCs w:val="21"/>
                <w:color w:val="auto"/>
              </w:rPr>
            </w:pPr>
          </w:p>
        </w:tc>
        <w:tc>
          <w:tcPr>
            <w:tcW w:w="180" w:type="dxa"/>
            <w:vAlign w:val="bottom"/>
            <w:shd w:val="clear" w:color="auto" w:fill="CCCCCC"/>
          </w:tcPr>
          <w:p>
            <w:pPr>
              <w:ind w:left="20"/>
              <w:spacing w:after="0"/>
              <w:rPr>
                <w:sz w:val="20"/>
                <w:szCs w:val="20"/>
                <w:color w:val="auto"/>
              </w:rPr>
            </w:pPr>
            <w:r>
              <w:rPr>
                <w:rFonts w:ascii="Arial" w:cs="Arial" w:eastAsia="Arial" w:hAnsi="Arial"/>
                <w:sz w:val="18"/>
                <w:szCs w:val="18"/>
                <w:color w:val="auto"/>
              </w:rPr>
              <w:t>​</w:t>
            </w:r>
          </w:p>
        </w:tc>
        <w:tc>
          <w:tcPr>
            <w:tcW w:w="4580" w:type="dxa"/>
            <w:vAlign w:val="bottom"/>
            <w:shd w:val="clear" w:color="auto" w:fill="CCCCCC"/>
          </w:tcPr>
          <w:p>
            <w:pPr>
              <w:ind w:left="60"/>
              <w:spacing w:after="0"/>
              <w:rPr>
                <w:sz w:val="20"/>
                <w:szCs w:val="20"/>
                <w:color w:val="auto"/>
              </w:rPr>
            </w:pPr>
            <w:r>
              <w:rPr>
                <w:rFonts w:ascii="Arial" w:cs="Arial" w:eastAsia="Arial" w:hAnsi="Arial"/>
                <w:sz w:val="18"/>
                <w:szCs w:val="18"/>
                <w:color w:val="auto"/>
              </w:rPr>
              <w:t>Asian</w:t>
            </w:r>
          </w:p>
        </w:tc>
        <w:tc>
          <w:tcPr>
            <w:tcW w:w="1120" w:type="dxa"/>
            <w:vAlign w:val="bottom"/>
            <w:shd w:val="clear" w:color="auto" w:fill="CCCCCC"/>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tcBorders>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4580" w:type="dxa"/>
            <w:vAlign w:val="bottom"/>
          </w:tcPr>
          <w:p>
            <w:pPr>
              <w:ind w:left="60"/>
              <w:spacing w:after="0"/>
              <w:rPr>
                <w:sz w:val="20"/>
                <w:szCs w:val="20"/>
                <w:color w:val="auto"/>
              </w:rPr>
            </w:pPr>
            <w:r>
              <w:rPr>
                <w:rFonts w:ascii="Arial" w:cs="Arial" w:eastAsia="Arial" w:hAnsi="Arial"/>
                <w:sz w:val="18"/>
                <w:szCs w:val="18"/>
                <w:color w:val="auto"/>
              </w:rPr>
              <w:t>Hispanic or Latinx</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tcBorders>
          </w:tcPr>
          <w:p>
            <w:pPr>
              <w:spacing w:after="0"/>
              <w:rPr>
                <w:sz w:val="21"/>
                <w:szCs w:val="21"/>
                <w:color w:val="auto"/>
              </w:rPr>
            </w:pPr>
          </w:p>
        </w:tc>
        <w:tc>
          <w:tcPr>
            <w:tcW w:w="180" w:type="dxa"/>
            <w:vAlign w:val="bottom"/>
            <w:shd w:val="clear" w:color="auto" w:fill="CCCCCC"/>
          </w:tcPr>
          <w:p>
            <w:pPr>
              <w:ind w:left="20"/>
              <w:spacing w:after="0"/>
              <w:rPr>
                <w:sz w:val="20"/>
                <w:szCs w:val="20"/>
                <w:color w:val="auto"/>
              </w:rPr>
            </w:pPr>
            <w:r>
              <w:rPr>
                <w:rFonts w:ascii="Arial" w:cs="Arial" w:eastAsia="Arial" w:hAnsi="Arial"/>
                <w:sz w:val="18"/>
                <w:szCs w:val="18"/>
                <w:color w:val="auto"/>
              </w:rPr>
              <w:t>​</w:t>
            </w:r>
          </w:p>
        </w:tc>
        <w:tc>
          <w:tcPr>
            <w:tcW w:w="4580" w:type="dxa"/>
            <w:vAlign w:val="bottom"/>
            <w:shd w:val="clear" w:color="auto" w:fill="CCCCCC"/>
          </w:tcPr>
          <w:p>
            <w:pPr>
              <w:ind w:left="60"/>
              <w:spacing w:after="0"/>
              <w:rPr>
                <w:sz w:val="20"/>
                <w:szCs w:val="20"/>
                <w:color w:val="auto"/>
              </w:rPr>
            </w:pPr>
            <w:r>
              <w:rPr>
                <w:rFonts w:ascii="Arial" w:cs="Arial" w:eastAsia="Arial" w:hAnsi="Arial"/>
                <w:sz w:val="18"/>
                <w:szCs w:val="18"/>
                <w:color w:val="auto"/>
              </w:rPr>
              <w:t>Native Hawaiian or Pacific Islander</w:t>
            </w:r>
          </w:p>
        </w:tc>
        <w:tc>
          <w:tcPr>
            <w:tcW w:w="1120" w:type="dxa"/>
            <w:vAlign w:val="bottom"/>
            <w:shd w:val="clear" w:color="auto" w:fill="CCCCCC"/>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tcBorders>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4580" w:type="dxa"/>
            <w:vAlign w:val="bottom"/>
          </w:tcPr>
          <w:p>
            <w:pPr>
              <w:ind w:left="60"/>
              <w:spacing w:after="0"/>
              <w:rPr>
                <w:sz w:val="20"/>
                <w:szCs w:val="20"/>
                <w:color w:val="auto"/>
              </w:rPr>
            </w:pPr>
            <w:r>
              <w:rPr>
                <w:rFonts w:ascii="Arial" w:cs="Arial" w:eastAsia="Arial" w:hAnsi="Arial"/>
                <w:sz w:val="18"/>
                <w:szCs w:val="18"/>
                <w:color w:val="auto"/>
              </w:rPr>
              <w:t>White</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tcBorders>
          </w:tcPr>
          <w:p>
            <w:pPr>
              <w:spacing w:after="0"/>
              <w:rPr>
                <w:sz w:val="21"/>
                <w:szCs w:val="21"/>
                <w:color w:val="auto"/>
              </w:rPr>
            </w:pPr>
          </w:p>
        </w:tc>
        <w:tc>
          <w:tcPr>
            <w:tcW w:w="180" w:type="dxa"/>
            <w:vAlign w:val="bottom"/>
            <w:shd w:val="clear" w:color="auto" w:fill="CCCCCC"/>
          </w:tcPr>
          <w:p>
            <w:pPr>
              <w:ind w:left="20"/>
              <w:spacing w:after="0"/>
              <w:rPr>
                <w:sz w:val="20"/>
                <w:szCs w:val="20"/>
                <w:color w:val="auto"/>
              </w:rPr>
            </w:pPr>
            <w:r>
              <w:rPr>
                <w:rFonts w:ascii="Arial" w:cs="Arial" w:eastAsia="Arial" w:hAnsi="Arial"/>
                <w:sz w:val="18"/>
                <w:szCs w:val="18"/>
                <w:color w:val="auto"/>
              </w:rPr>
              <w:t>​</w:t>
            </w:r>
          </w:p>
        </w:tc>
        <w:tc>
          <w:tcPr>
            <w:tcW w:w="4580" w:type="dxa"/>
            <w:vAlign w:val="bottom"/>
            <w:shd w:val="clear" w:color="auto" w:fill="CCCCCC"/>
          </w:tcPr>
          <w:p>
            <w:pPr>
              <w:ind w:left="60"/>
              <w:spacing w:after="0"/>
              <w:rPr>
                <w:sz w:val="20"/>
                <w:szCs w:val="20"/>
                <w:color w:val="auto"/>
              </w:rPr>
            </w:pPr>
            <w:r>
              <w:rPr>
                <w:rFonts w:ascii="Arial" w:cs="Arial" w:eastAsia="Arial" w:hAnsi="Arial"/>
                <w:sz w:val="18"/>
                <w:szCs w:val="18"/>
                <w:color w:val="auto"/>
              </w:rPr>
              <w:t>Two or More Races or Ethnicities</w:t>
            </w:r>
          </w:p>
        </w:tc>
        <w:tc>
          <w:tcPr>
            <w:tcW w:w="1120" w:type="dxa"/>
            <w:vAlign w:val="bottom"/>
            <w:shd w:val="clear" w:color="auto" w:fill="CCCCCC"/>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tcBorders>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580" w:type="dxa"/>
            <w:vAlign w:val="bottom"/>
          </w:tcPr>
          <w:p>
            <w:pPr>
              <w:ind w:left="60"/>
              <w:spacing w:after="0"/>
              <w:rPr>
                <w:sz w:val="20"/>
                <w:szCs w:val="20"/>
                <w:color w:val="auto"/>
              </w:rPr>
            </w:pPr>
            <w:r>
              <w:rPr>
                <w:rFonts w:ascii="Arial" w:cs="Arial" w:eastAsia="Arial" w:hAnsi="Arial"/>
                <w:sz w:val="18"/>
                <w:szCs w:val="18"/>
                <w:color w:val="auto"/>
              </w:rPr>
              <w:t>LGBTQ+</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color w:val="auto"/>
                <w:w w:val="99"/>
              </w:rPr>
              <w:t>     0</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Borders>
              <w:left w:val="single" w:sz="8" w:color="3C5896"/>
              <w:bottom w:val="single" w:sz="8" w:color="3C5896"/>
            </w:tcBorders>
          </w:tcPr>
          <w:p>
            <w:pPr>
              <w:spacing w:after="0"/>
              <w:rPr>
                <w:sz w:val="21"/>
                <w:szCs w:val="21"/>
                <w:color w:val="auto"/>
              </w:rPr>
            </w:pPr>
          </w:p>
        </w:tc>
        <w:tc>
          <w:tcPr>
            <w:tcW w:w="180" w:type="dxa"/>
            <w:vAlign w:val="bottom"/>
            <w:tcBorders>
              <w:bottom w:val="single" w:sz="8" w:color="3C5896"/>
            </w:tcBorders>
          </w:tcPr>
          <w:p>
            <w:pPr>
              <w:spacing w:after="0"/>
              <w:rPr>
                <w:sz w:val="20"/>
                <w:szCs w:val="20"/>
                <w:color w:val="auto"/>
              </w:rPr>
            </w:pPr>
            <w:r>
              <w:rPr>
                <w:rFonts w:ascii="Arial" w:cs="Arial" w:eastAsia="Arial" w:hAnsi="Arial"/>
                <w:sz w:val="18"/>
                <w:szCs w:val="18"/>
                <w:color w:val="auto"/>
              </w:rPr>
              <w:t>​</w:t>
            </w:r>
          </w:p>
        </w:tc>
        <w:tc>
          <w:tcPr>
            <w:tcW w:w="4580" w:type="dxa"/>
            <w:vAlign w:val="bottom"/>
            <w:tcBorders>
              <w:bottom w:val="single" w:sz="8" w:color="3C5896"/>
            </w:tcBorders>
          </w:tcPr>
          <w:p>
            <w:pPr>
              <w:ind w:left="60"/>
              <w:spacing w:after="0"/>
              <w:rPr>
                <w:sz w:val="20"/>
                <w:szCs w:val="20"/>
                <w:color w:val="auto"/>
              </w:rPr>
            </w:pPr>
            <w:r>
              <w:rPr>
                <w:rFonts w:ascii="Arial" w:cs="Arial" w:eastAsia="Arial" w:hAnsi="Arial"/>
                <w:sz w:val="18"/>
                <w:szCs w:val="18"/>
                <w:color w:val="auto"/>
              </w:rPr>
              <w:t>Did Not Disclose Demographic Background</w:t>
            </w:r>
          </w:p>
        </w:tc>
        <w:tc>
          <w:tcPr>
            <w:tcW w:w="1320" w:type="dxa"/>
            <w:vAlign w:val="bottom"/>
            <w:tcBorders>
              <w:bottom w:val="single" w:sz="8" w:color="3C5896"/>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3C5896"/>
            </w:tcBorders>
          </w:tcPr>
          <w:p>
            <w:pPr>
              <w:spacing w:after="0"/>
              <w:rPr>
                <w:sz w:val="21"/>
                <w:szCs w:val="21"/>
                <w:color w:val="auto"/>
              </w:rPr>
            </w:pPr>
          </w:p>
        </w:tc>
        <w:tc>
          <w:tcPr>
            <w:tcW w:w="200" w:type="dxa"/>
            <w:vAlign w:val="bottom"/>
            <w:tcBorders>
              <w:bottom w:val="single" w:sz="8" w:color="3C5896"/>
            </w:tcBorders>
          </w:tcPr>
          <w:p>
            <w:pPr>
              <w:spacing w:after="0"/>
              <w:rPr>
                <w:sz w:val="21"/>
                <w:szCs w:val="21"/>
                <w:color w:val="auto"/>
              </w:rPr>
            </w:pPr>
          </w:p>
        </w:tc>
        <w:tc>
          <w:tcPr>
            <w:tcW w:w="340" w:type="dxa"/>
            <w:vAlign w:val="bottom"/>
            <w:tcBorders>
              <w:bottom w:val="single" w:sz="8" w:color="3C5896"/>
            </w:tcBorders>
          </w:tcPr>
          <w:p>
            <w:pPr>
              <w:spacing w:after="0"/>
              <w:rPr>
                <w:sz w:val="21"/>
                <w:szCs w:val="21"/>
                <w:color w:val="auto"/>
              </w:rPr>
            </w:pPr>
          </w:p>
        </w:tc>
        <w:tc>
          <w:tcPr>
            <w:tcW w:w="20" w:type="dxa"/>
            <w:vAlign w:val="bottom"/>
            <w:tcBorders>
              <w:bottom w:val="single" w:sz="8" w:color="3C5896"/>
            </w:tcBorders>
          </w:tcPr>
          <w:p>
            <w:pPr>
              <w:spacing w:after="0"/>
              <w:rPr>
                <w:sz w:val="21"/>
                <w:szCs w:val="21"/>
                <w:color w:val="auto"/>
              </w:rPr>
            </w:pPr>
          </w:p>
        </w:tc>
        <w:tc>
          <w:tcPr>
            <w:tcW w:w="160" w:type="dxa"/>
            <w:vAlign w:val="bottom"/>
            <w:tcBorders>
              <w:bottom w:val="single" w:sz="8" w:color="3C5896"/>
            </w:tcBorders>
          </w:tcPr>
          <w:p>
            <w:pPr>
              <w:spacing w:after="0"/>
              <w:rPr>
                <w:sz w:val="21"/>
                <w:szCs w:val="21"/>
                <w:color w:val="auto"/>
              </w:rPr>
            </w:pPr>
          </w:p>
        </w:tc>
        <w:tc>
          <w:tcPr>
            <w:tcW w:w="900" w:type="dxa"/>
            <w:vAlign w:val="bottom"/>
            <w:tcBorders>
              <w:bottom w:val="single" w:sz="8" w:color="3C5896"/>
            </w:tcBorders>
          </w:tcPr>
          <w:p>
            <w:pPr>
              <w:jc w:val="right"/>
              <w:ind w:right="390"/>
              <w:spacing w:after="0"/>
              <w:rPr>
                <w:sz w:val="20"/>
                <w:szCs w:val="20"/>
                <w:color w:val="auto"/>
              </w:rPr>
            </w:pPr>
            <w:r>
              <w:rPr>
                <w:rFonts w:ascii="Arial" w:cs="Arial" w:eastAsia="Arial" w:hAnsi="Arial"/>
                <w:sz w:val="18"/>
                <w:szCs w:val="18"/>
                <w:color w:val="auto"/>
                <w:w w:val="99"/>
              </w:rPr>
              <w:t>     0</w:t>
            </w:r>
          </w:p>
        </w:tc>
        <w:tc>
          <w:tcPr>
            <w:tcW w:w="80" w:type="dxa"/>
            <w:vAlign w:val="bottom"/>
            <w:tcBorders>
              <w:bottom w:val="single" w:sz="8" w:color="3C5896"/>
            </w:tcBorders>
          </w:tcPr>
          <w:p>
            <w:pPr>
              <w:spacing w:after="0"/>
              <w:rPr>
                <w:sz w:val="21"/>
                <w:szCs w:val="21"/>
                <w:color w:val="auto"/>
              </w:rPr>
            </w:pPr>
          </w:p>
        </w:tc>
        <w:tc>
          <w:tcPr>
            <w:tcW w:w="800" w:type="dxa"/>
            <w:vAlign w:val="bottom"/>
            <w:tcBorders>
              <w:bottom w:val="single" w:sz="8" w:color="3C5896"/>
            </w:tcBorders>
          </w:tcPr>
          <w:p>
            <w:pPr>
              <w:spacing w:after="0"/>
              <w:rPr>
                <w:sz w:val="21"/>
                <w:szCs w:val="21"/>
                <w:color w:val="auto"/>
              </w:rPr>
            </w:pPr>
          </w:p>
        </w:tc>
        <w:tc>
          <w:tcPr>
            <w:tcW w:w="12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-2357120</wp:posOffset>
            </wp:positionV>
            <wp:extent cx="5812155" cy="2357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12155" cy="2357755"/>
                    </a:xfrm>
                    <a:prstGeom prst="rect">
                      <a:avLst/>
                    </a:prstGeom>
                    <a:noFill/>
                  </pic:spPr>
                </pic:pic>
              </a:graphicData>
            </a:graphic>
          </wp:anchor>
        </w:drawing>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Nomination Process</w:t>
      </w:r>
    </w:p>
    <w:p>
      <w:pPr>
        <w:spacing w:after="0" w:line="11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The nominating and corporate governance committee may identify candidates for election to the Board of Directors on its own, or by considering recommendations from stockholders, officers and employees of the Company and other sources that the nominating and corporate governance committee deems appropriate. The nominating and corporate governance committee may also retain a third-party search firm to assist in the identification of possible candidates for election to the Board of Directors. The nominating and corporate governance committee will consider director candidates recommended by stockholders on the same basis as recommendations from other sources. Any recommendation submitted to the Secretary of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recommend a candidate for consideration may do so by submitting the required information to the attention of the Secretary, National Vision Holdings, Inc., 2435 Commerce Ave, Building 2200, Duluth, Georgia 30096. All recommendations for nomination received by the Secretary that satisfy our bylaw requirements relating to director nominations will be presented to the nominating and corporate governance committee for its consideration. If stockholders want to formally nominate a director candidate for election, they must satisfy the notification, timeliness, consent and information requirements set forth in our bylaws. These requirements are also described under “Stockholder Proposals for the 2023 Annual Meeting.”</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Leadership Structure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9"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As described in our Corporate Governance Guidelines, our Board directs and oversees the management of the business and the affairs of the Company using its business judgment to act in the best interests of the Company and its stockholders. As part of this oversight role, the Board selects and oversees the members of senior management who are charged by the Board with conducting the business of the Company. While our 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our Board currently believes that having these positions separated, with Mr. Peeler serving as Chairman of the Board and Mr. Fahs serving as our Chief Executive Officer and also as a director, is the appropriate leadership structure at this time and demonstrates our commitment to good corporate governance. However, our Board of Directors will continue to periodically review our leadership structure and may make such changes in the future as it deems appropriate. Under our Corporate Governance Guidelines, should the Board determine that such positions should not be separated and the Chairperson of the Board is also the Chief Executive Officer or a director who does not qualify as an independent director, the independent directors may annually elect from among themselves a lead independent director.</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16  </w:t>
      </w:r>
      <w:r>
        <w:rPr>
          <w:sz w:val="1"/>
          <w:szCs w:val="1"/>
          <w:color w:val="auto"/>
        </w:rPr>
        <w:drawing>
          <wp:inline distT="0" distB="0" distL="0" distR="0">
            <wp:extent cx="300355"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Management is responsible for the day-to-day management of risk, while the Board, as a whole and through its committees has extensive involvement in the oversight of the Company’s risk management. The Board engages in risk oversight throughout the year as a matter of course in fulfilling its role overseeing management and business operations, including receiving reports from management on the strategic plans and related risks facing the Company which range from financial risks to regulatory, legal, supply chain, COVID-19 pandemic-related, sustainability, competitive and information technology risks. Significant operational risks that relate to ongoing business operations are the subject of regularly scheduled reports to either the full Board or one of its committees.</w:t>
      </w:r>
    </w:p>
    <w:p>
      <w:pPr>
        <w:spacing w:after="0" w:line="67"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color w:val="auto"/>
        </w:rPr>
        <w:t>The Board has delegated to its committees certain elements of its risk oversight function to better coordinate with management and serve the long-term interests of our stockholders. The risks periodically reviewed by committees are also reviewed by the entire Board when a committee or the Board determines this is appropriate. The independent chair of the Board promotes effective communication and consideration of matters presenting significant risks to the Company through his role in developing the Board’s meeting agendas, chairing meetings of the Board and facilitating communications between independent directors of the Board and the Chief Executive Officer. We believe that the leadership structure of our Board of Directors, along with the allocation of risk management responsibilities described below by appropriate committee oversight, provides appropriate risk oversight of our activities.</w:t>
      </w:r>
    </w:p>
    <w:p>
      <w:pPr>
        <w:spacing w:after="0" w:line="69"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The audit committee oversees our risk management process with a specific focus on internal controls, financial statement integrity, compliance programs, fraud risk, legal matters and related risk mitigation. Along with the Board, the audit committee also receives regular reports from management to help ensure effective and efficient oversight and to assist in proper risk management, including with respect to cybersecurity and data security risks, and the ongoing evaluation of management controls and procedures. Through its regular meetings with management, including the finance, legal, internal audit, and compliance functions and discussions, as appropriate, with our independent registered public accounting firm and internal auditors, the audit committee reviews and discusses significant areas of our business, including areas of risk and appropriate mitigating factors. Internal audit reports functionally and administratively to our Chief Accounting Officer and directly to the audit committee. The audit committee receives reports on information technology risks, including data security and cybersecurity. The audit committee reviews cybersecurity and data security risks and mitigation strategies, along with program assessments, planned improvements and the status of information technology initiatives, with the Chief Technology Officer quarterly. See the Cybersecurity and Data Privacy Oversight section below for additional details.</w:t>
      </w:r>
    </w:p>
    <w:p>
      <w:pPr>
        <w:spacing w:after="0" w:line="8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compensation committee reviews the risk profile of the Company’s compensation policies and practices, including a review of a risk assessment of our compensation programs and managing risk associated with human capital management, including employee recruitment and retention.</w:t>
      </w:r>
    </w:p>
    <w:p>
      <w:pPr>
        <w:spacing w:after="0" w:line="7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The nominating and corporate governance committee monitors risks relating to governance matters, including environmental, social and governance (ESG) risks, and recommends appropriate actions in response to those risks. See the Corporate Responsibility (ESG) Oversight section below for additional details.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Cybersecurity and Data Privacy Oversight</w:t>
      </w:r>
    </w:p>
    <w:p>
      <w:pPr>
        <w:spacing w:after="0" w:line="117" w:lineRule="exact"/>
        <w:rPr>
          <w:sz w:val="20"/>
          <w:szCs w:val="20"/>
          <w:color w:val="auto"/>
        </w:rPr>
      </w:pPr>
    </w:p>
    <w:p>
      <w:pPr>
        <w:jc w:val="both"/>
        <w:ind w:left="760"/>
        <w:spacing w:after="0" w:line="244" w:lineRule="auto"/>
        <w:rPr>
          <w:sz w:val="20"/>
          <w:szCs w:val="20"/>
          <w:color w:val="auto"/>
        </w:rPr>
      </w:pPr>
      <w:r>
        <w:rPr>
          <w:rFonts w:ascii="Arial" w:cs="Arial" w:eastAsia="Arial" w:hAnsi="Arial"/>
          <w:sz w:val="18"/>
          <w:szCs w:val="18"/>
          <w:color w:val="auto"/>
        </w:rPr>
        <w:t>Our Chief Technology Officer is ultimately responsible for our cybersecurity and data privacy programs, which include the implementation of controls to identify threats, detect attacks and protect our data. We implement technologies and programs designed to ensure our systems are effective and prepared for cybersecurity and data privacy risks, including ongoing security monitoring for internal and external threats. We regularly perform evaluations of our security program and continue to invest in capabilities to protect our data. In addition, we have implemented regular mandatory trainings regarding cybersecurity risks to increase awareness throughout the Company. We carry insurance that provides protection against potential losses arising from a cybersecurity incident (see our risk factors in our 2021 10-K relating to cybersecurity and cybersecurity insurance).</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Corporate Responsibility (ESG) Oversight</w:t>
      </w:r>
    </w:p>
    <w:p>
      <w:pPr>
        <w:spacing w:after="0" w:line="117"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Our Board is highly engaged in our Corporate Responsibility strategy and ESG matters (including sustainability policies and initiatives), especially given that societal impact is intricately linked to the mission of our business— making eye care and eyewear more affordable and accessible. Our nominating and corporate governance committee is responsible for overseeing the effectiveness of our ESG strategies, policies, goals, initiatives and programs, including the review of our annual Corporate Responsibility Report. Our compensation committee is responsible for overseeing the development and implementation of human capital and succession plans and considering how best to incorporate ESG matters</w:t>
      </w:r>
    </w:p>
    <w:p>
      <w:pPr>
        <w:spacing w:after="0" w:line="7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jc w:val="both"/>
        <w:ind w:left="760"/>
        <w:spacing w:after="0" w:line="318" w:lineRule="auto"/>
        <w:rPr>
          <w:sz w:val="20"/>
          <w:szCs w:val="20"/>
          <w:color w:val="auto"/>
        </w:rPr>
      </w:pPr>
      <w:r>
        <w:rPr>
          <w:rFonts w:ascii="Arial" w:cs="Arial" w:eastAsia="Arial" w:hAnsi="Arial"/>
          <w:sz w:val="17"/>
          <w:szCs w:val="17"/>
          <w:color w:val="auto"/>
        </w:rPr>
        <w:t xml:space="preserve">into our executive compensation plans. Our audit committee is responsible for overseeing the Company’s enterprise risk management program, which includes ESG topics. See the Corporate Responsibility section at page </w:t>
      </w:r>
      <w:r>
        <w:rPr>
          <w:rFonts w:ascii="Arial" w:cs="Arial" w:eastAsia="Arial" w:hAnsi="Arial"/>
          <w:sz w:val="17"/>
          <w:szCs w:val="17"/>
          <w:u w:val="single" w:color="auto"/>
          <w:color w:val="0000EE"/>
        </w:rPr>
        <w:t>22.</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96"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Board believes that one of its primary responsibilities is to oversee the development and retention of senior talent and to ensure that an appropriate succession plan is in place for our Chief Executive Officer and other members of senior management. Management develops ideas and presents plans for identification, mentoring and continuing development of potential internal candidates for executive leadership positions. The Board and compensation committee, together with the Chief Executive Officer, regularly reviews senior management talent and succession planning.</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9"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Executive sessions, which are meetings of the independent directors of the Board, are regularly scheduled throughout the year, typically at the time of each regular Board meeting and as frequently as such independent directors deem appropriate.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As a part of the Board’s commitment to continual corporate governance improvement, the nominating and corporate governance committee supervises an annual review and self-evaluation of the performance of the Board, its committees and individual directors. The evaluation is typically conducted through a range of questions related to topics including structure of the Board and its committees, overall Board and committee effectiveness, oversight and risk management, strategy and Board access to information and resources. In 2021, an evaluation was conducted and completed with each director providing direct feedback. The evaluations were reviewed and discussed by the nominating and corporate governance committee as well as the full Board. As appropriate, these evaluations result in updates or changes to our practices as well as commitments to continue existing practices that our directors believe contribute positively to the effective functioning of our Board and its committees.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9"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the chairperson of our Board of Directors, the chairperson of any of the audit, compensation and nominating and corporate governance committees, or to the non-management or independent directors as a group, may do so by addressing such communications or concerns to the Secretary of the Company, 2435 Commerce Ave, Building 2200, Duluth, GA 30096, who will forward such communication to the appropriate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18  </w:t>
      </w:r>
      <w:r>
        <w:rPr>
          <w:sz w:val="1"/>
          <w:szCs w:val="1"/>
          <w:color w:val="auto"/>
        </w:rPr>
        <w:drawing>
          <wp:inline distT="0" distB="0" distL="0" distR="0">
            <wp:extent cx="300355" cy="24003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Board Committees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9" w:lineRule="exact"/>
        <w:rPr>
          <w:sz w:val="20"/>
          <w:szCs w:val="20"/>
          <w:color w:val="auto"/>
        </w:rPr>
      </w:pPr>
    </w:p>
    <w:p>
      <w:pPr>
        <w:ind w:left="760"/>
        <w:spacing w:after="0" w:line="287" w:lineRule="auto"/>
        <w:rPr>
          <w:sz w:val="20"/>
          <w:szCs w:val="20"/>
          <w:color w:val="auto"/>
        </w:rPr>
      </w:pPr>
      <w:r>
        <w:rPr>
          <w:rFonts w:ascii="Arial" w:cs="Arial" w:eastAsia="Arial" w:hAnsi="Arial"/>
          <w:sz w:val="18"/>
          <w:szCs w:val="18"/>
          <w:color w:val="auto"/>
        </w:rPr>
        <w:t>Our Board of Directors has an audit committee, a nominating and corporate governance committee and a compensation committee, each of which operates under a charter that has been approved by our Board.</w:t>
      </w:r>
    </w:p>
    <w:p>
      <w:pPr>
        <w:sectPr>
          <w:pgSz w:w="11900" w:h="16838" w:orient="portrait"/>
          <w:cols w:equalWidth="0" w:num="1">
            <w:col w:w="9960"/>
          </w:cols>
          <w:pgMar w:left="580" w:top="97" w:right="1359" w:bottom="1440" w:gutter="0" w:footer="0" w:header="0"/>
        </w:sectPr>
      </w:pPr>
    </w:p>
    <w:p>
      <w:pPr>
        <w:spacing w:after="0" w:line="4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the current membership of each of the Board’s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110490</wp:posOffset>
            </wp:positionV>
            <wp:extent cx="5837555" cy="17659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37555" cy="1765935"/>
                    </a:xfrm>
                    <a:prstGeom prst="rect">
                      <a:avLst/>
                    </a:prstGeom>
                    <a:noFill/>
                  </pic:spPr>
                </pic:pic>
              </a:graphicData>
            </a:graphic>
          </wp:anchor>
        </w:drawing>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224"/>
        </w:trPr>
        <w:tc>
          <w:tcPr>
            <w:tcW w:w="20" w:type="dxa"/>
            <w:vAlign w:val="bottom"/>
            <w:tcBorders>
              <w:top w:val="single" w:sz="8" w:color="3C5896"/>
            </w:tcBorders>
          </w:tcPr>
          <w:p>
            <w:pPr>
              <w:spacing w:after="0"/>
              <w:rPr>
                <w:sz w:val="19"/>
                <w:szCs w:val="19"/>
                <w:color w:val="auto"/>
              </w:rPr>
            </w:pPr>
          </w:p>
        </w:tc>
        <w:tc>
          <w:tcPr>
            <w:tcW w:w="2420" w:type="dxa"/>
            <w:vAlign w:val="bottom"/>
            <w:tcBorders>
              <w:top w:val="single" w:sz="8" w:color="3C5896"/>
            </w:tcBorders>
            <w:vMerge w:val="restart"/>
            <w:shd w:val="clear" w:color="auto" w:fill="3C5896"/>
          </w:tcPr>
          <w:p>
            <w:pPr>
              <w:ind w:left="40"/>
              <w:spacing w:after="0"/>
              <w:rPr>
                <w:sz w:val="20"/>
                <w:szCs w:val="20"/>
                <w:color w:val="auto"/>
              </w:rPr>
            </w:pPr>
            <w:r>
              <w:rPr>
                <w:rFonts w:ascii="Arial" w:cs="Arial" w:eastAsia="Arial" w:hAnsi="Arial"/>
                <w:sz w:val="18"/>
                <w:szCs w:val="18"/>
                <w:b w:val="1"/>
                <w:bCs w:val="1"/>
                <w:color w:val="FFFFFF"/>
              </w:rPr>
              <w:t>​</w:t>
            </w:r>
            <w:r>
              <w:rPr>
                <w:rFonts w:ascii="Arial" w:cs="Arial" w:eastAsia="Arial" w:hAnsi="Arial"/>
                <w:sz w:val="35"/>
                <w:szCs w:val="35"/>
                <w:b w:val="1"/>
                <w:bCs w:val="1"/>
                <w:color w:val="FFFFFF"/>
                <w:vertAlign w:val="superscript"/>
              </w:rPr>
              <w:t>​</w:t>
            </w:r>
          </w:p>
        </w:tc>
        <w:tc>
          <w:tcPr>
            <w:tcW w:w="700" w:type="dxa"/>
            <w:vAlign w:val="bottom"/>
            <w:tcBorders>
              <w:top w:val="single" w:sz="8" w:color="3C5896"/>
            </w:tcBorders>
            <w:shd w:val="clear" w:color="auto" w:fill="3C5896"/>
          </w:tcPr>
          <w:p>
            <w:pPr>
              <w:spacing w:after="0"/>
              <w:rPr>
                <w:sz w:val="19"/>
                <w:szCs w:val="19"/>
                <w:color w:val="auto"/>
              </w:rPr>
            </w:pPr>
          </w:p>
        </w:tc>
        <w:tc>
          <w:tcPr>
            <w:tcW w:w="20" w:type="dxa"/>
            <w:vAlign w:val="bottom"/>
            <w:tcBorders>
              <w:top w:val="single" w:sz="8" w:color="3C5896"/>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3C5896"/>
            </w:tcBorders>
          </w:tcPr>
          <w:p>
            <w:pPr>
              <w:spacing w:after="0"/>
              <w:rPr>
                <w:sz w:val="19"/>
                <w:szCs w:val="19"/>
                <w:color w:val="auto"/>
              </w:rPr>
            </w:pPr>
          </w:p>
        </w:tc>
        <w:tc>
          <w:tcPr>
            <w:tcW w:w="1360" w:type="dxa"/>
            <w:vAlign w:val="bottom"/>
            <w:tcBorders>
              <w:top w:val="single" w:sz="8" w:color="3C5896"/>
            </w:tcBorders>
          </w:tcPr>
          <w:p>
            <w:pPr>
              <w:ind w:left="360"/>
              <w:spacing w:after="0"/>
              <w:rPr>
                <w:sz w:val="20"/>
                <w:szCs w:val="20"/>
                <w:color w:val="auto"/>
              </w:rPr>
            </w:pPr>
            <w:r>
              <w:rPr>
                <w:rFonts w:ascii="Arial" w:cs="Arial" w:eastAsia="Arial" w:hAnsi="Arial"/>
                <w:sz w:val="18"/>
                <w:szCs w:val="18"/>
                <w:b w:val="1"/>
                <w:bCs w:val="1"/>
                <w:color w:val="FFFFFF"/>
              </w:rPr>
              <w:t>Audit</w:t>
            </w:r>
          </w:p>
        </w:tc>
        <w:tc>
          <w:tcPr>
            <w:tcW w:w="120" w:type="dxa"/>
            <w:vAlign w:val="bottom"/>
            <w:tcBorders>
              <w:top w:val="single" w:sz="8" w:color="3C5896"/>
            </w:tcBorders>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8"/>
                <w:szCs w:val="18"/>
                <w:b w:val="1"/>
                <w:bCs w:val="1"/>
                <w:color w:val="FFFFFF"/>
                <w:w w:val="98"/>
              </w:rPr>
              <w:t>Nominating and Corporate</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20" w:type="dxa"/>
            <w:vAlign w:val="bottom"/>
            <w:vMerge w:val="continue"/>
            <w:shd w:val="clear" w:color="auto" w:fill="3C5896"/>
          </w:tcPr>
          <w:p>
            <w:pPr>
              <w:spacing w:after="0"/>
              <w:rPr>
                <w:sz w:val="22"/>
                <w:szCs w:val="22"/>
                <w:color w:val="auto"/>
              </w:rPr>
            </w:pPr>
          </w:p>
        </w:tc>
        <w:tc>
          <w:tcPr>
            <w:tcW w:w="700" w:type="dxa"/>
            <w:vAlign w:val="bottom"/>
            <w:shd w:val="clear" w:color="auto" w:fill="3C5896"/>
          </w:tcPr>
          <w:p>
            <w:pPr>
              <w:spacing w:after="0"/>
              <w:rPr>
                <w:sz w:val="22"/>
                <w:szCs w:val="22"/>
                <w:color w:val="auto"/>
              </w:rPr>
            </w:pPr>
          </w:p>
        </w:tc>
        <w:tc>
          <w:tcPr>
            <w:tcW w:w="260" w:type="dxa"/>
            <w:vAlign w:val="bottom"/>
            <w:gridSpan w:val="3"/>
          </w:tcPr>
          <w:p>
            <w:pPr>
              <w:spacing w:after="0"/>
              <w:rPr>
                <w:sz w:val="20"/>
                <w:szCs w:val="20"/>
                <w:color w:val="auto"/>
              </w:rPr>
            </w:pPr>
            <w:r>
              <w:rPr>
                <w:rFonts w:ascii="Arial" w:cs="Arial" w:eastAsia="Arial" w:hAnsi="Arial"/>
                <w:sz w:val="18"/>
                <w:szCs w:val="18"/>
                <w:b w:val="1"/>
                <w:bCs w:val="1"/>
                <w:color w:val="FFFFFF"/>
              </w:rPr>
              <w:t>​​</w:t>
            </w: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FFFFFF"/>
              </w:rPr>
              <w:t>Committee</w:t>
            </w:r>
          </w:p>
        </w:tc>
        <w:tc>
          <w:tcPr>
            <w:tcW w:w="220" w:type="dxa"/>
            <w:vAlign w:val="bottom"/>
            <w:gridSpan w:val="2"/>
          </w:tcPr>
          <w:p>
            <w:pPr>
              <w:ind w:left="100"/>
              <w:spacing w:after="0"/>
              <w:rPr>
                <w:sz w:val="20"/>
                <w:szCs w:val="20"/>
                <w:color w:val="auto"/>
              </w:rPr>
            </w:pPr>
            <w:r>
              <w:rPr>
                <w:rFonts w:ascii="Arial" w:cs="Arial" w:eastAsia="Arial" w:hAnsi="Arial"/>
                <w:sz w:val="18"/>
                <w:szCs w:val="18"/>
                <w:b w:val="1"/>
                <w:bCs w:val="1"/>
                <w:color w:val="FFFFFF"/>
              </w:rPr>
              <w:t>​​</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FFFFFF"/>
                <w:w w:val="98"/>
              </w:rPr>
              <w:t>Governance Committee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 Reade Fahs</w:t>
            </w:r>
          </w:p>
        </w:tc>
        <w:tc>
          <w:tcPr>
            <w:tcW w:w="700" w:type="dxa"/>
            <w:vAlign w:val="bottom"/>
          </w:tcPr>
          <w:p>
            <w:pPr>
              <w:spacing w:after="0"/>
              <w:rPr>
                <w:sz w:val="21"/>
                <w:szCs w:val="21"/>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shd w:val="clear" w:color="auto" w:fill="CCCCCC"/>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D. Randolph Peeler</w:t>
            </w:r>
          </w:p>
        </w:tc>
        <w:tc>
          <w:tcPr>
            <w:tcW w:w="700" w:type="dxa"/>
            <w:vAlign w:val="bottom"/>
            <w:shd w:val="clear" w:color="auto" w:fill="CCCCCC"/>
          </w:tcPr>
          <w:p>
            <w:pPr>
              <w:spacing w:after="0"/>
              <w:rPr>
                <w:sz w:val="22"/>
                <w:szCs w:val="22"/>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Jose Armario</w:t>
            </w:r>
          </w:p>
        </w:tc>
        <w:tc>
          <w:tcPr>
            <w:tcW w:w="700" w:type="dxa"/>
            <w:vAlign w:val="bottom"/>
          </w:tcPr>
          <w:p>
            <w:pPr>
              <w:spacing w:after="0"/>
              <w:rPr>
                <w:sz w:val="22"/>
                <w:szCs w:val="22"/>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shd w:val="clear" w:color="auto" w:fill="CCCCCC"/>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Heather Cianfrocco</w:t>
            </w:r>
          </w:p>
        </w:tc>
        <w:tc>
          <w:tcPr>
            <w:tcW w:w="700" w:type="dxa"/>
            <w:vAlign w:val="bottom"/>
            <w:shd w:val="clear" w:color="auto" w:fill="CCCCCC"/>
          </w:tcPr>
          <w:p>
            <w:pPr>
              <w:spacing w:after="0"/>
              <w:rPr>
                <w:sz w:val="22"/>
                <w:szCs w:val="22"/>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Virginia A. Hepner</w:t>
            </w:r>
          </w:p>
        </w:tc>
        <w:tc>
          <w:tcPr>
            <w:tcW w:w="700" w:type="dxa"/>
            <w:vAlign w:val="bottom"/>
          </w:tcPr>
          <w:p>
            <w:pPr>
              <w:spacing w:after="0"/>
              <w:rPr>
                <w:sz w:val="22"/>
                <w:szCs w:val="22"/>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20" w:type="dxa"/>
            <w:vAlign w:val="bottom"/>
            <w:shd w:val="clear" w:color="auto" w:fill="CCCCCC"/>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Susan S. Johnson</w:t>
            </w:r>
          </w:p>
        </w:tc>
        <w:tc>
          <w:tcPr>
            <w:tcW w:w="700" w:type="dxa"/>
            <w:vAlign w:val="bottom"/>
            <w:shd w:val="clear" w:color="auto" w:fill="CCCCCC"/>
          </w:tcPr>
          <w:p>
            <w:pPr>
              <w:spacing w:after="0"/>
              <w:rPr>
                <w:sz w:val="22"/>
                <w:szCs w:val="22"/>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Naomi Kelman</w:t>
            </w:r>
          </w:p>
        </w:tc>
        <w:tc>
          <w:tcPr>
            <w:tcW w:w="700" w:type="dxa"/>
            <w:vAlign w:val="bottom"/>
          </w:tcPr>
          <w:p>
            <w:pPr>
              <w:spacing w:after="0"/>
              <w:rPr>
                <w:sz w:val="22"/>
                <w:szCs w:val="22"/>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9"/>
              </w:rPr>
              <w:t>X</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Borders>
              <w:bottom w:val="single" w:sz="8" w:color="CCCCCC"/>
            </w:tcBorders>
            <w:shd w:val="clear" w:color="auto" w:fill="CCCCCC"/>
          </w:tcPr>
          <w:p>
            <w:pPr>
              <w:ind w:left="4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Thomas V. Taylor, Jr.</w:t>
            </w:r>
          </w:p>
        </w:tc>
        <w:tc>
          <w:tcPr>
            <w:tcW w:w="700" w:type="dxa"/>
            <w:vAlign w:val="bottom"/>
            <w:tcBorders>
              <w:bottom w:val="single" w:sz="8" w:color="CCCCCC"/>
            </w:tcBorders>
            <w:shd w:val="clear" w:color="auto" w:fill="CCCCCC"/>
          </w:tcPr>
          <w:p>
            <w:pPr>
              <w:spacing w:after="0"/>
              <w:rPr>
                <w:sz w:val="20"/>
                <w:szCs w:val="20"/>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​David M. Tehle</w:t>
            </w:r>
          </w:p>
        </w:tc>
        <w:tc>
          <w:tcPr>
            <w:tcW w:w="700" w:type="dxa"/>
            <w:vAlign w:val="bottom"/>
          </w:tcPr>
          <w:p>
            <w:pPr>
              <w:spacing w:after="0"/>
              <w:rPr>
                <w:sz w:val="21"/>
                <w:szCs w:val="21"/>
                <w:color w:val="auto"/>
              </w:rPr>
            </w:pPr>
          </w:p>
        </w:tc>
        <w:tc>
          <w:tcPr>
            <w:tcW w:w="260" w:type="dxa"/>
            <w:vAlign w:val="bottom"/>
            <w:gridSpan w:val="3"/>
          </w:tcPr>
          <w:p>
            <w:pPr>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7"/>
              </w:rPr>
              <w:t>Chair</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80" w:type="dxa"/>
            <w:vAlign w:val="bottom"/>
          </w:tcPr>
          <w:p>
            <w:pPr>
              <w:spacing w:after="0"/>
              <w:rPr>
                <w:sz w:val="19"/>
                <w:szCs w:val="19"/>
                <w:color w:val="auto"/>
              </w:rPr>
            </w:pPr>
          </w:p>
        </w:tc>
        <w:tc>
          <w:tcPr>
            <w:tcW w:w="1440" w:type="dxa"/>
            <w:vAlign w:val="bottom"/>
          </w:tcPr>
          <w:p>
            <w:pPr>
              <w:ind w:left="60"/>
              <w:spacing w:after="0"/>
              <w:rPr>
                <w:sz w:val="20"/>
                <w:szCs w:val="20"/>
                <w:color w:val="auto"/>
              </w:rPr>
            </w:pPr>
            <w:r>
              <w:rPr>
                <w:rFonts w:ascii="Arial" w:cs="Arial" w:eastAsia="Arial" w:hAnsi="Arial"/>
                <w:sz w:val="18"/>
                <w:szCs w:val="18"/>
                <w:b w:val="1"/>
                <w:bCs w:val="1"/>
                <w:color w:val="FFFFFF"/>
              </w:rPr>
              <w:t>Compensation</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0" w:type="dxa"/>
            <w:vAlign w:val="bottom"/>
          </w:tcPr>
          <w:p>
            <w:pPr>
              <w:ind w:left="20"/>
              <w:spacing w:after="0"/>
              <w:rPr>
                <w:sz w:val="20"/>
                <w:szCs w:val="20"/>
                <w:color w:val="auto"/>
              </w:rPr>
            </w:pPr>
            <w:r>
              <w:rPr>
                <w:rFonts w:ascii="Arial" w:cs="Arial" w:eastAsia="Arial" w:hAnsi="Arial"/>
                <w:sz w:val="18"/>
                <w:szCs w:val="18"/>
                <w:b w:val="1"/>
                <w:bCs w:val="1"/>
                <w:color w:val="FFFFFF"/>
              </w:rPr>
              <w: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FFFFFF"/>
              </w:rPr>
              <w:t>Committee</w:t>
            </w:r>
          </w:p>
        </w:tc>
        <w:tc>
          <w:tcPr>
            <w:tcW w:w="160" w:type="dxa"/>
            <w:vAlign w:val="bottom"/>
          </w:tcPr>
          <w:p>
            <w:pPr>
              <w:ind w:left="12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56"/>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1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
        </w:trPr>
        <w:tc>
          <w:tcPr>
            <w:tcW w:w="180" w:type="dxa"/>
            <w:vAlign w:val="bottom"/>
            <w:vMerge w:val="continue"/>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8020" w:space="160"/>
            <w:col w:w="1780"/>
          </w:cols>
          <w:pgMar w:left="580" w:top="97" w:right="1359" w:bottom="1440" w:gutter="0" w:footer="0" w:header="0"/>
          <w:type w:val="continuous"/>
        </w:sectPr>
      </w:pPr>
    </w:p>
    <w:p>
      <w:pPr>
        <w:jc w:val="both"/>
        <w:ind w:left="760"/>
        <w:spacing w:after="0" w:line="255" w:lineRule="auto"/>
        <w:rPr>
          <w:sz w:val="20"/>
          <w:szCs w:val="20"/>
          <w:color w:val="auto"/>
        </w:rPr>
      </w:pPr>
      <w:r>
        <w:rPr>
          <w:rFonts w:ascii="Arial" w:cs="Arial" w:eastAsia="Arial" w:hAnsi="Arial"/>
          <w:sz w:val="18"/>
          <w:szCs w:val="18"/>
          <w:color w:val="auto"/>
        </w:rPr>
        <w:t>All directors are expected to make every effort to attend all meetings of the Board of Directors, meetings of the committees of which they are members and the annual meeting of stockholders. Each of our directors that were members of our Board at the time attended the 2021 annual meeting. During the fiscal year ended January 1, 2022, the Board held fourteen meetings, the audit committee held eight meetings, the compensation committee held four meetings and the nominating and corporate governance committee held four meetings. In addition, the Board, the audit committee, the compensation committee and the nominating and corporate governance committee acted by unanimous written consent several times during fiscal 2021. Each of our directors attended 100% of all of the meetings of the Board and committees on which he or she served at the time they served on the Board or such Committees.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Committee</w:t>
      </w:r>
    </w:p>
    <w:p>
      <w:pPr>
        <w:spacing w:after="0" w:line="11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Our audit committee consists of David M. Tehle, who serves as the Chair, Virginia A. Hepner, Susan S. Johnson and Naomi Kelman. Mr. Tehle and Mses. Hepner, Johnson and Kelman each qualify as an independent director under Nasdaq corporate governance standards and the independence requirements of Rule 10A-3 of the Securities Exchange Act of 1934 (the “Exchange Act”). Our Board of Directors has determined that Mr. Tehle and Ms. Hepner each qualify as an “audit committee financial expert” as such term is defined in Item 407(d)(5) of Regulation S-K.</w:t>
      </w:r>
    </w:p>
    <w:p>
      <w:pPr>
        <w:spacing w:after="0" w:line="71" w:lineRule="exact"/>
        <w:rPr>
          <w:sz w:val="20"/>
          <w:szCs w:val="20"/>
          <w:color w:val="auto"/>
        </w:rPr>
      </w:pPr>
    </w:p>
    <w:p>
      <w:pPr>
        <w:jc w:val="both"/>
        <w:ind w:left="760"/>
        <w:spacing w:after="0" w:line="260" w:lineRule="auto"/>
        <w:rPr>
          <w:sz w:val="20"/>
          <w:szCs w:val="20"/>
          <w:color w:val="auto"/>
        </w:rPr>
      </w:pPr>
      <w:r>
        <w:rPr>
          <w:rFonts w:ascii="Arial" w:cs="Arial" w:eastAsia="Arial" w:hAnsi="Arial"/>
          <w:sz w:val="18"/>
          <w:szCs w:val="18"/>
          <w:color w:val="auto"/>
        </w:rPr>
        <w:t>The audit committee is responsible for, among other things, preparing the audit committee report required by the SEC to be included in our proxy statement and assisting our Board of Directors with respect to its oversight of</w:t>
      </w:r>
    </w:p>
    <w:p>
      <w:pPr>
        <w:spacing w:after="0" w:line="2" w:lineRule="exact"/>
        <w:rPr>
          <w:sz w:val="20"/>
          <w:szCs w:val="20"/>
          <w:color w:val="auto"/>
        </w:rPr>
      </w:pPr>
    </w:p>
    <w:p>
      <w:pPr>
        <w:jc w:val="both"/>
        <w:ind w:left="760" w:firstLine="2"/>
        <w:spacing w:after="0" w:line="254" w:lineRule="auto"/>
        <w:tabs>
          <w:tab w:leader="none" w:pos="10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risk management policies and procedures, (2) the audits and integrity of our financial statements, and the effectiveness of internal control over financial reporting, (3) our compliance with legal and regulatory requirements, including SEC filings, (4) the qualifications, engagement, performance and independence of the outside auditors, including approving all auditing and non-auditing services performed by our outside auditors and (5) approving the annual audit plans and the performance of our internal audit function.</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17"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Our nominating and corporate governance committee consists of Virginia Hepner, who serves as the Chair, D. Randolph Peeler and Jose Armario. Each member of the nominating and corporate governance committee has been determined to be independent under the applicable listing standards of Nasdaq and our Corporate Governance Guidelines.</w:t>
      </w:r>
    </w:p>
    <w:p>
      <w:pPr>
        <w:spacing w:after="0" w:line="68"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primary purpose of the nominating and corporate governance committee is to provide assistance to the Board of Directors by, among other things, determining the size, structure, composition, processes and practices of the Board and its committees and assessing director independence and qualifications. The committee also identifies, recommends and assists the Board in recruiting individuals qualified to become Board members, oversees the Board’s director education practices, and takes a leadership role in shaping the corporate governance of the Company through its review and development of our Corporate Governance Guidelines and practices and guidance of the annual Board evaluation. The committee, along with the Board as whole, retains oversight responsibility for the Company’s Corporate</w:t>
      </w:r>
    </w:p>
    <w:p>
      <w:pPr>
        <w:spacing w:after="0" w:line="75"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Responsibility/ESG strategy and provides oversight and guidance on environmental sustainability, social justice and corporate responsibility issues and opportunities for the Company.</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w:t>
      </w:r>
    </w:p>
    <w:p>
      <w:pPr>
        <w:spacing w:after="0" w:line="11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Our compensation committee consists of Thomas Taylor, Jr., who serves as the Chair, D. Randolph Peeler and Heather Cianfrocco. Each member of the compensation committee has been determined to be independent under the applicable listing standards of Nasdaq and our Corporate Governance Guidelines.</w:t>
      </w:r>
    </w:p>
    <w:p>
      <w:pPr>
        <w:spacing w:after="0" w:line="74"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The primary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Committee Charters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 of Directors’ views and policies on a wide range of governance topics. These Corporate Governance Guidelines are reviewed from time to time by our Board of Directors and, to the extent deemed appropriate in light of emerging practices, revised accordingly, upon recommendation to and approval by our Board of Directors.</w:t>
      </w:r>
    </w:p>
    <w:p>
      <w:pPr>
        <w:spacing w:after="0" w:line="6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Our Corporate Governance Guidelines, audit, nominating and corporate governance and compensation committee charters, and other corporate governance information are available in the investors section of our website,</w:t>
      </w:r>
    </w:p>
    <w:p>
      <w:pPr>
        <w:ind w:left="760"/>
        <w:spacing w:after="0"/>
        <w:rPr>
          <w:sz w:val="20"/>
          <w:szCs w:val="20"/>
          <w:color w:val="auto"/>
        </w:rPr>
      </w:pP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 xml:space="preserve">We are committed to ensuring our business is conducted ethically and legally. We maintain a written code of conduct that applies to our directors, officers and employees, including our principal executive officer, principal financial officer, principal accounting officer, or persons performing similar functions, which we call our Code of Conduct. Our Code of Conduct is a “code of ethics” as defined in Item 406(b) of Regulation S-K and is posted in the investors section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w:t>
      </w:r>
    </w:p>
    <w:p>
      <w:pPr>
        <w:spacing w:after="0" w:line="82"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We intend to make any legally required disclosures regarding amendments to, or waivers of, provisions of our Code of Conduct on our website.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Hedging and 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9"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The Company’s Securities Trading Policy requires executive officers and directors to consult the Company’s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The Company’s Securities Trading Policy discourages employees from purchasing the Company’s securities on margin, or borrowing against any account in which the Company’s securities are held, or pledging the Company’s securities as collateral for a loan. For directors and officers, the pledging of Company securities is limited to those situations approved by the Company’s General Counsel.</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The Board has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20  </w:t>
      </w:r>
      <w:r>
        <w:rPr>
          <w:sz w:val="1"/>
          <w:szCs w:val="1"/>
          <w:color w:val="auto"/>
        </w:rPr>
        <w:drawing>
          <wp:inline distT="0" distB="0" distL="0" distR="0">
            <wp:extent cx="300355" cy="24003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jc w:val="both"/>
        <w:ind w:left="760" w:right="20"/>
        <w:spacing w:after="0" w:line="287" w:lineRule="auto"/>
        <w:rPr>
          <w:sz w:val="20"/>
          <w:szCs w:val="20"/>
          <w:color w:val="auto"/>
        </w:rPr>
      </w:pPr>
      <w:r>
        <w:rPr>
          <w:rFonts w:ascii="Arial" w:cs="Arial" w:eastAsia="Arial" w:hAnsi="Arial"/>
          <w:sz w:val="18"/>
          <w:szCs w:val="18"/>
          <w:color w:val="auto"/>
        </w:rPr>
        <w:t>There are no related persons transactions in fiscal 2021 required to be reported in this proxy statement under the applicable SEC rules.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96"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Since our initial public offering (IPO), we have been committed to stockholder engagement and we greatly value the input we receive from our stockholders. We believe strong corporate governance should include year-round engagement with our stockholders. Our investor relations team and members of our senior management are in frequent communication with stockholders on a variety of matters, including our operations and financial performance. Our Chief Executive Officer and Chief Financial Officer are engaged in meaningful dialogue with our stockholders through our quarterly earnings calls and investor-related outreach events. In addition, a cross-functional team conducts our off-season stockholder outreach and engagement program through which we solicit feedback focused on corporate governance, executive compensation, corporate social responsibility and other ESG matters of interest to our stockholders. Stockholder engagement and feedback is regularly shared with our Board of Directors.</w:t>
      </w:r>
    </w:p>
    <w:p>
      <w:pPr>
        <w:spacing w:after="0" w:line="77"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 2021, as part of our off-season stockholder engagement efforts, we engaged with the Company’s top institutional investors representing over 60% of our outstanding shares following outreach to stockholders representing 95% of our outstanding shares. Many of these stockholders expressed the view that they were supportive of the continued progress and evolution of the Company’s Corporate Responsibility strategy and disclosure, including the publication of its first Corporate Responsibility Report (as detailed further below). Our stockholders also expressed the view that they were aligned with the Company’s phase out of its classified Board structure and elimination of supermajority voting provisions in the Company’s organizational documents. Finally, stockholders also expressed support of the Company’s continued Board diversity efforts and its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86360</wp:posOffset>
            </wp:positionV>
            <wp:extent cx="3951605" cy="1543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95160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Our commitment to corporate responsibility is a core part of who we are as a Company, as is evidenced by our mission—“We help people by making quality eye care and eyewear more affordable and accessible.” We understand the importance of acting responsibly as a business, employer and corporate citizen. Engagement on corporate responsibility is important to us and our stakeholders and we are committed to balancing the social, economic, human capital management and environmental aspects of our business with disclosure highlighting our aspirations and achievements in these areas.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SEE + G Framework</w:t>
      </w:r>
    </w:p>
    <w:p>
      <w:pPr>
        <w:spacing w:after="0" w:line="144" w:lineRule="exact"/>
        <w:rPr>
          <w:sz w:val="20"/>
          <w:szCs w:val="20"/>
          <w:color w:val="auto"/>
        </w:rPr>
      </w:pPr>
    </w:p>
    <w:p>
      <w:pPr>
        <w:jc w:val="both"/>
        <w:ind w:left="760" w:right="4700"/>
        <w:spacing w:after="0" w:line="262" w:lineRule="auto"/>
        <w:rPr>
          <w:sz w:val="20"/>
          <w:szCs w:val="20"/>
          <w:color w:val="auto"/>
        </w:rPr>
      </w:pPr>
      <w:r>
        <w:rPr>
          <w:rFonts w:ascii="Arial" w:cs="Arial" w:eastAsia="Arial" w:hAnsi="Arial"/>
          <w:sz w:val="18"/>
          <w:szCs w:val="18"/>
          <w:color w:val="auto"/>
        </w:rPr>
        <w:t>In 2021, we achieved a significant milestone with the publication of our first Corporate Responsibility Report, in which we outlined our approach and focus on the most relevant ESG topics to the Company. We began the process of developing a formal Corporate Responsibility strategy by conducting a materiality assessment to identify our priority areas of focus, along with gaps and opportunities for us to address. From the outcomes of our assessment and a benchmarking and value chain exercise, we established our “SEE + G” framework outlining our key Corporate Responsibility pillars of social, employees, environment, and governance. This framework will serve as the foundation of our Corporate Responsibility efforts to ensure we focus on the areas where we have the greatest opportunity to create positive impacts in our local and global communities while we grow a resilient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-2426335</wp:posOffset>
            </wp:positionV>
            <wp:extent cx="2674620" cy="26060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74620" cy="26060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Corporate Responsibility Governance Structure</w:t>
      </w:r>
    </w:p>
    <w:p>
      <w:pPr>
        <w:spacing w:after="0" w:line="131" w:lineRule="exact"/>
        <w:rPr>
          <w:sz w:val="20"/>
          <w:szCs w:val="20"/>
          <w:color w:val="auto"/>
        </w:rPr>
      </w:pPr>
    </w:p>
    <w:p>
      <w:pPr>
        <w:jc w:val="both"/>
        <w:ind w:left="760" w:right="4700"/>
        <w:spacing w:after="0" w:line="254" w:lineRule="auto"/>
        <w:rPr>
          <w:sz w:val="20"/>
          <w:szCs w:val="20"/>
          <w:color w:val="auto"/>
        </w:rPr>
      </w:pPr>
      <w:r>
        <w:rPr>
          <w:rFonts w:ascii="Arial" w:cs="Arial" w:eastAsia="Arial" w:hAnsi="Arial"/>
          <w:sz w:val="18"/>
          <w:szCs w:val="18"/>
          <w:color w:val="auto"/>
        </w:rPr>
        <w:t>To help drive progress on our focus areas, we developed an internal corporate responsibility governance structure that begins with oversight by the Board through its nominating and corporate governance committee and executive leadership from our Chief Executive Officer. Our General Counsel serves as the executive sponsor of our corporate responsibility strategy, chairs the steering committee and provides regular updates to the Board and its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-1378585</wp:posOffset>
            </wp:positionV>
            <wp:extent cx="3206115" cy="2768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22  </w:t>
      </w:r>
      <w:r>
        <w:rPr>
          <w:sz w:val="1"/>
          <w:szCs w:val="1"/>
          <w:color w:val="auto"/>
        </w:rPr>
        <w:drawing>
          <wp:inline distT="0" distB="0" distL="0" distR="0">
            <wp:extent cx="300355" cy="24003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2021 Corporate Responsibility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111760</wp:posOffset>
            </wp:positionV>
            <wp:extent cx="5246370" cy="5143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46370"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 xml:space="preserve">Moving forward, we are developing a detailed road map to integrate our corporate responsibility strategy into our business. This will include formalizing management processes, defining key performance indicators and supporting metrics, and considering appropriate goals to drive further progress. We are also committed to disclosing our progress each year, including in our Corporate Responsibility Report and on the Corporate Responsibility page of our website,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 The information on our website is not, and will not be deemed to be, a part of this proxy statement or incorporated into any other filings with the SEC.</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With an inclusive and people-first culture, we are focused on celebrating and respecting our associates’ diverse backgrounds, empowering, rewarding and developing our associates and aiming to give back to the communities in which we serve. Our human capital initiatives are focused on attracting highly qualified individuals and providing them with continued opportunities for growth and development. As of January 1, 2022, we had 13,735 full-time and part-time associates. In addition, the professional corporations or similar entities with which we contract employed 1,256 optometrists as of January 1, 2022.</w:t>
      </w:r>
    </w:p>
    <w:p>
      <w:pPr>
        <w:spacing w:after="0" w:line="221"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Talent Acquisition</w:t>
      </w:r>
    </w:p>
    <w:p>
      <w:pPr>
        <w:spacing w:after="0" w:line="117" w:lineRule="exact"/>
        <w:rPr>
          <w:sz w:val="20"/>
          <w:szCs w:val="20"/>
          <w:color w:val="auto"/>
        </w:rPr>
      </w:pPr>
    </w:p>
    <w:p>
      <w:pPr>
        <w:jc w:val="both"/>
        <w:ind w:left="760"/>
        <w:spacing w:after="0" w:line="258" w:lineRule="auto"/>
        <w:rPr>
          <w:sz w:val="20"/>
          <w:szCs w:val="20"/>
          <w:color w:val="auto"/>
        </w:rPr>
      </w:pPr>
      <w:r>
        <w:rPr>
          <w:rFonts w:ascii="Arial" w:cs="Arial" w:eastAsia="Arial" w:hAnsi="Arial"/>
          <w:sz w:val="17"/>
          <w:szCs w:val="17"/>
          <w:color w:val="auto"/>
        </w:rPr>
        <w:t>At National Vision, we are committed to attracting talent aligned with our Vision, Mission and Values. We have invested in key leadership roles within the talent organization to refine our approach and have incorporated new technology to improve both the candidate and hiring manager experience. In addition, we have partnered with schools and other organizations to promote the profession of optometry, including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increased accessibility to our own internal National Vision Doctor of Optometry Tuition Reimbursement program, which provides for the reimbursement of education expenses to associates attending optometry school. To mitigate the impact the COVID-19 pandemic and temporary closure of our stores had on our traditional recruiting efforts and hiring cycles in 2020, we transitioned to online platforms for job fairs and on-campus events, selectively offered key incentives, such as a student loan repayment program, and educated applicants on the health and safety protocols implemented in our stores. We have continued with both online platform recruitment as well as in person events as part of our recruitment and hiring efforts in 2021.</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Talent Development</w:t>
      </w:r>
    </w:p>
    <w:p>
      <w:pPr>
        <w:spacing w:after="0" w:line="117" w:lineRule="exact"/>
        <w:rPr>
          <w:sz w:val="20"/>
          <w:szCs w:val="20"/>
          <w:color w:val="auto"/>
        </w:rPr>
      </w:pPr>
    </w:p>
    <w:p>
      <w:pPr>
        <w:jc w:val="both"/>
        <w:ind w:left="760"/>
        <w:spacing w:after="0" w:line="248" w:lineRule="auto"/>
        <w:rPr>
          <w:sz w:val="20"/>
          <w:szCs w:val="20"/>
          <w:color w:val="auto"/>
        </w:rPr>
      </w:pPr>
      <w:r>
        <w:rPr>
          <w:rFonts w:ascii="Arial" w:cs="Arial" w:eastAsia="Arial" w:hAnsi="Arial"/>
          <w:sz w:val="18"/>
          <w:szCs w:val="18"/>
          <w:color w:val="auto"/>
        </w:rPr>
        <w:t>We have a proven record of opening new stores with high-quality training support. As a result of the COVID-19 pandemic, we adapted our new store training approach by introducing and enhancing virtual instructor-led training classes, allowing for a continuation of high touch training to prepare stores to open safely and effectively. We also increased ongoing training, especially in the areas of safety protocol procedures and customer interactions. We provide associates and optometrists with several opportunities and mechanisms through which they can provide feedback and allow us to continue developing programs for training and growth.</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Benefits and Wellness</w:t>
      </w:r>
    </w:p>
    <w:p>
      <w:pPr>
        <w:spacing w:after="0" w:line="117" w:lineRule="exact"/>
        <w:rPr>
          <w:sz w:val="20"/>
          <w:szCs w:val="20"/>
          <w:color w:val="auto"/>
        </w:rPr>
      </w:pPr>
    </w:p>
    <w:p>
      <w:pPr>
        <w:jc w:val="both"/>
        <w:ind w:left="760"/>
        <w:spacing w:after="0" w:line="248" w:lineRule="auto"/>
        <w:rPr>
          <w:sz w:val="20"/>
          <w:szCs w:val="20"/>
          <w:color w:val="auto"/>
        </w:rPr>
      </w:pPr>
      <w:r>
        <w:rPr>
          <w:rFonts w:ascii="Arial" w:cs="Arial" w:eastAsia="Arial" w:hAnsi="Arial"/>
          <w:sz w:val="18"/>
          <w:szCs w:val="18"/>
          <w:color w:val="auto"/>
        </w:rPr>
        <w:t>We strive to ensure our people always feel supported so they can bring their best selves to work every day. We demonstrate this commitment through many of our benefits and wellness offerings. Programs like our health plan, wellness and disease management programs, including personalized programs for diabetes and hypertension, and a financial protection resource, provide the needed resources essential for helping our people care for themselves and their families. We also offer free on-demand mental and behavioral health resources, to provide needed guidance when work and personal challenges affect an associate’s overall well-being.</w:t>
      </w:r>
    </w:p>
    <w:p>
      <w:pPr>
        <w:spacing w:after="0" w:line="67"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Shortly after our IPO, we established the National Vision Crisis Relief Fund to help support associates who are facing financial hardship as a result of a natural disaster, family emergency or other unexpected events. Donations made to the Crisis Relief Fund are matched by the Company. Since its creation, over $1.1 million have been provided to associates for assistance, with over 95% provided since the beginning of the COVID-19 pandemic.</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Diversity, Equity and Inclusion</w:t>
      </w:r>
    </w:p>
    <w:p>
      <w:pPr>
        <w:spacing w:after="0" w:line="117"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We are committed to a diverse and inclusive culture and in 2020, we formed a new Diversity, Equity and Inclusion (“DEI”) department within the Company. As we move forward in our DEI journey, we are focused on advancing diversity in our recruitment, training, career mentorship and development, employment, branding and community service. In 2021, we continued our focus on reviewing best practices and initiatives and conducted listen and learn sessions with associates and optometrists to solicit feedback and identify opportunity areas. As a part of these efforts, we collaborated with non-profit and educational institutions with the goal of increasing the percentage of Black doctors in the industry, including sponsoring and participating in the “Impact HBCU” event sponsored by Black Eyecare Perspectives with the goal of increasing awareness in the field among historically black college and university (“HBCU”) students. In 2021, our Chief Executive Officer became a signatory to the CEO Action for Diversity and Inclusion pledge, committing to a series of actions related to diversity, equity and inclusion across the Company, industry and communities. We were named one of Forbes’ Best Employers for Women and one of Forbes’ Best Employers for Veterans in 2021 and received the highest ranking given by 50/50 Women on Boards for balanced gender representation among the independent members of the Company’s Board of Directors. We were also recognized as one of Forbes’ Best Employers for Diversity in 2021 for, among other things, our proactive diversity and inclusion initiatives.</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COVID-19 Response</w:t>
      </w:r>
    </w:p>
    <w:p>
      <w:pPr>
        <w:spacing w:after="0" w:line="117" w:lineRule="exact"/>
        <w:rPr>
          <w:sz w:val="20"/>
          <w:szCs w:val="20"/>
          <w:color w:val="auto"/>
        </w:rPr>
      </w:pPr>
    </w:p>
    <w:p>
      <w:pPr>
        <w:jc w:val="both"/>
        <w:ind w:left="760"/>
        <w:spacing w:after="0" w:line="283" w:lineRule="auto"/>
        <w:rPr>
          <w:sz w:val="20"/>
          <w:szCs w:val="20"/>
          <w:color w:val="auto"/>
        </w:rPr>
      </w:pPr>
      <w:r>
        <w:rPr>
          <w:rFonts w:ascii="Arial" w:cs="Arial" w:eastAsia="Arial" w:hAnsi="Arial"/>
          <w:sz w:val="17"/>
          <w:szCs w:val="17"/>
          <w:color w:val="auto"/>
        </w:rPr>
        <w:t>The COVID-19 pandemic has presented unique challenges for our associates, doctors, customers and patients. We prioritized the safety of our associates, optometrists, customers and patients by voluntarily closing our stores to the public for a temporary period of time in 2020 to implement enhanced safety and cleaning protocols in order to serve</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24  </w:t>
      </w:r>
      <w:r>
        <w:rPr>
          <w:sz w:val="1"/>
          <w:szCs w:val="1"/>
          <w:color w:val="auto"/>
        </w:rPr>
        <w:drawing>
          <wp:inline distT="0" distB="0" distL="0" distR="0">
            <wp:extent cx="300355" cy="23177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0355" cy="231775"/>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jc w:val="both"/>
        <w:ind w:left="760" w:right="20"/>
        <w:spacing w:after="0" w:line="271" w:lineRule="auto"/>
        <w:rPr>
          <w:sz w:val="20"/>
          <w:szCs w:val="20"/>
          <w:color w:val="auto"/>
        </w:rPr>
      </w:pPr>
      <w:r>
        <w:rPr>
          <w:rFonts w:ascii="Arial" w:cs="Arial" w:eastAsia="Arial" w:hAnsi="Arial"/>
          <w:sz w:val="18"/>
          <w:szCs w:val="18"/>
          <w:color w:val="auto"/>
        </w:rPr>
        <w:t>our customers and patients with everyone’s health and safety in mind. Health and safety remain at the forefront for us as the pandemic and variants continue to evolve and present challenges for us.</w:t>
      </w:r>
    </w:p>
    <w:p>
      <w:pPr>
        <w:spacing w:after="0" w:line="59"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color w:val="auto"/>
        </w:rPr>
        <w:t>Beginning in 2020, we created multiple resources for associates, including frequent and transparent communication tools, additional leave of absence and paid leave options, and centralized support to address COVID-19 questions and concerns, including regarding the availability of vaccines. We paid one-time appreciation bonuses to customer-facing associates, granted additional company holidays in the fourth quarter of fiscal year 2020 and paid benefits for associates furloughed in response to the COVID-19 pandemic. In addition, contributions to our Crisis Relief Fund more than tripled, reflecting the empathetic nature of our community.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Directors who are our employees do not receive remuneration for serving on our Board. In 2021, our director compensation program consisted of the following:</w:t>
      </w:r>
    </w:p>
    <w:p>
      <w:pPr>
        <w:spacing w:after="0" w:line="59" w:lineRule="exact"/>
        <w:rPr>
          <w:sz w:val="20"/>
          <w:szCs w:val="20"/>
          <w:color w:val="auto"/>
        </w:rPr>
      </w:pPr>
    </w:p>
    <w:p>
      <w:pPr>
        <w:ind w:left="1120" w:hanging="214"/>
        <w:spacing w:after="0"/>
        <w:tabs>
          <w:tab w:leader="none" w:pos="112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Annual cash retainer of $75,000, paid quarterly, in arrears.</w:t>
      </w:r>
    </w:p>
    <w:p>
      <w:pPr>
        <w:spacing w:after="0" w:line="103" w:lineRule="exact"/>
        <w:rPr>
          <w:rFonts w:ascii="Arial" w:cs="Arial" w:eastAsia="Arial" w:hAnsi="Arial"/>
          <w:sz w:val="18"/>
          <w:szCs w:val="18"/>
          <w:color w:val="3C5896"/>
        </w:rPr>
      </w:pPr>
    </w:p>
    <w:p>
      <w:pPr>
        <w:jc w:val="both"/>
        <w:ind w:left="1120" w:hanging="214"/>
        <w:spacing w:after="0" w:line="261" w:lineRule="auto"/>
        <w:tabs>
          <w:tab w:leader="none" w:pos="112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The Chair of the audit committee, compensation committee and nominating and corporate governance committee received annual cash retainers of $20,000, $15,000 and $10,000, respectively, paid quarterly, in arrears.</w:t>
      </w:r>
    </w:p>
    <w:p>
      <w:pPr>
        <w:spacing w:after="0" w:line="53" w:lineRule="exact"/>
        <w:rPr>
          <w:rFonts w:ascii="Arial" w:cs="Arial" w:eastAsia="Arial" w:hAnsi="Arial"/>
          <w:sz w:val="18"/>
          <w:szCs w:val="18"/>
          <w:color w:val="3C5896"/>
        </w:rPr>
      </w:pPr>
    </w:p>
    <w:p>
      <w:pPr>
        <w:ind w:left="1120" w:hanging="214"/>
        <w:spacing w:after="0" w:line="287" w:lineRule="auto"/>
        <w:tabs>
          <w:tab w:leader="none" w:pos="1120" w:val="left"/>
        </w:tabs>
        <w:numPr>
          <w:ilvl w:val="0"/>
          <w:numId w:val="16"/>
        </w:numPr>
        <w:rPr>
          <w:rFonts w:ascii="Arial" w:cs="Arial" w:eastAsia="Arial" w:hAnsi="Arial"/>
          <w:sz w:val="18"/>
          <w:szCs w:val="18"/>
          <w:color w:val="3C5896"/>
        </w:rPr>
      </w:pPr>
      <w:r>
        <w:rPr>
          <w:rFonts w:ascii="Arial" w:cs="Arial" w:eastAsia="Arial" w:hAnsi="Arial"/>
          <w:sz w:val="18"/>
          <w:szCs w:val="18"/>
          <w:color w:val="auto"/>
        </w:rPr>
        <w:t>Annual $100,000 restricted stock grant, which will vest on the first anniversary of the grant date, subject to continued service through the applicable vesting date.</w:t>
      </w:r>
    </w:p>
    <w:p>
      <w:pPr>
        <w:spacing w:after="0" w:line="31" w:lineRule="exact"/>
        <w:rPr>
          <w:sz w:val="20"/>
          <w:szCs w:val="20"/>
          <w:color w:val="auto"/>
        </w:rPr>
      </w:pPr>
    </w:p>
    <w:p>
      <w:pPr>
        <w:ind w:left="760"/>
        <w:spacing w:after="0" w:line="287" w:lineRule="auto"/>
        <w:rPr>
          <w:sz w:val="20"/>
          <w:szCs w:val="20"/>
          <w:color w:val="auto"/>
        </w:rPr>
      </w:pPr>
      <w:r>
        <w:rPr>
          <w:rFonts w:ascii="Arial" w:cs="Arial" w:eastAsia="Arial" w:hAnsi="Arial"/>
          <w:sz w:val="18"/>
          <w:szCs w:val="18"/>
          <w:color w:val="auto"/>
        </w:rPr>
        <w:t>Our directors are not paid any fees for attending meetings. However, our directors are reimbursed for reasonable travel and related expenses associated with attendance at Board or committee meetings.</w:t>
      </w:r>
    </w:p>
    <w:p>
      <w:pPr>
        <w:spacing w:after="0" w:line="31"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The following table reflects all cash compensation paid and the aggregate market value of stock awards granted to our non-employee directors for service in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23495</wp:posOffset>
            </wp:positionV>
            <wp:extent cx="4140200" cy="14744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40200" cy="14744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23495</wp:posOffset>
            </wp:positionV>
            <wp:extent cx="34290" cy="394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9433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16"/>
        </w:trPr>
        <w:tc>
          <w:tcPr>
            <w:tcW w:w="20" w:type="dxa"/>
            <w:vAlign w:val="bottom"/>
            <w:tcBorders>
              <w:top w:val="single" w:sz="8" w:color="3C5896"/>
            </w:tcBorders>
          </w:tcPr>
          <w:p>
            <w:pPr>
              <w:spacing w:after="0"/>
              <w:rPr>
                <w:sz w:val="18"/>
                <w:szCs w:val="18"/>
                <w:color w:val="auto"/>
              </w:rPr>
            </w:pPr>
          </w:p>
        </w:tc>
        <w:tc>
          <w:tcPr>
            <w:tcW w:w="580" w:type="dxa"/>
            <w:vAlign w:val="bottom"/>
            <w:tcBorders>
              <w:top w:val="single" w:sz="8" w:color="3C5896"/>
            </w:tcBorders>
            <w:shd w:val="clear" w:color="auto" w:fill="3C5896"/>
          </w:tcPr>
          <w:p>
            <w:pPr>
              <w:spacing w:after="0"/>
              <w:rPr>
                <w:sz w:val="18"/>
                <w:szCs w:val="18"/>
                <w:color w:val="auto"/>
              </w:rPr>
            </w:pPr>
          </w:p>
        </w:tc>
        <w:tc>
          <w:tcPr>
            <w:tcW w:w="2080" w:type="dxa"/>
            <w:vAlign w:val="bottom"/>
            <w:tcBorders>
              <w:top w:val="single" w:sz="8" w:color="3C5896"/>
            </w:tcBorders>
            <w:shd w:val="clear" w:color="auto" w:fill="3C5896"/>
          </w:tcPr>
          <w:p>
            <w:pPr>
              <w:spacing w:after="0"/>
              <w:rPr>
                <w:sz w:val="18"/>
                <w:szCs w:val="18"/>
                <w:color w:val="auto"/>
              </w:rPr>
            </w:pPr>
          </w:p>
        </w:tc>
        <w:tc>
          <w:tcPr>
            <w:tcW w:w="20" w:type="dxa"/>
            <w:vAlign w:val="bottom"/>
            <w:tcBorders>
              <w:top w:val="single" w:sz="8" w:color="3C5896"/>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1380" w:type="dxa"/>
            <w:vAlign w:val="bottom"/>
            <w:tcBorders>
              <w:top w:val="single" w:sz="8" w:color="3C5896"/>
            </w:tcBorders>
          </w:tcPr>
          <w:p>
            <w:pPr>
              <w:jc w:val="center"/>
              <w:spacing w:after="0"/>
              <w:rPr>
                <w:sz w:val="20"/>
                <w:szCs w:val="20"/>
                <w:color w:val="auto"/>
              </w:rPr>
            </w:pPr>
            <w:r>
              <w:rPr>
                <w:rFonts w:ascii="Arial" w:cs="Arial" w:eastAsia="Arial" w:hAnsi="Arial"/>
                <w:sz w:val="18"/>
                <w:szCs w:val="18"/>
                <w:b w:val="1"/>
                <w:bCs w:val="1"/>
                <w:color w:val="FFFFFF"/>
                <w:w w:val="98"/>
              </w:rPr>
              <w:t>Fees earned or</w:t>
            </w:r>
          </w:p>
        </w:tc>
        <w:tc>
          <w:tcPr>
            <w:tcW w:w="120" w:type="dxa"/>
            <w:vAlign w:val="bottom"/>
            <w:tcBorders>
              <w:top w:val="single" w:sz="8" w:color="3C5896"/>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3C5896"/>
            </w:tcBorders>
          </w:tcPr>
          <w:p>
            <w:pPr>
              <w:spacing w:after="0"/>
              <w:rPr>
                <w:sz w:val="18"/>
                <w:szCs w:val="18"/>
                <w:color w:val="auto"/>
              </w:rPr>
            </w:pPr>
          </w:p>
        </w:tc>
        <w:tc>
          <w:tcPr>
            <w:tcW w:w="260" w:type="dxa"/>
            <w:vAlign w:val="bottom"/>
            <w:tcBorders>
              <w:top w:val="single" w:sz="8" w:color="3C5896"/>
            </w:tcBorders>
          </w:tcPr>
          <w:p>
            <w:pPr>
              <w:spacing w:after="0"/>
              <w:rPr>
                <w:sz w:val="18"/>
                <w:szCs w:val="18"/>
                <w:color w:val="auto"/>
              </w:rPr>
            </w:pPr>
          </w:p>
        </w:tc>
        <w:tc>
          <w:tcPr>
            <w:tcW w:w="820" w:type="dxa"/>
            <w:vAlign w:val="bottom"/>
            <w:tcBorders>
              <w:top w:val="single" w:sz="8" w:color="3C5896"/>
            </w:tcBorders>
          </w:tcPr>
          <w:p>
            <w:pPr>
              <w:jc w:val="center"/>
              <w:ind w:right="230"/>
              <w:spacing w:after="0"/>
              <w:rPr>
                <w:sz w:val="20"/>
                <w:szCs w:val="20"/>
                <w:color w:val="auto"/>
              </w:rPr>
            </w:pPr>
            <w:r>
              <w:rPr>
                <w:rFonts w:ascii="Arial" w:cs="Arial" w:eastAsia="Arial" w:hAnsi="Arial"/>
                <w:sz w:val="18"/>
                <w:szCs w:val="18"/>
                <w:b w:val="1"/>
                <w:bCs w:val="1"/>
                <w:color w:val="FFFFFF"/>
              </w:rPr>
              <w:t>Stock</w:t>
            </w:r>
          </w:p>
        </w:tc>
        <w:tc>
          <w:tcPr>
            <w:tcW w:w="260" w:type="dxa"/>
            <w:vAlign w:val="bottom"/>
            <w:tcBorders>
              <w:top w:val="single" w:sz="8" w:color="3C5896"/>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3C5896"/>
            </w:tcBorders>
          </w:tcPr>
          <w:p>
            <w:pPr>
              <w:spacing w:after="0"/>
              <w:rPr>
                <w:sz w:val="18"/>
                <w:szCs w:val="18"/>
                <w:color w:val="auto"/>
              </w:rPr>
            </w:pPr>
          </w:p>
        </w:tc>
        <w:tc>
          <w:tcPr>
            <w:tcW w:w="1360" w:type="dxa"/>
            <w:vAlign w:val="bottom"/>
            <w:tcBorders>
              <w:top w:val="single" w:sz="8" w:color="3C5896"/>
            </w:tcBorders>
          </w:tcPr>
          <w:p>
            <w:pPr>
              <w:jc w:val="center"/>
              <w:spacing w:after="0"/>
              <w:rPr>
                <w:sz w:val="20"/>
                <w:szCs w:val="20"/>
                <w:color w:val="auto"/>
              </w:rPr>
            </w:pPr>
            <w:r>
              <w:rPr>
                <w:rFonts w:ascii="Arial" w:cs="Arial" w:eastAsia="Arial" w:hAnsi="Arial"/>
                <w:sz w:val="18"/>
                <w:szCs w:val="18"/>
                <w:b w:val="1"/>
                <w:bCs w:val="1"/>
                <w:color w:val="FFFFFF"/>
                <w:w w:val="98"/>
              </w:rPr>
              <w:t>All other</w:t>
            </w:r>
          </w:p>
        </w:tc>
        <w:tc>
          <w:tcPr>
            <w:tcW w:w="140" w:type="dxa"/>
            <w:vAlign w:val="bottom"/>
            <w:tcBorders>
              <w:top w:val="single" w:sz="8" w:color="3C5896"/>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3C5896"/>
            </w:tcBorders>
          </w:tcPr>
          <w:p>
            <w:pPr>
              <w:spacing w:after="0"/>
              <w:rPr>
                <w:sz w:val="18"/>
                <w:szCs w:val="18"/>
                <w:color w:val="auto"/>
              </w:rPr>
            </w:pPr>
          </w:p>
        </w:tc>
        <w:tc>
          <w:tcPr>
            <w:tcW w:w="1080" w:type="dxa"/>
            <w:vAlign w:val="bottom"/>
            <w:tcBorders>
              <w:top w:val="single" w:sz="8" w:color="3C5896"/>
            </w:tcBorders>
            <w:vMerge w:val="restart"/>
          </w:tcPr>
          <w:p>
            <w:pPr>
              <w:ind w:left="300"/>
              <w:spacing w:after="0"/>
              <w:rPr>
                <w:sz w:val="20"/>
                <w:szCs w:val="20"/>
                <w:color w:val="auto"/>
              </w:rPr>
            </w:pPr>
            <w:r>
              <w:rPr>
                <w:rFonts w:ascii="Arial" w:cs="Arial" w:eastAsia="Arial" w:hAnsi="Arial"/>
                <w:sz w:val="18"/>
                <w:szCs w:val="18"/>
                <w:b w:val="1"/>
                <w:bCs w:val="1"/>
                <w:color w:val="FFFFFF"/>
              </w:rPr>
              <w:t>Total</w:t>
            </w:r>
          </w:p>
        </w:tc>
        <w:tc>
          <w:tcPr>
            <w:tcW w:w="280" w:type="dxa"/>
            <w:vAlign w:val="bottom"/>
            <w:tcBorders>
              <w:top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shd w:val="clear" w:color="auto" w:fill="3C5896"/>
          </w:tcPr>
          <w:p>
            <w:pPr>
              <w:spacing w:after="0"/>
              <w:rPr>
                <w:sz w:val="15"/>
                <w:szCs w:val="15"/>
                <w:color w:val="auto"/>
              </w:rPr>
            </w:pPr>
          </w:p>
        </w:tc>
        <w:tc>
          <w:tcPr>
            <w:tcW w:w="2080" w:type="dxa"/>
            <w:vAlign w:val="bottom"/>
            <w:shd w:val="clear" w:color="auto" w:fill="3C589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FFFFFF"/>
                <w:w w:val="99"/>
              </w:rPr>
              <w:t>paid in cash</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FFFFFF"/>
                <w:w w:val="99"/>
              </w:rPr>
              <w:t>awards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b w:val="1"/>
                <w:bCs w:val="1"/>
                <w:color w:val="FFFFFF"/>
                <w:w w:val="99"/>
              </w:rPr>
              <w:t>compensation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2080" w:type="dxa"/>
            <w:vAlign w:val="bottom"/>
            <w:shd w:val="clear" w:color="auto" w:fill="3C5896"/>
          </w:tcPr>
          <w:p>
            <w:pPr>
              <w:ind w:left="500"/>
              <w:spacing w:after="0"/>
              <w:rPr>
                <w:sz w:val="20"/>
                <w:szCs w:val="20"/>
                <w:color w:val="auto"/>
              </w:rPr>
            </w:pPr>
            <w:r>
              <w:rPr>
                <w:rFonts w:ascii="Arial" w:cs="Arial" w:eastAsia="Arial" w:hAnsi="Arial"/>
                <w:sz w:val="18"/>
                <w:szCs w:val="18"/>
                <w:b w:val="1"/>
                <w:bCs w:val="1"/>
                <w:color w:val="FFFFFF"/>
              </w:rPr>
              <w:t>Name</w:t>
            </w:r>
          </w:p>
        </w:tc>
        <w:tc>
          <w:tcPr>
            <w:tcW w:w="120" w:type="dxa"/>
            <w:vAlign w:val="bottom"/>
            <w:gridSpan w:val="3"/>
          </w:tcPr>
          <w:p>
            <w:pPr>
              <w:spacing w:after="0"/>
              <w:rPr>
                <w:sz w:val="20"/>
                <w:szCs w:val="20"/>
                <w:color w:val="auto"/>
              </w:rPr>
            </w:pPr>
            <w:r>
              <w:rPr>
                <w:rFonts w:ascii="Arial" w:cs="Arial" w:eastAsia="Arial" w:hAnsi="Arial"/>
                <w:sz w:val="18"/>
                <w:szCs w:val="18"/>
                <w:b w:val="1"/>
                <w:bCs w:val="1"/>
                <w:color w:val="FFFFFF"/>
              </w:rPr>
              <w:t>​​</w:t>
            </w:r>
          </w:p>
        </w:tc>
        <w:tc>
          <w:tcPr>
            <w:tcW w:w="1380" w:type="dxa"/>
            <w:vAlign w:val="bottom"/>
          </w:tcPr>
          <w:p>
            <w:pPr>
              <w:jc w:val="center"/>
              <w:spacing w:after="0" w:line="230" w:lineRule="exact"/>
              <w:rPr>
                <w:sz w:val="20"/>
                <w:szCs w:val="20"/>
                <w:color w:val="auto"/>
              </w:rPr>
            </w:pPr>
            <w:r>
              <w:rPr>
                <w:rFonts w:ascii="Arial" w:cs="Arial" w:eastAsia="Arial" w:hAnsi="Arial"/>
                <w:sz w:val="18"/>
                <w:szCs w:val="18"/>
                <w:b w:val="1"/>
                <w:bCs w:val="1"/>
                <w:color w:val="FFFFFF"/>
                <w:w w:val="88"/>
              </w:rPr>
              <w:t>($)</w:t>
            </w:r>
            <w:r>
              <w:rPr>
                <w:rFonts w:ascii="Arial" w:cs="Arial" w:eastAsia="Arial" w:hAnsi="Arial"/>
                <w:sz w:val="23"/>
                <w:szCs w:val="23"/>
                <w:b w:val="1"/>
                <w:bCs w:val="1"/>
                <w:color w:val="FFFFFF"/>
                <w:w w:val="88"/>
                <w:vertAlign w:val="superscript"/>
              </w:rPr>
              <w:t>(1)</w:t>
            </w:r>
          </w:p>
        </w:tc>
        <w:tc>
          <w:tcPr>
            <w:tcW w:w="4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FFFFFF"/>
              </w:rPr>
              <w:t>​​</w:t>
            </w:r>
          </w:p>
        </w:tc>
        <w:tc>
          <w:tcPr>
            <w:tcW w:w="260" w:type="dxa"/>
            <w:vAlign w:val="bottom"/>
          </w:tcPr>
          <w:p>
            <w:pPr>
              <w:spacing w:after="0"/>
              <w:rPr>
                <w:sz w:val="19"/>
                <w:szCs w:val="19"/>
                <w:color w:val="auto"/>
              </w:rPr>
            </w:pPr>
          </w:p>
        </w:tc>
        <w:tc>
          <w:tcPr>
            <w:tcW w:w="820" w:type="dxa"/>
            <w:vAlign w:val="bottom"/>
          </w:tcPr>
          <w:p>
            <w:pPr>
              <w:jc w:val="center"/>
              <w:ind w:right="170"/>
              <w:spacing w:after="0" w:line="230" w:lineRule="exact"/>
              <w:rPr>
                <w:sz w:val="20"/>
                <w:szCs w:val="20"/>
                <w:color w:val="auto"/>
              </w:rPr>
            </w:pPr>
            <w:r>
              <w:rPr>
                <w:rFonts w:ascii="Arial" w:cs="Arial" w:eastAsia="Arial" w:hAnsi="Arial"/>
                <w:sz w:val="18"/>
                <w:szCs w:val="18"/>
                <w:b w:val="1"/>
                <w:bCs w:val="1"/>
                <w:color w:val="FFFFFF"/>
                <w:w w:val="88"/>
              </w:rPr>
              <w:t>($)</w:t>
            </w:r>
            <w:r>
              <w:rPr>
                <w:rFonts w:ascii="Arial" w:cs="Arial" w:eastAsia="Arial" w:hAnsi="Arial"/>
                <w:sz w:val="23"/>
                <w:szCs w:val="23"/>
                <w:b w:val="1"/>
                <w:bCs w:val="1"/>
                <w:color w:val="FFFFFF"/>
                <w:w w:val="88"/>
                <w:vertAlign w:val="superscript"/>
              </w:rPr>
              <w:t>(2)</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FFFFFF"/>
              </w:rPr>
              <w: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FFFFFF"/>
              </w:rPr>
              <w: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30"/>
        </w:trPr>
        <w:tc>
          <w:tcPr>
            <w:tcW w:w="20" w:type="dxa"/>
            <w:vAlign w:val="bottom"/>
            <w:shd w:val="clear" w:color="auto" w:fill="3C5896"/>
          </w:tcPr>
          <w:p>
            <w:pPr>
              <w:spacing w:after="0"/>
              <w:rPr>
                <w:sz w:val="19"/>
                <w:szCs w:val="19"/>
                <w:color w:val="auto"/>
              </w:rPr>
            </w:pPr>
          </w:p>
        </w:tc>
        <w:tc>
          <w:tcPr>
            <w:tcW w:w="266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D. Randolph Peeler</w:t>
            </w:r>
            <w:r>
              <w:rPr>
                <w:rFonts w:ascii="Arial" w:cs="Arial" w:eastAsia="Arial" w:hAnsi="Arial"/>
                <w:sz w:val="18"/>
                <w:szCs w:val="18"/>
                <w:color w:val="auto"/>
                <w:vertAlign w:val="superscript"/>
              </w:rPr>
              <w:t>(3)</w:t>
            </w:r>
          </w:p>
        </w:tc>
        <w:tc>
          <w:tcPr>
            <w:tcW w:w="120" w:type="dxa"/>
            <w:vAlign w:val="bottom"/>
            <w:gridSpan w:val="3"/>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75,000</w:t>
            </w: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3C5896"/>
          </w:tcPr>
          <w:p>
            <w:pPr>
              <w:spacing w:after="0"/>
              <w:rPr>
                <w:sz w:val="19"/>
                <w:szCs w:val="19"/>
                <w:color w:val="auto"/>
              </w:rPr>
            </w:pPr>
          </w:p>
        </w:tc>
        <w:tc>
          <w:tcPr>
            <w:tcW w:w="2660" w:type="dxa"/>
            <w:vAlign w:val="bottom"/>
            <w:gridSpan w:val="2"/>
            <w:shd w:val="clear" w:color="auto" w:fill="CCCCCC"/>
          </w:tcPr>
          <w:p>
            <w:pPr>
              <w:ind w:left="20"/>
              <w:spacing w:after="0" w:line="211"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Heather Cianfrocco</w:t>
            </w:r>
            <w:r>
              <w:rPr>
                <w:rFonts w:ascii="Arial" w:cs="Arial" w:eastAsia="Arial" w:hAnsi="Arial"/>
                <w:sz w:val="17"/>
                <w:szCs w:val="17"/>
                <w:color w:val="auto"/>
                <w:vertAlign w:val="superscript"/>
              </w:rPr>
              <w:t>(4)</w:t>
            </w:r>
          </w:p>
        </w:tc>
        <w:tc>
          <w:tcPr>
            <w:tcW w:w="120" w:type="dxa"/>
            <w:vAlign w:val="bottom"/>
            <w:gridSpan w:val="3"/>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75,000</w:t>
            </w: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3C5896"/>
          </w:tcPr>
          <w:p>
            <w:pPr>
              <w:spacing w:after="0"/>
              <w:rPr>
                <w:sz w:val="15"/>
                <w:szCs w:val="15"/>
                <w:color w:val="auto"/>
              </w:rPr>
            </w:pPr>
          </w:p>
        </w:tc>
        <w:tc>
          <w:tcPr>
            <w:tcW w:w="26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​Virginia A. Hepner</w:t>
            </w:r>
          </w:p>
        </w:tc>
        <w:tc>
          <w:tcPr>
            <w:tcW w:w="120" w:type="dxa"/>
            <w:vAlign w:val="bottom"/>
            <w:gridSpan w:val="3"/>
          </w:tcPr>
          <w:p>
            <w:pPr>
              <w:spacing w:after="0" w:line="183" w:lineRule="exact"/>
              <w:rPr>
                <w:sz w:val="20"/>
                <w:szCs w:val="20"/>
                <w:color w:val="auto"/>
              </w:rPr>
            </w:pPr>
            <w:r>
              <w:rPr>
                <w:rFonts w:ascii="Arial" w:cs="Arial" w:eastAsia="Arial" w:hAnsi="Arial"/>
                <w:sz w:val="18"/>
                <w:szCs w:val="18"/>
                <w:color w:val="auto"/>
              </w:rPr>
              <w:t>​​</w:t>
            </w:r>
          </w:p>
        </w:tc>
        <w:tc>
          <w:tcPr>
            <w:tcW w:w="13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85,000</w:t>
            </w:r>
          </w:p>
        </w:tc>
        <w:tc>
          <w:tcPr>
            <w:tcW w:w="400" w:type="dxa"/>
            <w:vAlign w:val="bottom"/>
            <w:gridSpan w:val="3"/>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gridSpan w:val="3"/>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20" w:type="dxa"/>
            <w:vAlign w:val="bottom"/>
            <w:gridSpan w:val="3"/>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185,000</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shd w:val="clear" w:color="auto" w:fill="3C5896"/>
          </w:tcPr>
          <w:p>
            <w:pPr>
              <w:spacing w:after="0"/>
              <w:rPr>
                <w:sz w:val="19"/>
                <w:szCs w:val="19"/>
                <w:color w:val="auto"/>
              </w:rPr>
            </w:pPr>
          </w:p>
        </w:tc>
        <w:tc>
          <w:tcPr>
            <w:tcW w:w="2660" w:type="dxa"/>
            <w:vAlign w:val="bottom"/>
            <w:gridSpan w:val="2"/>
            <w:shd w:val="clear" w:color="auto" w:fill="CCCCCC"/>
          </w:tcPr>
          <w:p>
            <w:pPr>
              <w:ind w:left="20"/>
              <w:spacing w:after="0" w:line="202" w:lineRule="exact"/>
              <w:rPr>
                <w:sz w:val="20"/>
                <w:szCs w:val="20"/>
                <w:color w:val="auto"/>
              </w:rPr>
            </w:pPr>
            <w:r>
              <w:rPr>
                <w:rFonts w:ascii="Arial" w:cs="Arial" w:eastAsia="Arial" w:hAnsi="Arial"/>
                <w:sz w:val="18"/>
                <w:szCs w:val="18"/>
                <w:color w:val="auto"/>
              </w:rPr>
              <w:t>​Susan S. Johnson</w:t>
            </w:r>
          </w:p>
        </w:tc>
        <w:tc>
          <w:tcPr>
            <w:tcW w:w="12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75,000</w:t>
            </w:r>
          </w:p>
        </w:tc>
        <w:tc>
          <w:tcPr>
            <w:tcW w:w="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175,000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3C5896"/>
          </w:tcPr>
          <w:p>
            <w:pPr>
              <w:spacing w:after="0"/>
              <w:rPr>
                <w:sz w:val="15"/>
                <w:szCs w:val="15"/>
                <w:color w:val="auto"/>
              </w:rPr>
            </w:pPr>
          </w:p>
        </w:tc>
        <w:tc>
          <w:tcPr>
            <w:tcW w:w="26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​Naomi Kelman</w:t>
            </w:r>
          </w:p>
        </w:tc>
        <w:tc>
          <w:tcPr>
            <w:tcW w:w="120" w:type="dxa"/>
            <w:vAlign w:val="bottom"/>
            <w:gridSpan w:val="3"/>
          </w:tcPr>
          <w:p>
            <w:pPr>
              <w:spacing w:after="0" w:line="183" w:lineRule="exact"/>
              <w:rPr>
                <w:sz w:val="20"/>
                <w:szCs w:val="20"/>
                <w:color w:val="auto"/>
              </w:rPr>
            </w:pPr>
            <w:r>
              <w:rPr>
                <w:rFonts w:ascii="Arial" w:cs="Arial" w:eastAsia="Arial" w:hAnsi="Arial"/>
                <w:sz w:val="18"/>
                <w:szCs w:val="18"/>
                <w:color w:val="auto"/>
              </w:rPr>
              <w:t>​​</w:t>
            </w:r>
          </w:p>
        </w:tc>
        <w:tc>
          <w:tcPr>
            <w:tcW w:w="13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75,000</w:t>
            </w:r>
          </w:p>
        </w:tc>
        <w:tc>
          <w:tcPr>
            <w:tcW w:w="400" w:type="dxa"/>
            <w:vAlign w:val="bottom"/>
            <w:gridSpan w:val="3"/>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gridSpan w:val="3"/>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20" w:type="dxa"/>
            <w:vAlign w:val="bottom"/>
            <w:gridSpan w:val="3"/>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175,000</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shd w:val="clear" w:color="auto" w:fill="3C5896"/>
          </w:tcPr>
          <w:p>
            <w:pPr>
              <w:spacing w:after="0"/>
              <w:rPr>
                <w:sz w:val="19"/>
                <w:szCs w:val="19"/>
                <w:color w:val="auto"/>
              </w:rPr>
            </w:pPr>
          </w:p>
        </w:tc>
        <w:tc>
          <w:tcPr>
            <w:tcW w:w="2660" w:type="dxa"/>
            <w:vAlign w:val="bottom"/>
            <w:gridSpan w:val="2"/>
            <w:shd w:val="clear" w:color="auto" w:fill="CCCCCC"/>
          </w:tcPr>
          <w:p>
            <w:pPr>
              <w:ind w:left="20"/>
              <w:spacing w:after="0" w:line="202" w:lineRule="exact"/>
              <w:rPr>
                <w:sz w:val="20"/>
                <w:szCs w:val="20"/>
                <w:color w:val="auto"/>
              </w:rPr>
            </w:pPr>
            <w:r>
              <w:rPr>
                <w:rFonts w:ascii="Arial" w:cs="Arial" w:eastAsia="Arial" w:hAnsi="Arial"/>
                <w:sz w:val="18"/>
                <w:szCs w:val="18"/>
                <w:color w:val="auto"/>
              </w:rPr>
              <w:t>​Thomas V. Taylor, Jr.</w:t>
            </w:r>
          </w:p>
        </w:tc>
        <w:tc>
          <w:tcPr>
            <w:tcW w:w="12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90,000</w:t>
            </w:r>
          </w:p>
        </w:tc>
        <w:tc>
          <w:tcPr>
            <w:tcW w:w="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3C5896"/>
          </w:tcPr>
          <w:p>
            <w:pPr>
              <w:spacing w:after="0"/>
              <w:rPr>
                <w:sz w:val="17"/>
                <w:szCs w:val="17"/>
                <w:color w:val="auto"/>
              </w:rPr>
            </w:pPr>
          </w:p>
        </w:tc>
        <w:tc>
          <w:tcPr>
            <w:tcW w:w="2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​David M. Tehle</w:t>
            </w:r>
          </w:p>
        </w:tc>
        <w:tc>
          <w:tcPr>
            <w:tcW w:w="12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95,000</w:t>
            </w:r>
          </w:p>
        </w:tc>
        <w:tc>
          <w:tcPr>
            <w:tcW w:w="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195,000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3C5896"/>
            </w:tcBorders>
            <w:shd w:val="clear" w:color="auto" w:fill="3C5896"/>
          </w:tcPr>
          <w:p>
            <w:pPr>
              <w:spacing w:after="0"/>
              <w:rPr>
                <w:sz w:val="19"/>
                <w:szCs w:val="19"/>
                <w:color w:val="auto"/>
              </w:rPr>
            </w:pPr>
          </w:p>
        </w:tc>
        <w:tc>
          <w:tcPr>
            <w:tcW w:w="2660" w:type="dxa"/>
            <w:vAlign w:val="bottom"/>
            <w:tcBorders>
              <w:bottom w:val="single" w:sz="8" w:color="3C5896"/>
            </w:tcBorders>
            <w:gridSpan w:val="2"/>
            <w:shd w:val="clear" w:color="auto" w:fill="CCCCCC"/>
          </w:tcPr>
          <w:p>
            <w:pPr>
              <w:ind w:left="20"/>
              <w:spacing w:after="0"/>
              <w:rPr>
                <w:sz w:val="20"/>
                <w:szCs w:val="20"/>
                <w:color w:val="auto"/>
              </w:rPr>
            </w:pPr>
            <w:r>
              <w:rPr>
                <w:rFonts w:ascii="Arial" w:cs="Arial" w:eastAsia="Arial" w:hAnsi="Arial"/>
                <w:sz w:val="18"/>
                <w:szCs w:val="18"/>
                <w:color w:val="auto"/>
              </w:rPr>
              <w:t>​Jose Armario</w:t>
            </w:r>
          </w:p>
        </w:tc>
        <w:tc>
          <w:tcPr>
            <w:tcW w:w="120" w:type="dxa"/>
            <w:vAlign w:val="bottom"/>
            <w:tcBorders>
              <w:bottom w:val="single" w:sz="8" w:color="3C5896"/>
            </w:tcBorders>
            <w:gridSpan w:val="3"/>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3C5896"/>
            </w:tcBorders>
          </w:tcPr>
          <w:p>
            <w:pPr>
              <w:jc w:val="center"/>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68,750</w:t>
            </w:r>
          </w:p>
        </w:tc>
        <w:tc>
          <w:tcPr>
            <w:tcW w:w="400" w:type="dxa"/>
            <w:vAlign w:val="bottom"/>
            <w:tcBorders>
              <w:bottom w:val="single" w:sz="8" w:color="3C5896"/>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3C5896"/>
            </w:tcBorders>
            <w:gridSpan w:val="2"/>
          </w:tcPr>
          <w:p>
            <w:pPr>
              <w:jc w:val="right"/>
              <w:ind w:right="1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tcBorders>
              <w:bottom w:val="single" w:sz="8" w:color="3C5896"/>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3C5896"/>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3C5896"/>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3C5896"/>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168,750</w:t>
            </w:r>
          </w:p>
        </w:tc>
        <w:tc>
          <w:tcPr>
            <w:tcW w:w="28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-1088390</wp:posOffset>
            </wp:positionV>
            <wp:extent cx="4131945" cy="10890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31945" cy="1089025"/>
                    </a:xfrm>
                    <a:prstGeom prst="rect">
                      <a:avLst/>
                    </a:prstGeom>
                    <a:noFill/>
                  </pic:spPr>
                </pic:pic>
              </a:graphicData>
            </a:graphic>
          </wp:anchor>
        </w:drawing>
      </w:r>
    </w:p>
    <w:p>
      <w:pPr>
        <w:spacing w:after="0" w:line="30" w:lineRule="exact"/>
        <w:rPr>
          <w:sz w:val="20"/>
          <w:szCs w:val="20"/>
          <w:color w:val="auto"/>
        </w:rPr>
      </w:pPr>
    </w:p>
    <w:p>
      <w:pPr>
        <w:jc w:val="both"/>
        <w:ind w:left="1120" w:hanging="358"/>
        <w:spacing w:after="0" w:line="263" w:lineRule="auto"/>
        <w:tabs>
          <w:tab w:leader="none" w:pos="1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all annual retainer fees paid in cash to the directors, including the prorated annual retainer fee for Mr. Armario upon him joining the Board in February 2021. In lieu of receiving cash retainers, Mr. Peeler donated his cash retainer to 20/20 Quest, a National Vision sponsored charitable foundation. Ms. Cianfrocco donated $37,500 of her cash retainer to 20/20 Quest.</w:t>
      </w:r>
    </w:p>
    <w:p>
      <w:pPr>
        <w:spacing w:after="0" w:line="40" w:lineRule="exact"/>
        <w:rPr>
          <w:rFonts w:ascii="Arial" w:cs="Arial" w:eastAsia="Arial" w:hAnsi="Arial"/>
          <w:sz w:val="15"/>
          <w:szCs w:val="15"/>
          <w:color w:val="auto"/>
        </w:rPr>
      </w:pPr>
    </w:p>
    <w:p>
      <w:pPr>
        <w:jc w:val="both"/>
        <w:ind w:left="1120" w:hanging="358"/>
        <w:spacing w:after="0" w:line="256" w:lineRule="auto"/>
        <w:tabs>
          <w:tab w:leader="none" w:pos="1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 reported reflects the grant date fair value calculated in accordance with Financial Accounting Standards Board Accounting Standards Codification Topic 718, Compensation—Stock Compensation (“ASC Topic 718”) associated with the grant to each director as of such grant date. See Note 5 of the Notes to Consolidated Financial Statements contained in the Company’s 2021 10-K for an explanation of the assumptions made in the valuation of these awards. The grant date fair value of the annual award that was granted on June 9, 2021 for all directors was $100,000 for the 2,061 shares of restricted stock granted to such directors. The grant date fair value of the 2,112 shares of restricted stock granted to Mr. Armario in February 2021 was $100,000. As of January 1, 2022, Mr. Armario held 4,173 shares of unvested restricted stock, Ms. Cianfrocco held 2,061 shares of unvested restricted stock, Ms. Hepner held 2,061 shares of unvested restricted stock, Ms. Johnson held 2,061 shares of unvested restricted stock, Ms. Kelman held 2,061 shares of unvested restricted stock, Mr. Taylor held 2,061 shares of unvested restricted stock and Mr. Tehle held 2,061 shares of unvested restricted stock.</w:t>
      </w:r>
    </w:p>
    <w:p>
      <w:pPr>
        <w:spacing w:after="0" w:line="50" w:lineRule="exact"/>
        <w:rPr>
          <w:rFonts w:ascii="Arial" w:cs="Arial" w:eastAsia="Arial" w:hAnsi="Arial"/>
          <w:sz w:val="15"/>
          <w:szCs w:val="15"/>
          <w:color w:val="auto"/>
        </w:rPr>
      </w:pPr>
    </w:p>
    <w:p>
      <w:pPr>
        <w:jc w:val="both"/>
        <w:ind w:left="1120" w:hanging="358"/>
        <w:spacing w:after="0" w:line="261" w:lineRule="auto"/>
        <w:tabs>
          <w:tab w:leader="none" w:pos="11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At the request of Mr. Peeler, the compensation committee approved in June 2019 a program in which (i) in lieu of paying his cash retainer for Board service and any committee chairperson service, if applicable, directly to Mr. Peeler, the Company would instead</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make a quarterly donation of such retainer in Mr. Peeler’s name to the Company’s foundation or another charity of its choosing and</w:t>
      </w:r>
    </w:p>
    <w:p>
      <w:pPr>
        <w:spacing w:after="0" w:line="6" w:lineRule="exact"/>
        <w:rPr>
          <w:sz w:val="20"/>
          <w:szCs w:val="20"/>
          <w:color w:val="auto"/>
        </w:rPr>
      </w:pPr>
    </w:p>
    <w:p>
      <w:pPr>
        <w:ind w:left="1120" w:right="20" w:firstLine="2"/>
        <w:spacing w:after="0" w:line="282" w:lineRule="auto"/>
        <w:tabs>
          <w:tab w:leader="none" w:pos="1367" w:val="left"/>
        </w:tabs>
        <w:numPr>
          <w:ilvl w:val="1"/>
          <w:numId w:val="18"/>
        </w:numPr>
        <w:rPr>
          <w:rFonts w:ascii="Arial" w:cs="Arial" w:eastAsia="Arial" w:hAnsi="Arial"/>
          <w:sz w:val="15"/>
          <w:szCs w:val="15"/>
          <w:color w:val="auto"/>
        </w:rPr>
      </w:pPr>
      <w:r>
        <w:rPr>
          <w:rFonts w:ascii="Arial" w:cs="Arial" w:eastAsia="Arial" w:hAnsi="Arial"/>
          <w:sz w:val="15"/>
          <w:szCs w:val="15"/>
          <w:color w:val="auto"/>
        </w:rPr>
        <w:t>Mr. Peeler would not receive the restricted stock award to which non-employee directors are entitled under the director compensation program.</w:t>
      </w:r>
    </w:p>
    <w:p>
      <w:pPr>
        <w:spacing w:after="0" w:line="12" w:lineRule="exact"/>
        <w:rPr>
          <w:rFonts w:ascii="Arial" w:cs="Arial" w:eastAsia="Arial" w:hAnsi="Arial"/>
          <w:sz w:val="15"/>
          <w:szCs w:val="15"/>
          <w:color w:val="auto"/>
        </w:rPr>
      </w:pPr>
    </w:p>
    <w:p>
      <w:pPr>
        <w:jc w:val="both"/>
        <w:ind w:left="1120" w:hanging="358"/>
        <w:spacing w:after="0" w:line="269" w:lineRule="auto"/>
        <w:tabs>
          <w:tab w:leader="none" w:pos="11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At the request of Ms. Cianfrocco, the compensation committee approved in July 2021 a program in which in lieu of paying a portion of her cash retainer for Board service and any committee chairperson service, if applicable, directly to Ms. Cianfrocco, the Company would instead make a quarterly donation of such retainer in Ms. Cianfrocco’s name to the Company’s foundation or another charity of its choosing.</w:t>
      </w:r>
    </w:p>
    <w:p>
      <w:pPr>
        <w:spacing w:after="0" w:line="7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BOARD OF DIRECTORS AND CERTAIN GOVERNANCE MATTERS</w:t>
      </w:r>
    </w:p>
    <w:p>
      <w:pPr>
        <w:spacing w:after="0" w:line="22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i w:val="1"/>
          <w:iCs w:val="1"/>
          <w:color w:val="auto"/>
        </w:rPr>
        <w:t>Fiscal 2022 Director Compensation Updates</w:t>
      </w:r>
      <w:r>
        <w:rPr>
          <w:rFonts w:ascii="Arial" w:cs="Arial" w:eastAsia="Arial" w:hAnsi="Arial"/>
          <w:sz w:val="18"/>
          <w:szCs w:val="18"/>
          <w:color w:val="auto"/>
        </w:rPr>
        <w:t>. The compensation committee, with assistance from its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 reviews the director compensation program regularly to ensure the program is structured consistent with best practices and current trends. As part of this review, the director compensation program is benchmarked against the same compensation peer group used for executive compensation benchmarking, as described later in the Compensation Discussion &amp; Analysis section. The compensation committee last reviewed director compensation in February 2022 and made changes that will go into effect on June 15, 2022.</w:t>
      </w:r>
    </w:p>
    <w:p>
      <w:pPr>
        <w:spacing w:after="0" w:line="74"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For fiscal 2022, the compensation committee updated the following elements of annual director compensation to better align with market practices. Prior to this update, the Board had not increased its director compensation since 2018.</w:t>
      </w:r>
    </w:p>
    <w:p>
      <w:pPr>
        <w:spacing w:after="0" w:line="63" w:lineRule="exact"/>
        <w:rPr>
          <w:sz w:val="20"/>
          <w:szCs w:val="20"/>
          <w:color w:val="auto"/>
        </w:rPr>
      </w:pPr>
    </w:p>
    <w:p>
      <w:pPr>
        <w:ind w:left="1120" w:hanging="214"/>
        <w:spacing w:after="0"/>
        <w:tabs>
          <w:tab w:leader="none" w:pos="1120" w:val="left"/>
        </w:tabs>
        <w:numPr>
          <w:ilvl w:val="0"/>
          <w:numId w:val="20"/>
        </w:numPr>
        <w:rPr>
          <w:rFonts w:ascii="Arial" w:cs="Arial" w:eastAsia="Arial" w:hAnsi="Arial"/>
          <w:sz w:val="18"/>
          <w:szCs w:val="18"/>
          <w:color w:val="3C5896"/>
        </w:rPr>
      </w:pPr>
      <w:r>
        <w:rPr>
          <w:rFonts w:ascii="Arial" w:cs="Arial" w:eastAsia="Arial" w:hAnsi="Arial"/>
          <w:sz w:val="18"/>
          <w:szCs w:val="18"/>
          <w:color w:val="auto"/>
        </w:rPr>
        <w:t>Annual cash retainer of $80,000, paid quarterly, in arrears.</w:t>
      </w:r>
    </w:p>
    <w:p>
      <w:pPr>
        <w:spacing w:after="0" w:line="117" w:lineRule="exact"/>
        <w:rPr>
          <w:rFonts w:ascii="Arial" w:cs="Arial" w:eastAsia="Arial" w:hAnsi="Arial"/>
          <w:sz w:val="18"/>
          <w:szCs w:val="18"/>
          <w:color w:val="3C5896"/>
        </w:rPr>
      </w:pPr>
    </w:p>
    <w:p>
      <w:pPr>
        <w:jc w:val="both"/>
        <w:ind w:left="1120" w:hanging="214"/>
        <w:spacing w:after="0" w:line="261" w:lineRule="auto"/>
        <w:tabs>
          <w:tab w:leader="none" w:pos="1120" w:val="left"/>
        </w:tabs>
        <w:numPr>
          <w:ilvl w:val="0"/>
          <w:numId w:val="20"/>
        </w:numPr>
        <w:rPr>
          <w:rFonts w:ascii="Arial" w:cs="Arial" w:eastAsia="Arial" w:hAnsi="Arial"/>
          <w:sz w:val="18"/>
          <w:szCs w:val="18"/>
          <w:color w:val="3C5896"/>
        </w:rPr>
      </w:pPr>
      <w:r>
        <w:rPr>
          <w:rFonts w:ascii="Arial" w:cs="Arial" w:eastAsia="Arial" w:hAnsi="Arial"/>
          <w:sz w:val="18"/>
          <w:szCs w:val="18"/>
          <w:color w:val="auto"/>
        </w:rPr>
        <w:t>The Chair of the audit committee, compensation committee and nominating and corporate governance committee will receive annual cash retainers of $22,500, $18,750 and $15,000, respectively, paid quarterly, in arrears.</w:t>
      </w:r>
    </w:p>
    <w:p>
      <w:pPr>
        <w:spacing w:after="0" w:line="53" w:lineRule="exact"/>
        <w:rPr>
          <w:rFonts w:ascii="Arial" w:cs="Arial" w:eastAsia="Arial" w:hAnsi="Arial"/>
          <w:sz w:val="18"/>
          <w:szCs w:val="18"/>
          <w:color w:val="3C5896"/>
        </w:rPr>
      </w:pPr>
    </w:p>
    <w:p>
      <w:pPr>
        <w:ind w:left="1120" w:right="20" w:hanging="214"/>
        <w:spacing w:after="0" w:line="287" w:lineRule="auto"/>
        <w:tabs>
          <w:tab w:leader="none" w:pos="1120" w:val="left"/>
        </w:tabs>
        <w:numPr>
          <w:ilvl w:val="0"/>
          <w:numId w:val="20"/>
        </w:numPr>
        <w:rPr>
          <w:rFonts w:ascii="Arial" w:cs="Arial" w:eastAsia="Arial" w:hAnsi="Arial"/>
          <w:sz w:val="18"/>
          <w:szCs w:val="18"/>
          <w:color w:val="3C5896"/>
        </w:rPr>
      </w:pPr>
      <w:r>
        <w:rPr>
          <w:rFonts w:ascii="Arial" w:cs="Arial" w:eastAsia="Arial" w:hAnsi="Arial"/>
          <w:sz w:val="18"/>
          <w:szCs w:val="18"/>
          <w:color w:val="auto"/>
        </w:rPr>
        <w:t>Annual $140,000 restricted stock units grant, which will vest on the first anniversary of the grant date, subject to continued service through the applicable vesting date.</w:t>
      </w:r>
    </w:p>
    <w:p>
      <w:pPr>
        <w:spacing w:after="0" w:line="31"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In addition, beginning in 2022, directors were given the option to elect to receive all or a portion of their annual Board cash retainer and annual committee chair cash retainer, if applicable, in equity in the form of restricted stock units, which would vest on the first anniversary of the grant date, subject to continued service through the applicable vesting date.</w:t>
      </w:r>
    </w:p>
    <w:p>
      <w:pPr>
        <w:spacing w:after="0" w:line="6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i w:val="1"/>
          <w:iCs w:val="1"/>
          <w:color w:val="auto"/>
        </w:rPr>
        <w:t xml:space="preserve">Director Stock Ownership Guidelines. </w:t>
      </w:r>
      <w:r>
        <w:rPr>
          <w:rFonts w:ascii="Arial" w:cs="Arial" w:eastAsia="Arial" w:hAnsi="Arial"/>
          <w:sz w:val="18"/>
          <w:szCs w:val="18"/>
          <w:color w:val="auto"/>
        </w:rPr>
        <w:t>In February 2019, the Board of Directors adopted stock ownership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“Guidelines”) applicable to our executive officers and directors who are not members of management (the “Covered Directors”). Under the Guidelines, Covered Directors are required to hold a specific level of equity ownership, as a multiple of annual cash retainer. The Guidelines currently require Covered Directors to hold 5x the annual cash retainer. There is no required time frame within which a Covered Director must attain the applicable stock ownership level under the Guidelines. However, until the applicable ownership level is achieved, Covered Directors must retain 50% of vested shares net of stock option exercise and tax withholding. Shares that count toward these ownership guidelines include shares owned outright, shares held in the Company’s 401(k) or other retirement plan and shares of time-based restricted stock (whether vested or unvested). The retention requirement applies to all prior and future grants. As of January 1, 2022, Messrs. Peeler and Tehle have met or exceeded their current ownership requirements and the remaining directors are subject to the restrictions in the Guidelines until their ownership requirements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26  </w:t>
      </w:r>
      <w:r>
        <w:rPr>
          <w:sz w:val="1"/>
          <w:szCs w:val="1"/>
          <w:color w:val="auto"/>
        </w:rPr>
        <w:drawing>
          <wp:inline distT="0" distB="0" distL="0" distR="0">
            <wp:extent cx="300355" cy="24003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02" w:lineRule="exact"/>
        <w:rPr>
          <w:sz w:val="20"/>
          <w:szCs w:val="20"/>
          <w:color w:val="auto"/>
        </w:rPr>
      </w:pPr>
    </w:p>
    <w:p>
      <w:pPr>
        <w:ind w:left="760" w:right="800"/>
        <w:spacing w:after="0" w:line="277" w:lineRule="auto"/>
        <w:rPr>
          <w:sz w:val="20"/>
          <w:szCs w:val="20"/>
          <w:color w:val="auto"/>
        </w:rPr>
      </w:pPr>
      <w:r>
        <w:rPr>
          <w:rFonts w:ascii="Arial" w:cs="Arial" w:eastAsia="Arial" w:hAnsi="Arial"/>
          <w:sz w:val="32"/>
          <w:szCs w:val="32"/>
          <w:color w:val="auto"/>
        </w:rPr>
        <w:t>PROPOSAL NO.2—NON-BINDING ADVISORY VOTE ON EXECUTIVE COMPENSATION</w:t>
      </w:r>
    </w:p>
    <w:p>
      <w:pPr>
        <w:spacing w:after="0" w:line="51" w:lineRule="exact"/>
        <w:rPr>
          <w:sz w:val="20"/>
          <w:szCs w:val="20"/>
          <w:color w:val="auto"/>
        </w:rPr>
      </w:pPr>
    </w:p>
    <w:p>
      <w:pPr>
        <w:ind w:left="820" w:right="20" w:hanging="40"/>
        <w:spacing w:after="0" w:line="221"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w:t>
      </w:r>
      <w:r>
        <w:rPr>
          <w:rFonts w:ascii="Arial" w:cs="Arial" w:eastAsia="Arial" w:hAnsi="Arial"/>
          <w:sz w:val="18"/>
          <w:szCs w:val="18"/>
          <w:b w:val="1"/>
          <w:bCs w:val="1"/>
          <w:color w:val="auto"/>
        </w:rPr>
        <w:t xml:space="preserve"> I </w:t>
      </w:r>
      <w:r>
        <w:rPr>
          <w:rFonts w:ascii="Arial" w:cs="Arial" w:eastAsia="Arial" w:hAnsi="Arial"/>
          <w:sz w:val="12"/>
          <w:szCs w:val="12"/>
          <w:b w:val="1"/>
          <w:bCs w:val="1"/>
          <w:color w:val="auto"/>
        </w:rPr>
        <w:t>VOTING ON</w:t>
      </w:r>
      <w:r>
        <w:rPr>
          <w:rFonts w:ascii="Arial" w:cs="Arial" w:eastAsia="Arial" w:hAnsi="Arial"/>
          <w:sz w:val="18"/>
          <w:szCs w:val="18"/>
          <w:b w:val="1"/>
          <w:bCs w:val="1"/>
          <w:color w:val="auto"/>
        </w:rPr>
        <w:t xml:space="preserve">? </w:t>
      </w:r>
      <w:r>
        <w:rPr>
          <w:rFonts w:ascii="Arial" w:cs="Arial" w:eastAsia="Arial" w:hAnsi="Arial"/>
          <w:sz w:val="18"/>
          <w:szCs w:val="18"/>
          <w:color w:val="auto"/>
        </w:rPr>
        <w:t>As required pursuant to Section 14A of the Exchange Act, stockholders are being asked to</w:t>
      </w:r>
      <w:r>
        <w:rPr>
          <w:rFonts w:ascii="Arial" w:cs="Arial" w:eastAsia="Arial" w:hAnsi="Arial"/>
          <w:sz w:val="18"/>
          <w:szCs w:val="18"/>
          <w:b w:val="1"/>
          <w:bCs w:val="1"/>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on an advisory basis, the compensation of our named executive officers as described in the Compensation Discussion and Analysis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-473075</wp:posOffset>
            </wp:positionV>
            <wp:extent cx="5837555" cy="15944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37555" cy="1594485"/>
                    </a:xfrm>
                    <a:prstGeom prst="rect">
                      <a:avLst/>
                    </a:prstGeom>
                    <a:noFill/>
                  </pic:spPr>
                </pic:pic>
              </a:graphicData>
            </a:graphic>
          </wp:anchor>
        </w:drawing>
      </w:r>
    </w:p>
    <w:p>
      <w:pPr>
        <w:ind w:left="820" w:right="20" w:hanging="40"/>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w:t>
      </w:r>
      <w:r>
        <w:rPr>
          <w:sz w:val="20"/>
          <w:szCs w:val="20"/>
          <w:color w:val="auto"/>
        </w:rPr>
        <w:t xml:space="preserve"> </w:t>
      </w:r>
      <w:r>
        <w:rPr>
          <w:rFonts w:ascii="Arial" w:cs="Arial" w:eastAsia="Arial" w:hAnsi="Arial"/>
          <w:sz w:val="18"/>
          <w:szCs w:val="18"/>
          <w:color w:val="auto"/>
        </w:rPr>
        <w:t>Our Board of Directors recommends stockholders vote FOR the non-binding advisory ​ vote to approve our named executive officer compensation.</w:t>
      </w:r>
    </w:p>
    <w:p>
      <w:pPr>
        <w:spacing w:after="0" w:line="1" w:lineRule="exact"/>
        <w:rPr>
          <w:sz w:val="20"/>
          <w:szCs w:val="20"/>
          <w:color w:val="auto"/>
        </w:rPr>
      </w:pPr>
    </w:p>
    <w:p>
      <w:pPr>
        <w:ind w:left="820" w:right="20" w:hanging="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w:t>
      </w:r>
      <w:r>
        <w:rPr>
          <w:rFonts w:ascii="Arial" w:cs="Arial" w:eastAsia="Arial" w:hAnsi="Arial"/>
          <w:sz w:val="18"/>
          <w:szCs w:val="18"/>
          <w:color w:val="auto"/>
        </w:rPr>
        <w:t xml:space="preserve"> The proposal must be approved by a majority of the voting power of the shares of stock present in​ person or represented by proxy and entitled to vote at the Annual Meeting. Although this vote is advisory in nature, the compensation committee takes very seriously its role in the governance of the Company’s compensation programs and values thoughtful input from stockholders. The compensation committee will take into account the outcome of the advisory vote when considering future executive compensation decisions.</w:t>
      </w:r>
    </w:p>
    <w:p>
      <w:pPr>
        <w:spacing w:after="0" w:line="249"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Our stockholders are being asked to approve, in a non-binding advisory vote, the compensation of our named executive officers as disclosed pursuant to Item 402 of Regulation S-K, including the Compensation Discussion and Analysis, compensation tables and narrative discussion. While the results of the vote are non-binding and advisory in nature, the Board intends to carefully consider the results of this vote.</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text of the resolution in respect of Proposal No. 2 is as follows:</w:t>
      </w:r>
    </w:p>
    <w:p>
      <w:pPr>
        <w:spacing w:after="0" w:line="117"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in this proxy statement pursuant to the rules of the SEC, including the Compensation Discussion and Analysis, compensation tables and any related narrative discussion is hereby APPROVED.”</w:t>
      </w:r>
    </w:p>
    <w:p>
      <w:pPr>
        <w:spacing w:after="0" w:line="63"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 xml:space="preserve">In considering their vote, stockholders may wish to review the information on our compensation policies and decisions regarding the named executive officers presented in Compensation Discussion and Analysis on pages </w:t>
      </w:r>
      <w:r>
        <w:rPr>
          <w:rFonts w:ascii="Arial" w:cs="Arial" w:eastAsia="Arial" w:hAnsi="Arial"/>
          <w:sz w:val="18"/>
          <w:szCs w:val="18"/>
          <w:u w:val="single" w:color="auto"/>
          <w:color w:val="0000EE"/>
        </w:rPr>
        <w:t>28</w:t>
      </w:r>
      <w:r>
        <w:rPr>
          <w:rFonts w:ascii="Arial" w:cs="Arial" w:eastAsia="Arial" w:hAnsi="Arial"/>
          <w:sz w:val="18"/>
          <w:szCs w:val="18"/>
          <w:color w:val="auto"/>
        </w:rPr>
        <w:t>-</w:t>
      </w:r>
      <w:r>
        <w:rPr>
          <w:rFonts w:ascii="Arial" w:cs="Arial" w:eastAsia="Arial" w:hAnsi="Arial"/>
          <w:sz w:val="18"/>
          <w:szCs w:val="18"/>
          <w:u w:val="single" w:color="auto"/>
          <w:color w:val="0000EE"/>
        </w:rPr>
        <w:t>37</w:t>
      </w:r>
      <w:r>
        <w:rPr>
          <w:rFonts w:ascii="Arial" w:cs="Arial" w:eastAsia="Arial" w:hAnsi="Arial"/>
          <w:sz w:val="18"/>
          <w:szCs w:val="18"/>
          <w:color w:val="000000"/>
        </w:rPr>
        <w:t>, the compensation tables and narrative discussion on pages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39-46</w:t>
      </w:r>
      <w:r>
        <w:rPr>
          <w:rFonts w:ascii="Arial" w:cs="Arial" w:eastAsia="Arial" w:hAnsi="Arial"/>
          <w:sz w:val="18"/>
          <w:szCs w:val="18"/>
          <w:color w:val="000000"/>
        </w:rPr>
        <w:t>, and the discussion regarding the</w:t>
      </w:r>
      <w:r>
        <w:rPr>
          <w:rFonts w:ascii="Arial" w:cs="Arial" w:eastAsia="Arial" w:hAnsi="Arial"/>
          <w:sz w:val="18"/>
          <w:szCs w:val="18"/>
          <w:color w:val="0000EE"/>
        </w:rPr>
        <w:t xml:space="preserve"> </w:t>
      </w:r>
      <w:r>
        <w:rPr>
          <w:rFonts w:ascii="Arial" w:cs="Arial" w:eastAsia="Arial" w:hAnsi="Arial"/>
          <w:sz w:val="18"/>
          <w:szCs w:val="18"/>
          <w:color w:val="000000"/>
        </w:rPr>
        <w:t xml:space="preserve">compensation committee on page </w:t>
      </w:r>
      <w:r>
        <w:rPr>
          <w:rFonts w:ascii="Arial" w:cs="Arial" w:eastAsia="Arial" w:hAnsi="Arial"/>
          <w:sz w:val="18"/>
          <w:szCs w:val="18"/>
          <w:u w:val="single" w:color="auto"/>
          <w:color w:val="0000EE"/>
        </w:rPr>
        <w:t>39</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EXECUTIVE COMPENSATION</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We design our compensation programs to attract and retain a talented and experienced executive team with the skills and qualifications to manage and lead the Company effectively. We strive to create an executive compensation program that strikes the right balance of paying for performance, motivating our leaders to contribute to the achievement of our financial goals and focusing on long-term value creation for our stockholders, all without taking undue risk.</w:t>
      </w:r>
    </w:p>
    <w:p>
      <w:pPr>
        <w:spacing w:after="0" w:line="71"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This Compensation Discussion and Analysis contains a discussion of the material elements of compensation awarded to, earned by or paid to our named executive officers (“NEOs”), which include our Chief Executive Officer, Chief Financial Officer and our three other most highly compensated executive officers during fiscal 2021, which ended January 1, 2022. Our NEOs for fiscal 2021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81280</wp:posOffset>
            </wp:positionV>
            <wp:extent cx="3429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179705"/>
                    </a:xfrm>
                    <a:prstGeom prst="rect">
                      <a:avLst/>
                    </a:prstGeom>
                    <a:noFill/>
                  </pic:spPr>
                </pic:pic>
              </a:graphicData>
            </a:graphic>
          </wp:anchor>
        </w:drawing>
      </w:r>
    </w:p>
    <w:p>
      <w:pPr>
        <w:spacing w:after="0" w:line="88" w:lineRule="exact"/>
        <w:rPr>
          <w:sz w:val="20"/>
          <w:szCs w:val="20"/>
          <w:color w:val="auto"/>
        </w:rPr>
      </w:pPr>
    </w:p>
    <w:tbl>
      <w:tblPr>
        <w:tblLayout w:type="fixed"/>
        <w:tblInd w:w="760" w:type="dxa"/>
        <w:tblCellMar>
          <w:top w:w="0" w:type="dxa"/>
          <w:left w:w="0" w:type="dxa"/>
          <w:bottom w:w="0" w:type="dxa"/>
          <w:right w:w="0" w:type="dxa"/>
        </w:tblCellMar>
      </w:tblPr>
      <w:tr>
        <w:trPr>
          <w:trHeight w:val="283"/>
        </w:trPr>
        <w:tc>
          <w:tcPr>
            <w:tcW w:w="20" w:type="dxa"/>
            <w:vAlign w:val="bottom"/>
            <w:tcBorders>
              <w:top w:val="single" w:sz="8" w:color="3C5896"/>
            </w:tcBorders>
          </w:tcPr>
          <w:p>
            <w:pPr>
              <w:spacing w:after="0"/>
              <w:rPr>
                <w:sz w:val="24"/>
                <w:szCs w:val="24"/>
                <w:color w:val="auto"/>
              </w:rPr>
            </w:pPr>
          </w:p>
        </w:tc>
        <w:tc>
          <w:tcPr>
            <w:tcW w:w="1440" w:type="dxa"/>
            <w:vAlign w:val="bottom"/>
            <w:tcBorders>
              <w:top w:val="single" w:sz="8" w:color="3C5896"/>
            </w:tcBorders>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1320" w:type="dxa"/>
            <w:vAlign w:val="bottom"/>
            <w:tcBorders>
              <w:top w:val="single" w:sz="8" w:color="3C5896"/>
            </w:tcBorders>
            <w:shd w:val="clear" w:color="auto" w:fill="3C5896"/>
          </w:tcPr>
          <w:p>
            <w:pPr>
              <w:ind w:left="80"/>
              <w:spacing w:after="0"/>
              <w:rPr>
                <w:sz w:val="20"/>
                <w:szCs w:val="20"/>
                <w:color w:val="auto"/>
              </w:rPr>
            </w:pPr>
            <w:r>
              <w:rPr>
                <w:rFonts w:ascii="Arial" w:cs="Arial" w:eastAsia="Arial" w:hAnsi="Arial"/>
                <w:sz w:val="18"/>
                <w:szCs w:val="18"/>
                <w:b w:val="1"/>
                <w:bCs w:val="1"/>
                <w:color w:val="FFFFFF"/>
              </w:rPr>
              <w:t>Name</w:t>
            </w:r>
          </w:p>
        </w:tc>
        <w:tc>
          <w:tcPr>
            <w:tcW w:w="860" w:type="dxa"/>
            <w:vAlign w:val="bottom"/>
            <w:tcBorders>
              <w:top w:val="single" w:sz="8" w:color="3C5896"/>
              <w:right w:val="single" w:sz="8" w:color="9EACCA"/>
            </w:tcBorders>
            <w:shd w:val="clear" w:color="auto" w:fill="3C5896"/>
          </w:tcPr>
          <w:p>
            <w:pPr>
              <w:ind w:left="800"/>
              <w:spacing w:after="0"/>
              <w:rPr>
                <w:sz w:val="20"/>
                <w:szCs w:val="20"/>
                <w:color w:val="auto"/>
              </w:rPr>
            </w:pPr>
            <w:r>
              <w:rPr>
                <w:rFonts w:ascii="Arial" w:cs="Arial" w:eastAsia="Arial" w:hAnsi="Arial"/>
                <w:sz w:val="18"/>
                <w:szCs w:val="18"/>
                <w:b w:val="1"/>
                <w:bCs w:val="1"/>
                <w:color w:val="FFFFFF"/>
              </w:rPr>
              <w:t>​</w:t>
            </w:r>
          </w:p>
        </w:tc>
        <w:tc>
          <w:tcPr>
            <w:tcW w:w="1260" w:type="dxa"/>
            <w:vAlign w:val="bottom"/>
            <w:tcBorders>
              <w:top w:val="single" w:sz="8" w:color="3C5896"/>
            </w:tcBorders>
            <w:shd w:val="clear" w:color="auto" w:fill="3C5896"/>
          </w:tcPr>
          <w:p>
            <w:pPr>
              <w:ind w:left="40"/>
              <w:spacing w:after="0"/>
              <w:rPr>
                <w:sz w:val="20"/>
                <w:szCs w:val="20"/>
                <w:color w:val="auto"/>
              </w:rPr>
            </w:pPr>
            <w:r>
              <w:rPr>
                <w:rFonts w:ascii="Arial" w:cs="Arial" w:eastAsia="Arial" w:hAnsi="Arial"/>
                <w:sz w:val="18"/>
                <w:szCs w:val="18"/>
                <w:b w:val="1"/>
                <w:bCs w:val="1"/>
                <w:color w:val="FFFFFF"/>
              </w:rPr>
              <w:t>​</w:t>
            </w:r>
          </w:p>
        </w:tc>
        <w:tc>
          <w:tcPr>
            <w:tcW w:w="3700" w:type="dxa"/>
            <w:vAlign w:val="bottom"/>
            <w:tcBorders>
              <w:top w:val="single" w:sz="8" w:color="3C5896"/>
            </w:tcBorders>
            <w:shd w:val="clear" w:color="auto" w:fill="3C5896"/>
          </w:tcPr>
          <w:p>
            <w:pPr>
              <w:ind w:left="1180"/>
              <w:spacing w:after="0"/>
              <w:rPr>
                <w:sz w:val="20"/>
                <w:szCs w:val="20"/>
                <w:color w:val="auto"/>
              </w:rPr>
            </w:pPr>
            <w:r>
              <w:rPr>
                <w:rFonts w:ascii="Arial" w:cs="Arial" w:eastAsia="Arial" w:hAnsi="Arial"/>
                <w:sz w:val="18"/>
                <w:szCs w:val="18"/>
                <w:b w:val="1"/>
                <w:bCs w:val="1"/>
                <w:color w:val="FFFFFF"/>
              </w:rPr>
              <w:t>Position</w:t>
            </w:r>
          </w:p>
        </w:tc>
        <w:tc>
          <w:tcPr>
            <w:tcW w:w="600" w:type="dxa"/>
            <w:vAlign w:val="bottom"/>
            <w:tcBorders>
              <w:top w:val="single" w:sz="8" w:color="3C5896"/>
              <w:right w:val="single" w:sz="8" w:color="3C5896"/>
            </w:tcBorders>
            <w:shd w:val="clear" w:color="auto" w:fill="3C5896"/>
          </w:tcPr>
          <w:p>
            <w:pPr>
              <w:jc w:val="right"/>
              <w:spacing w:after="0"/>
              <w:rPr>
                <w:sz w:val="20"/>
                <w:szCs w:val="20"/>
                <w:color w:val="auto"/>
              </w:rPr>
            </w:pPr>
            <w:r>
              <w:rPr>
                <w:rFonts w:ascii="Arial" w:cs="Arial" w:eastAsia="Arial" w:hAnsi="Arial"/>
                <w:sz w:val="18"/>
                <w:szCs w:val="18"/>
                <w:b w:val="1"/>
                <w:bCs w:val="1"/>
                <w:color w:val="FFFFFF"/>
              </w:rPr>
              <w:t>​</w:t>
            </w:r>
          </w:p>
        </w:tc>
      </w:tr>
      <w:tr>
        <w:trPr>
          <w:trHeight w:val="257"/>
        </w:trPr>
        <w:tc>
          <w:tcPr>
            <w:tcW w:w="20" w:type="dxa"/>
            <w:vAlign w:val="bottom"/>
            <w:shd w:val="clear" w:color="auto" w:fill="3C5896"/>
          </w:tcPr>
          <w:p>
            <w:pPr>
              <w:spacing w:after="0"/>
              <w:rPr>
                <w:sz w:val="22"/>
                <w:szCs w:val="22"/>
                <w:color w:val="auto"/>
              </w:rPr>
            </w:pPr>
          </w:p>
        </w:tc>
        <w:tc>
          <w:tcPr>
            <w:tcW w:w="1440" w:type="dxa"/>
            <w:vAlign w:val="bottom"/>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L. Reade Fahs</w:t>
            </w:r>
          </w:p>
        </w:tc>
        <w:tc>
          <w:tcPr>
            <w:tcW w:w="1320" w:type="dxa"/>
            <w:vAlign w:val="bottom"/>
          </w:tcPr>
          <w:p>
            <w:pPr>
              <w:spacing w:after="0"/>
              <w:rPr>
                <w:sz w:val="22"/>
                <w:szCs w:val="22"/>
                <w:color w:val="auto"/>
              </w:rPr>
            </w:pPr>
          </w:p>
        </w:tc>
        <w:tc>
          <w:tcPr>
            <w:tcW w:w="860" w:type="dxa"/>
            <w:vAlign w:val="bottom"/>
            <w:tcBorders>
              <w:right w:val="single" w:sz="8" w:color="9EACCA"/>
            </w:tcBorders>
          </w:tcPr>
          <w:p>
            <w:pPr>
              <w:ind w:left="740"/>
              <w:spacing w:after="0"/>
              <w:rPr>
                <w:sz w:val="20"/>
                <w:szCs w:val="20"/>
                <w:color w:val="auto"/>
              </w:rPr>
            </w:pPr>
            <w:r>
              <w:rPr>
                <w:rFonts w:ascii="Arial" w:cs="Arial" w:eastAsia="Arial" w:hAnsi="Arial"/>
                <w:sz w:val="18"/>
                <w:szCs w:val="18"/>
                <w:color w:val="auto"/>
              </w:rPr>
              <w:t>​</w:t>
            </w:r>
          </w:p>
        </w:tc>
        <w:tc>
          <w:tcPr>
            <w:tcW w:w="496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Chief Executive Officer and Director</w:t>
            </w:r>
          </w:p>
        </w:tc>
        <w:tc>
          <w:tcPr>
            <w:tcW w:w="60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shd w:val="clear" w:color="auto" w:fill="3C5896"/>
          </w:tcPr>
          <w:p>
            <w:pPr>
              <w:spacing w:after="0"/>
              <w:rPr>
                <w:sz w:val="22"/>
                <w:szCs w:val="22"/>
                <w:color w:val="auto"/>
              </w:rPr>
            </w:pPr>
          </w:p>
        </w:tc>
        <w:tc>
          <w:tcPr>
            <w:tcW w:w="1440" w:type="dxa"/>
            <w:vAlign w:val="bottom"/>
            <w:shd w:val="clear" w:color="auto" w:fill="CCCCCC"/>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Patrick R. Moore</w:t>
            </w:r>
          </w:p>
        </w:tc>
        <w:tc>
          <w:tcPr>
            <w:tcW w:w="1320" w:type="dxa"/>
            <w:vAlign w:val="bottom"/>
            <w:shd w:val="clear" w:color="auto" w:fill="CCCCCC"/>
          </w:tcPr>
          <w:p>
            <w:pPr>
              <w:spacing w:after="0"/>
              <w:rPr>
                <w:sz w:val="22"/>
                <w:szCs w:val="22"/>
                <w:color w:val="auto"/>
              </w:rPr>
            </w:pPr>
          </w:p>
        </w:tc>
        <w:tc>
          <w:tcPr>
            <w:tcW w:w="860" w:type="dxa"/>
            <w:vAlign w:val="bottom"/>
            <w:tcBorders>
              <w:right w:val="single" w:sz="8" w:color="9EACCA"/>
            </w:tcBorders>
            <w:shd w:val="clear" w:color="auto" w:fill="CCCCCC"/>
          </w:tcPr>
          <w:p>
            <w:pPr>
              <w:ind w:left="740"/>
              <w:spacing w:after="0"/>
              <w:rPr>
                <w:sz w:val="20"/>
                <w:szCs w:val="20"/>
                <w:color w:val="auto"/>
              </w:rPr>
            </w:pPr>
            <w:r>
              <w:rPr>
                <w:rFonts w:ascii="Arial" w:cs="Arial" w:eastAsia="Arial" w:hAnsi="Arial"/>
                <w:sz w:val="18"/>
                <w:szCs w:val="18"/>
                <w:color w:val="auto"/>
              </w:rPr>
              <w:t>​</w:t>
            </w:r>
          </w:p>
        </w:tc>
        <w:tc>
          <w:tcPr>
            <w:tcW w:w="4960" w:type="dxa"/>
            <w:vAlign w:val="bottom"/>
            <w:gridSpan w:val="2"/>
            <w:shd w:val="clear" w:color="auto" w:fill="CCCCCC"/>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Senior Vice President, Chief Financial Officer</w:t>
            </w:r>
          </w:p>
        </w:tc>
        <w:tc>
          <w:tcPr>
            <w:tcW w:w="6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shd w:val="clear" w:color="auto" w:fill="3C5896"/>
          </w:tcPr>
          <w:p>
            <w:pPr>
              <w:spacing w:after="0"/>
              <w:rPr>
                <w:sz w:val="22"/>
                <w:szCs w:val="22"/>
                <w:color w:val="auto"/>
              </w:rPr>
            </w:pPr>
          </w:p>
        </w:tc>
        <w:tc>
          <w:tcPr>
            <w:tcW w:w="1440" w:type="dxa"/>
            <w:vAlign w:val="bottom"/>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Roger Francis</w:t>
            </w:r>
          </w:p>
        </w:tc>
        <w:tc>
          <w:tcPr>
            <w:tcW w:w="1320" w:type="dxa"/>
            <w:vAlign w:val="bottom"/>
          </w:tcPr>
          <w:p>
            <w:pPr>
              <w:spacing w:after="0"/>
              <w:rPr>
                <w:sz w:val="22"/>
                <w:szCs w:val="22"/>
                <w:color w:val="auto"/>
              </w:rPr>
            </w:pPr>
          </w:p>
        </w:tc>
        <w:tc>
          <w:tcPr>
            <w:tcW w:w="860" w:type="dxa"/>
            <w:vAlign w:val="bottom"/>
            <w:tcBorders>
              <w:right w:val="single" w:sz="8" w:color="9EACCA"/>
            </w:tcBorders>
          </w:tcPr>
          <w:p>
            <w:pPr>
              <w:ind w:left="740"/>
              <w:spacing w:after="0"/>
              <w:rPr>
                <w:sz w:val="20"/>
                <w:szCs w:val="20"/>
                <w:color w:val="auto"/>
              </w:rPr>
            </w:pPr>
            <w:r>
              <w:rPr>
                <w:rFonts w:ascii="Arial" w:cs="Arial" w:eastAsia="Arial" w:hAnsi="Arial"/>
                <w:sz w:val="18"/>
                <w:szCs w:val="18"/>
                <w:color w:val="auto"/>
              </w:rPr>
              <w:t>​</w:t>
            </w:r>
          </w:p>
        </w:tc>
        <w:tc>
          <w:tcPr>
            <w:tcW w:w="496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Senior Vice President, Chief Stores Officer</w:t>
            </w:r>
          </w:p>
        </w:tc>
        <w:tc>
          <w:tcPr>
            <w:tcW w:w="600" w:type="dxa"/>
            <w:vAlign w:val="bottom"/>
            <w:tcBorders>
              <w:right w:val="single" w:sz="8" w:color="3C5896"/>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shd w:val="clear" w:color="auto" w:fill="3C5896"/>
          </w:tcPr>
          <w:p>
            <w:pPr>
              <w:spacing w:after="0"/>
              <w:rPr>
                <w:sz w:val="22"/>
                <w:szCs w:val="22"/>
                <w:color w:val="auto"/>
              </w:rPr>
            </w:pPr>
          </w:p>
        </w:tc>
        <w:tc>
          <w:tcPr>
            <w:tcW w:w="1440" w:type="dxa"/>
            <w:vAlign w:val="bottom"/>
            <w:shd w:val="clear" w:color="auto" w:fill="CCCCCC"/>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Jared Brandman</w:t>
            </w:r>
          </w:p>
        </w:tc>
        <w:tc>
          <w:tcPr>
            <w:tcW w:w="1320" w:type="dxa"/>
            <w:vAlign w:val="bottom"/>
            <w:shd w:val="clear" w:color="auto" w:fill="CCCCCC"/>
          </w:tcPr>
          <w:p>
            <w:pPr>
              <w:spacing w:after="0"/>
              <w:rPr>
                <w:sz w:val="22"/>
                <w:szCs w:val="22"/>
                <w:color w:val="auto"/>
              </w:rPr>
            </w:pPr>
          </w:p>
        </w:tc>
        <w:tc>
          <w:tcPr>
            <w:tcW w:w="860" w:type="dxa"/>
            <w:vAlign w:val="bottom"/>
            <w:tcBorders>
              <w:right w:val="single" w:sz="8" w:color="9EACCA"/>
            </w:tcBorders>
            <w:shd w:val="clear" w:color="auto" w:fill="CCCCCC"/>
          </w:tcPr>
          <w:p>
            <w:pPr>
              <w:ind w:left="740"/>
              <w:spacing w:after="0"/>
              <w:rPr>
                <w:sz w:val="20"/>
                <w:szCs w:val="20"/>
                <w:color w:val="auto"/>
              </w:rPr>
            </w:pPr>
            <w:r>
              <w:rPr>
                <w:rFonts w:ascii="Arial" w:cs="Arial" w:eastAsia="Arial" w:hAnsi="Arial"/>
                <w:sz w:val="18"/>
                <w:szCs w:val="18"/>
                <w:color w:val="auto"/>
              </w:rPr>
              <w:t>​</w:t>
            </w:r>
          </w:p>
        </w:tc>
        <w:tc>
          <w:tcPr>
            <w:tcW w:w="4960" w:type="dxa"/>
            <w:vAlign w:val="bottom"/>
            <w:gridSpan w:val="2"/>
            <w:shd w:val="clear" w:color="auto" w:fill="CCCCCC"/>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Senior Vice President, General Counsel and Secretary</w:t>
            </w:r>
          </w:p>
        </w:tc>
        <w:tc>
          <w:tcPr>
            <w:tcW w:w="600" w:type="dxa"/>
            <w:vAlign w:val="bottom"/>
            <w:tcBorders>
              <w:right w:val="single" w:sz="8" w:color="3C5896"/>
            </w:tcBorders>
            <w:shd w:val="clear" w:color="auto" w:fill="CCCCC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Borders>
              <w:bottom w:val="single" w:sz="8" w:color="3C5896"/>
            </w:tcBorders>
            <w:shd w:val="clear" w:color="auto" w:fill="3C5896"/>
          </w:tcPr>
          <w:p>
            <w:pPr>
              <w:spacing w:after="0"/>
              <w:rPr>
                <w:sz w:val="21"/>
                <w:szCs w:val="21"/>
                <w:color w:val="auto"/>
              </w:rPr>
            </w:pPr>
          </w:p>
        </w:tc>
        <w:tc>
          <w:tcPr>
            <w:tcW w:w="1440" w:type="dxa"/>
            <w:vAlign w:val="bottom"/>
            <w:tcBorders>
              <w:bottom w:val="single" w:sz="8" w:color="3C5896"/>
            </w:tcBorders>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Bill Clark</w:t>
            </w:r>
          </w:p>
        </w:tc>
        <w:tc>
          <w:tcPr>
            <w:tcW w:w="1320" w:type="dxa"/>
            <w:vAlign w:val="bottom"/>
            <w:tcBorders>
              <w:bottom w:val="single" w:sz="8" w:color="3C5896"/>
            </w:tcBorders>
          </w:tcPr>
          <w:p>
            <w:pPr>
              <w:spacing w:after="0"/>
              <w:rPr>
                <w:sz w:val="21"/>
                <w:szCs w:val="21"/>
                <w:color w:val="auto"/>
              </w:rPr>
            </w:pPr>
          </w:p>
        </w:tc>
        <w:tc>
          <w:tcPr>
            <w:tcW w:w="860" w:type="dxa"/>
            <w:vAlign w:val="bottom"/>
            <w:tcBorders>
              <w:bottom w:val="single" w:sz="8" w:color="3C5896"/>
              <w:right w:val="single" w:sz="8" w:color="9EACCA"/>
            </w:tcBorders>
          </w:tcPr>
          <w:p>
            <w:pPr>
              <w:ind w:left="740"/>
              <w:spacing w:after="0"/>
              <w:rPr>
                <w:sz w:val="20"/>
                <w:szCs w:val="20"/>
                <w:color w:val="auto"/>
              </w:rPr>
            </w:pPr>
            <w:r>
              <w:rPr>
                <w:rFonts w:ascii="Arial" w:cs="Arial" w:eastAsia="Arial" w:hAnsi="Arial"/>
                <w:sz w:val="18"/>
                <w:szCs w:val="18"/>
                <w:color w:val="auto"/>
              </w:rPr>
              <w:t>​</w:t>
            </w:r>
          </w:p>
        </w:tc>
        <w:tc>
          <w:tcPr>
            <w:tcW w:w="4960" w:type="dxa"/>
            <w:vAlign w:val="bottom"/>
            <w:tcBorders>
              <w:bottom w:val="single" w:sz="8" w:color="3C5896"/>
            </w:tcBorders>
            <w:gridSpan w:val="2"/>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Senior Vice President, Chief People Officer</w:t>
            </w:r>
          </w:p>
        </w:tc>
        <w:tc>
          <w:tcPr>
            <w:tcW w:w="600" w:type="dxa"/>
            <w:vAlign w:val="bottom"/>
            <w:tcBorders>
              <w:bottom w:val="single" w:sz="8" w:color="3C5896"/>
              <w:right w:val="single" w:sz="8" w:color="3C5896"/>
            </w:tcBorders>
          </w:tcPr>
          <w:p>
            <w:pPr>
              <w:jc w:val="right"/>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Mr. Francis joined the Company in 2021 as our Chief Stores Officer and is responsible for overseeing operations for more than 1,200 stores across all National Vision brands.</w:t>
      </w:r>
    </w:p>
    <w:p>
      <w:pPr>
        <w:spacing w:after="0" w:line="45"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The following information summarizes the Company’s key executive compensation actions and decisions for fiscal 2021. Additional information about our compensation programs and the Company’s 2021 performance can be found in the Company’s 2021 Form 10-K and this proxy statement.</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2021 Business Highlights</w:t>
      </w:r>
    </w:p>
    <w:p>
      <w:pPr>
        <w:spacing w:after="0" w:line="11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2021 was another challenging year with the continuation of the COVID-19 pandemic and the resulting impact on economic activity and businesses. Even with these challenges, the Company had a great year in 2021, delivering record annual sales and profitability, and continues to navigate through the pandemic with a safety-first approach in mind while continuing to deliver low cost eye care and eyewear, a medical necessity, to the communities we serve.</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Fiscal 2021 financial and operational highlights include:</w:t>
      </w:r>
    </w:p>
    <w:p>
      <w:pPr>
        <w:spacing w:after="0" w:line="131" w:lineRule="exact"/>
        <w:rPr>
          <w:sz w:val="20"/>
          <w:szCs w:val="20"/>
          <w:color w:val="auto"/>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Overall store count grew 6.1% to 1,278 stores</w:t>
      </w:r>
    </w:p>
    <w:p>
      <w:pPr>
        <w:spacing w:after="0" w:line="96" w:lineRule="exact"/>
        <w:rPr>
          <w:rFonts w:ascii="Arial" w:cs="Arial" w:eastAsia="Arial" w:hAnsi="Arial"/>
          <w:sz w:val="18"/>
          <w:szCs w:val="18"/>
          <w:color w:val="3C5896"/>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Comparable store sales growth was 22.4%, and Adjusted Comparable Store Sales Growth</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was 23.0%</w:t>
      </w:r>
    </w:p>
    <w:p>
      <w:pPr>
        <w:spacing w:after="0" w:line="86" w:lineRule="exact"/>
        <w:rPr>
          <w:rFonts w:ascii="Arial" w:cs="Arial" w:eastAsia="Arial" w:hAnsi="Arial"/>
          <w:sz w:val="18"/>
          <w:szCs w:val="18"/>
          <w:color w:val="3C5896"/>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Net revenue increased 21.5% to $2.08 billion</w:t>
      </w:r>
    </w:p>
    <w:p>
      <w:pPr>
        <w:spacing w:after="0" w:line="117" w:lineRule="exact"/>
        <w:rPr>
          <w:rFonts w:ascii="Arial" w:cs="Arial" w:eastAsia="Arial" w:hAnsi="Arial"/>
          <w:sz w:val="18"/>
          <w:szCs w:val="18"/>
          <w:color w:val="3C5896"/>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Net income increased 254% to $128.2 million</w:t>
      </w:r>
    </w:p>
    <w:p>
      <w:pPr>
        <w:spacing w:after="0" w:line="96" w:lineRule="exact"/>
        <w:rPr>
          <w:rFonts w:ascii="Arial" w:cs="Arial" w:eastAsia="Arial" w:hAnsi="Arial"/>
          <w:sz w:val="18"/>
          <w:szCs w:val="18"/>
          <w:color w:val="3C5896"/>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34.8% to $294.4 million</w:t>
      </w:r>
    </w:p>
    <w:p>
      <w:pPr>
        <w:spacing w:after="0" w:line="60" w:lineRule="exact"/>
        <w:rPr>
          <w:rFonts w:ascii="Arial" w:cs="Arial" w:eastAsia="Arial" w:hAnsi="Arial"/>
          <w:sz w:val="18"/>
          <w:szCs w:val="18"/>
          <w:color w:val="3C5896"/>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Adjusted Operating Income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52.6% to $204.7 million</w:t>
      </w:r>
    </w:p>
    <w:p>
      <w:pPr>
        <w:spacing w:after="0" w:line="52" w:lineRule="exact"/>
        <w:rPr>
          <w:rFonts w:ascii="Arial" w:cs="Arial" w:eastAsia="Arial" w:hAnsi="Arial"/>
          <w:sz w:val="18"/>
          <w:szCs w:val="18"/>
          <w:color w:val="3C5896"/>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Diluted EPS increased 227% to $1.43; Adjusted Diluted EPS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increased 62.6% to $1.48</w:t>
      </w:r>
    </w:p>
    <w:p>
      <w:pPr>
        <w:spacing w:after="0" w:line="64" w:lineRule="exact"/>
        <w:rPr>
          <w:rFonts w:ascii="Arial" w:cs="Arial" w:eastAsia="Arial" w:hAnsi="Arial"/>
          <w:sz w:val="18"/>
          <w:szCs w:val="18"/>
          <w:color w:val="3C5896"/>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Operating cash flows increased from $235.0 million in 2020 to $258.9 million in 2021</w:t>
      </w:r>
    </w:p>
    <w:p>
      <w:pPr>
        <w:spacing w:after="0" w:line="130" w:lineRule="exact"/>
        <w:rPr>
          <w:rFonts w:ascii="Arial" w:cs="Arial" w:eastAsia="Arial" w:hAnsi="Arial"/>
          <w:sz w:val="18"/>
          <w:szCs w:val="18"/>
          <w:color w:val="3C5896"/>
        </w:rPr>
      </w:pPr>
    </w:p>
    <w:p>
      <w:pPr>
        <w:ind w:left="1340" w:hanging="218"/>
        <w:spacing w:after="0" w:line="287" w:lineRule="auto"/>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We paid down $167.4 million of our term loan and returned $69.9 million to stockholders through share repurchases</w:t>
      </w:r>
    </w:p>
    <w:p>
      <w:pPr>
        <w:spacing w:after="0" w:line="44" w:lineRule="exact"/>
        <w:rPr>
          <w:rFonts w:ascii="Arial" w:cs="Arial" w:eastAsia="Arial" w:hAnsi="Arial"/>
          <w:sz w:val="18"/>
          <w:szCs w:val="18"/>
          <w:color w:val="3C5896"/>
        </w:rPr>
      </w:pPr>
    </w:p>
    <w:p>
      <w:pPr>
        <w:ind w:left="1340" w:hanging="218"/>
        <w:spacing w:after="0"/>
        <w:tabs>
          <w:tab w:leader="none" w:pos="1340" w:val="left"/>
        </w:tabs>
        <w:numPr>
          <w:ilvl w:val="0"/>
          <w:numId w:val="21"/>
        </w:numPr>
        <w:rPr>
          <w:rFonts w:ascii="Arial" w:cs="Arial" w:eastAsia="Arial" w:hAnsi="Arial"/>
          <w:sz w:val="18"/>
          <w:szCs w:val="18"/>
          <w:color w:val="3C5896"/>
        </w:rPr>
      </w:pPr>
      <w:r>
        <w:rPr>
          <w:rFonts w:ascii="Arial" w:cs="Arial" w:eastAsia="Arial" w:hAnsi="Arial"/>
          <w:sz w:val="18"/>
          <w:szCs w:val="18"/>
          <w:color w:val="auto"/>
        </w:rPr>
        <w:t>Our cash balance was $305.8 million as of January 1, 2022</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28  </w:t>
      </w:r>
      <w:r>
        <w:rPr>
          <w:sz w:val="1"/>
          <w:szCs w:val="1"/>
          <w:color w:val="auto"/>
        </w:rPr>
        <w:drawing>
          <wp:inline distT="0" distB="0" distL="0" distR="0">
            <wp:extent cx="300355"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006340" cy="25888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0634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120" w:hanging="358"/>
        <w:spacing w:after="0" w:line="273" w:lineRule="auto"/>
        <w:tabs>
          <w:tab w:leader="none" w:pos="11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For an explanation of our non-GAAP financial measures and a reconciliation of Adjusted Comparable Store Sales Growth, Adjusted EBITDA, Adjusted Operating Income and Adjusted Diluted EPS to the most directly comparable GAAP measures, see Appendix A to this proxy statement.</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2021 Compensation Highlights</w:t>
      </w:r>
    </w:p>
    <w:p>
      <w:pPr>
        <w:spacing w:after="0" w:line="115"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As noted above, we are committed to aligning executive compensation to the Company’s performance. As illustrated in the charts below, the majority of our NEOs’ 2021 compensation was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66040</wp:posOffset>
            </wp:positionV>
            <wp:extent cx="5220335" cy="1945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2033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Our 2021 compensation programs were aligned with the competitive market to continue attracting and retaining high-quality executives capable of executing the Company’s strategy and delivering value for stockholders. Key actions taken by the compensation committee include the following:</w:t>
      </w:r>
    </w:p>
    <w:p>
      <w:pPr>
        <w:spacing w:after="0" w:line="76" w:lineRule="exact"/>
        <w:rPr>
          <w:sz w:val="20"/>
          <w:szCs w:val="20"/>
          <w:color w:val="auto"/>
        </w:rPr>
      </w:pPr>
    </w:p>
    <w:p>
      <w:pPr>
        <w:ind w:left="1340" w:hanging="218"/>
        <w:spacing w:after="0"/>
        <w:tabs>
          <w:tab w:leader="none" w:pos="1340" w:val="left"/>
        </w:tabs>
        <w:numPr>
          <w:ilvl w:val="0"/>
          <w:numId w:val="23"/>
        </w:numPr>
        <w:rPr>
          <w:rFonts w:ascii="Arial" w:cs="Arial" w:eastAsia="Arial" w:hAnsi="Arial"/>
          <w:sz w:val="18"/>
          <w:szCs w:val="18"/>
          <w:color w:val="3C5896"/>
        </w:rPr>
      </w:pPr>
      <w:r>
        <w:rPr>
          <w:rFonts w:ascii="Arial" w:cs="Arial" w:eastAsia="Arial" w:hAnsi="Arial"/>
          <w:sz w:val="18"/>
          <w:szCs w:val="18"/>
          <w:b w:val="1"/>
          <w:bCs w:val="1"/>
          <w:color w:val="auto"/>
        </w:rPr>
        <w:t>Base Salary</w:t>
      </w:r>
    </w:p>
    <w:p>
      <w:pPr>
        <w:spacing w:after="0" w:line="103" w:lineRule="exact"/>
        <w:rPr>
          <w:rFonts w:ascii="Arial" w:cs="Arial" w:eastAsia="Arial" w:hAnsi="Arial"/>
          <w:sz w:val="18"/>
          <w:szCs w:val="18"/>
          <w:color w:val="3C5896"/>
        </w:rPr>
      </w:pPr>
    </w:p>
    <w:p>
      <w:pPr>
        <w:jc w:val="both"/>
        <w:ind w:left="1700" w:hanging="218"/>
        <w:spacing w:after="0" w:line="261" w:lineRule="auto"/>
        <w:tabs>
          <w:tab w:leader="none" w:pos="1700" w:val="left"/>
        </w:tabs>
        <w:numPr>
          <w:ilvl w:val="1"/>
          <w:numId w:val="23"/>
        </w:numPr>
        <w:rPr>
          <w:rFonts w:ascii="MS PGothic" w:cs="MS PGothic" w:eastAsia="MS PGothic" w:hAnsi="MS PGothic"/>
          <w:sz w:val="18"/>
          <w:szCs w:val="18"/>
          <w:color w:val="3C5896"/>
        </w:rPr>
      </w:pPr>
      <w:r>
        <w:rPr>
          <w:rFonts w:ascii="Arial" w:cs="Arial" w:eastAsia="Arial" w:hAnsi="Arial"/>
          <w:sz w:val="18"/>
          <w:szCs w:val="18"/>
          <w:color w:val="auto"/>
        </w:rPr>
        <w:t>In February 2021, the compensation committee approved executive officer salary increases ranging from 3% to 10%, to more closely align compensation opportunities with the competitive market. These increases took effect in April 2021.</w:t>
      </w:r>
    </w:p>
    <w:p>
      <w:pPr>
        <w:spacing w:after="0" w:line="67" w:lineRule="exact"/>
        <w:rPr>
          <w:rFonts w:ascii="MS PGothic" w:cs="MS PGothic" w:eastAsia="MS PGothic" w:hAnsi="MS PGothic"/>
          <w:sz w:val="18"/>
          <w:szCs w:val="18"/>
          <w:color w:val="3C5896"/>
        </w:rPr>
      </w:pPr>
    </w:p>
    <w:p>
      <w:pPr>
        <w:ind w:left="1340" w:hanging="218"/>
        <w:spacing w:after="0"/>
        <w:tabs>
          <w:tab w:leader="none" w:pos="1340" w:val="left"/>
        </w:tabs>
        <w:numPr>
          <w:ilvl w:val="0"/>
          <w:numId w:val="23"/>
        </w:numPr>
        <w:rPr>
          <w:rFonts w:ascii="Arial" w:cs="Arial" w:eastAsia="Arial" w:hAnsi="Arial"/>
          <w:sz w:val="18"/>
          <w:szCs w:val="18"/>
          <w:color w:val="3C5896"/>
        </w:rPr>
      </w:pPr>
      <w:r>
        <w:rPr>
          <w:rFonts w:ascii="Arial" w:cs="Arial" w:eastAsia="Arial" w:hAnsi="Arial"/>
          <w:sz w:val="18"/>
          <w:szCs w:val="18"/>
          <w:b w:val="1"/>
          <w:bCs w:val="1"/>
          <w:color w:val="auto"/>
        </w:rPr>
        <w:t>Annual Cash Incentive Program (“STIP”)</w:t>
      </w:r>
    </w:p>
    <w:p>
      <w:pPr>
        <w:spacing w:after="0" w:line="117" w:lineRule="exact"/>
        <w:rPr>
          <w:rFonts w:ascii="Arial" w:cs="Arial" w:eastAsia="Arial" w:hAnsi="Arial"/>
          <w:sz w:val="18"/>
          <w:szCs w:val="18"/>
          <w:color w:val="3C5896"/>
        </w:rPr>
      </w:pPr>
    </w:p>
    <w:p>
      <w:pPr>
        <w:jc w:val="both"/>
        <w:ind w:left="1700" w:hanging="218"/>
        <w:spacing w:after="0" w:line="261" w:lineRule="auto"/>
        <w:tabs>
          <w:tab w:leader="none" w:pos="1700" w:val="left"/>
        </w:tabs>
        <w:numPr>
          <w:ilvl w:val="1"/>
          <w:numId w:val="23"/>
        </w:numPr>
        <w:rPr>
          <w:rFonts w:ascii="MS PGothic" w:cs="MS PGothic" w:eastAsia="MS PGothic" w:hAnsi="MS PGothic"/>
          <w:sz w:val="18"/>
          <w:szCs w:val="18"/>
          <w:color w:val="3C5896"/>
        </w:rPr>
      </w:pPr>
      <w:r>
        <w:rPr>
          <w:rFonts w:ascii="Arial" w:cs="Arial" w:eastAsia="Arial" w:hAnsi="Arial"/>
          <w:sz w:val="18"/>
          <w:szCs w:val="18"/>
          <w:color w:val="auto"/>
        </w:rPr>
        <w:t>In February 2021, the compensation committee approved a change in the performance measure under our annual cash incentive program to Adjusted Operating Income from Adjusted EBITDA. Annual cash incentive awards pay out between 0% and 200% of target, based on performance against our Adjusted</w:t>
      </w:r>
    </w:p>
    <w:p>
      <w:pPr>
        <w:spacing w:after="0" w:line="5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jc w:val="both"/>
        <w:ind w:left="1700"/>
        <w:spacing w:after="0" w:line="268" w:lineRule="auto"/>
        <w:rPr>
          <w:sz w:val="20"/>
          <w:szCs w:val="20"/>
          <w:color w:val="auto"/>
        </w:rPr>
      </w:pPr>
      <w:r>
        <w:rPr>
          <w:rFonts w:ascii="Arial" w:cs="Arial" w:eastAsia="Arial" w:hAnsi="Arial"/>
          <w:sz w:val="18"/>
          <w:szCs w:val="18"/>
          <w:color w:val="auto"/>
        </w:rPr>
        <w:t>Operating Income target. Based on Adjusted Operating Income performance of $223 million (as defined under the fiscal 2021 Short-Term Incentive Plan (“STIP”)), the fiscal 2021 STIP funded at 200% of target.</w:t>
      </w:r>
    </w:p>
    <w:p>
      <w:pPr>
        <w:spacing w:after="0" w:line="90" w:lineRule="exact"/>
        <w:rPr>
          <w:sz w:val="20"/>
          <w:szCs w:val="20"/>
          <w:color w:val="auto"/>
        </w:rPr>
      </w:pPr>
    </w:p>
    <w:p>
      <w:pPr>
        <w:ind w:left="1340" w:hanging="218"/>
        <w:spacing w:after="0"/>
        <w:tabs>
          <w:tab w:leader="none" w:pos="1340" w:val="left"/>
        </w:tabs>
        <w:numPr>
          <w:ilvl w:val="0"/>
          <w:numId w:val="24"/>
        </w:numPr>
        <w:rPr>
          <w:rFonts w:ascii="Arial" w:cs="Arial" w:eastAsia="Arial" w:hAnsi="Arial"/>
          <w:sz w:val="18"/>
          <w:szCs w:val="18"/>
          <w:color w:val="3C5896"/>
        </w:rPr>
      </w:pPr>
      <w:r>
        <w:rPr>
          <w:rFonts w:ascii="Arial" w:cs="Arial" w:eastAsia="Arial" w:hAnsi="Arial"/>
          <w:sz w:val="18"/>
          <w:szCs w:val="18"/>
          <w:b w:val="1"/>
          <w:bCs w:val="1"/>
          <w:color w:val="auto"/>
        </w:rPr>
        <w:t>Long-Term Incentive Program (“LTIP”)</w:t>
      </w:r>
    </w:p>
    <w:p>
      <w:pPr>
        <w:spacing w:after="0" w:line="130" w:lineRule="exact"/>
        <w:rPr>
          <w:rFonts w:ascii="Arial" w:cs="Arial" w:eastAsia="Arial" w:hAnsi="Arial"/>
          <w:sz w:val="18"/>
          <w:szCs w:val="18"/>
          <w:color w:val="3C5896"/>
        </w:rPr>
      </w:pPr>
    </w:p>
    <w:p>
      <w:pPr>
        <w:jc w:val="both"/>
        <w:ind w:left="1700" w:hanging="218"/>
        <w:spacing w:after="0" w:line="248" w:lineRule="auto"/>
        <w:tabs>
          <w:tab w:leader="none" w:pos="1700" w:val="left"/>
        </w:tabs>
        <w:numPr>
          <w:ilvl w:val="1"/>
          <w:numId w:val="24"/>
        </w:numPr>
        <w:rPr>
          <w:rFonts w:ascii="MS PGothic" w:cs="MS PGothic" w:eastAsia="MS PGothic" w:hAnsi="MS PGothic"/>
          <w:sz w:val="18"/>
          <w:szCs w:val="18"/>
          <w:color w:val="3C5896"/>
        </w:rPr>
      </w:pPr>
      <w:r>
        <w:rPr>
          <w:rFonts w:ascii="Arial" w:cs="Arial" w:eastAsia="Arial" w:hAnsi="Arial"/>
          <w:sz w:val="18"/>
          <w:szCs w:val="18"/>
          <w:color w:val="auto"/>
        </w:rPr>
        <w:t>In February 2021, the compensation committee approved a grant to each of our NEOs of time-vesting stock options, time-vesting restricted stock units (“RSUs”), and performance-based restricted stock units (“PSUs”). The compensation committee approved new performance metrics for the PSUs, which vest between 0% and 200% based on performance against three-year growth targets. The PSUs are based off two performance growth measures, Adjusted Operating Income and return on invested capital (“ROIC”), which are weighted, 75% and 25%, respectively.</w:t>
      </w:r>
    </w:p>
    <w:p>
      <w:pPr>
        <w:spacing w:after="0" w:line="93" w:lineRule="exact"/>
        <w:rPr>
          <w:rFonts w:ascii="MS PGothic" w:cs="MS PGothic" w:eastAsia="MS PGothic" w:hAnsi="MS PGothic"/>
          <w:sz w:val="18"/>
          <w:szCs w:val="18"/>
          <w:color w:val="3C5896"/>
        </w:rPr>
      </w:pPr>
    </w:p>
    <w:p>
      <w:pPr>
        <w:jc w:val="both"/>
        <w:ind w:left="1700" w:hanging="218"/>
        <w:spacing w:after="0" w:line="261" w:lineRule="auto"/>
        <w:tabs>
          <w:tab w:leader="none" w:pos="1700" w:val="left"/>
        </w:tabs>
        <w:numPr>
          <w:ilvl w:val="1"/>
          <w:numId w:val="24"/>
        </w:numPr>
        <w:rPr>
          <w:rFonts w:ascii="MS PGothic" w:cs="MS PGothic" w:eastAsia="MS PGothic" w:hAnsi="MS PGothic"/>
          <w:sz w:val="18"/>
          <w:szCs w:val="18"/>
          <w:color w:val="3C5896"/>
        </w:rPr>
      </w:pPr>
      <w:r>
        <w:rPr>
          <w:rFonts w:ascii="Arial" w:cs="Arial" w:eastAsia="Arial" w:hAnsi="Arial"/>
          <w:sz w:val="18"/>
          <w:szCs w:val="18"/>
          <w:color w:val="auto"/>
        </w:rPr>
        <w:t>In February 2022, the compensation committee certified the level of achievement of the performance criteria of the 2019 PSU awards, which paid out at 155% of the target based on three year Adjusted EBITDA performance.</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Philosophy and Approach</w:t>
      </w:r>
    </w:p>
    <w:p>
      <w:pPr>
        <w:spacing w:after="0" w:line="115" w:lineRule="exact"/>
        <w:rPr>
          <w:sz w:val="20"/>
          <w:szCs w:val="20"/>
          <w:color w:val="auto"/>
        </w:rPr>
      </w:pPr>
    </w:p>
    <w:p>
      <w:pPr>
        <w:jc w:val="both"/>
        <w:ind w:left="760"/>
        <w:spacing w:after="0" w:line="267" w:lineRule="auto"/>
        <w:rPr>
          <w:sz w:val="20"/>
          <w:szCs w:val="20"/>
          <w:color w:val="auto"/>
        </w:rPr>
      </w:pPr>
      <w:r>
        <w:rPr>
          <w:rFonts w:ascii="Arial" w:cs="Arial" w:eastAsia="Arial" w:hAnsi="Arial"/>
          <w:sz w:val="18"/>
          <w:szCs w:val="18"/>
          <w:color w:val="auto"/>
        </w:rPr>
        <w:t>Our mission is making quality eye care and eyewear more accessible and affordable. In order to do this, we must attract, engage and retain highly talented individuals who are committed to our core values of doing what is right, creating happiness every day and being energized to serve. Our compensation programs are designed to help us achieve these goals. We expect our executive team to possess and demonstrate strong leadership and management capabilities and continue to execute against our strategic growth initiative. To reward and retain our leaders, including our NEOs, we have designed a total compensation approach that rewards both short-term and long-term success.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compensation program for executives is currently designed to support the following objectives:</w:t>
      </w:r>
    </w:p>
    <w:p>
      <w:pPr>
        <w:spacing w:after="0" w:line="144" w:lineRule="exact"/>
        <w:rPr>
          <w:sz w:val="20"/>
          <w:szCs w:val="20"/>
          <w:color w:val="auto"/>
        </w:rPr>
      </w:pPr>
    </w:p>
    <w:p>
      <w:pPr>
        <w:jc w:val="both"/>
        <w:ind w:left="1340" w:hanging="218"/>
        <w:spacing w:after="0" w:line="261" w:lineRule="auto"/>
        <w:tabs>
          <w:tab w:leader="none" w:pos="1340" w:val="left"/>
        </w:tabs>
        <w:numPr>
          <w:ilvl w:val="0"/>
          <w:numId w:val="25"/>
        </w:numPr>
        <w:rPr>
          <w:rFonts w:ascii="Arial" w:cs="Arial" w:eastAsia="Arial" w:hAnsi="Arial"/>
          <w:sz w:val="18"/>
          <w:szCs w:val="18"/>
          <w:color w:val="3C5896"/>
        </w:rPr>
      </w:pPr>
      <w:r>
        <w:rPr>
          <w:rFonts w:ascii="Arial" w:cs="Arial" w:eastAsia="Arial" w:hAnsi="Arial"/>
          <w:sz w:val="18"/>
          <w:szCs w:val="18"/>
          <w:b w:val="1"/>
          <w:bCs w:val="1"/>
          <w:i w:val="1"/>
          <w:iCs w:val="1"/>
          <w:color w:val="auto"/>
        </w:rPr>
        <w:t>Motivate executives to meet or exceed Company performance goals</w:t>
      </w:r>
      <w:r>
        <w:rPr>
          <w:rFonts w:ascii="Arial" w:cs="Arial" w:eastAsia="Arial" w:hAnsi="Arial"/>
          <w:sz w:val="18"/>
          <w:szCs w:val="18"/>
          <w:color w:val="auto"/>
        </w:rPr>
        <w:t>. A significant portion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total compensation is directly tied to the achievement of the Company’s overall financial and strategic goals.</w:t>
      </w:r>
    </w:p>
    <w:p>
      <w:pPr>
        <w:spacing w:after="0" w:line="80" w:lineRule="exact"/>
        <w:rPr>
          <w:rFonts w:ascii="Arial" w:cs="Arial" w:eastAsia="Arial" w:hAnsi="Arial"/>
          <w:sz w:val="18"/>
          <w:szCs w:val="18"/>
          <w:color w:val="3C5896"/>
        </w:rPr>
      </w:pPr>
    </w:p>
    <w:p>
      <w:pPr>
        <w:jc w:val="both"/>
        <w:ind w:left="1340" w:hanging="218"/>
        <w:spacing w:after="0" w:line="261" w:lineRule="auto"/>
        <w:tabs>
          <w:tab w:leader="none" w:pos="1340" w:val="left"/>
        </w:tabs>
        <w:numPr>
          <w:ilvl w:val="0"/>
          <w:numId w:val="25"/>
        </w:numPr>
        <w:rPr>
          <w:rFonts w:ascii="Arial" w:cs="Arial" w:eastAsia="Arial" w:hAnsi="Arial"/>
          <w:sz w:val="18"/>
          <w:szCs w:val="18"/>
          <w:color w:val="3C5896"/>
        </w:rPr>
      </w:pPr>
      <w:r>
        <w:rPr>
          <w:rFonts w:ascii="Arial" w:cs="Arial" w:eastAsia="Arial" w:hAnsi="Arial"/>
          <w:sz w:val="18"/>
          <w:szCs w:val="18"/>
          <w:b w:val="1"/>
          <w:bCs w:val="1"/>
          <w:i w:val="1"/>
          <w:iCs w:val="1"/>
          <w:color w:val="auto"/>
        </w:rPr>
        <w:t>Attract and retain talented executives</w:t>
      </w:r>
      <w:r>
        <w:rPr>
          <w:rFonts w:ascii="Arial" w:cs="Arial" w:eastAsia="Arial" w:hAnsi="Arial"/>
          <w:sz w:val="18"/>
          <w:szCs w:val="18"/>
          <w:color w:val="auto"/>
        </w:rPr>
        <w:t>. The Company seeks to provide overall levels of compensation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market competitive to attract, retain and motivate highly qualified executives to continue to enhance long-term equity value.</w:t>
      </w:r>
    </w:p>
    <w:p>
      <w:pPr>
        <w:spacing w:after="0" w:line="80" w:lineRule="exact"/>
        <w:rPr>
          <w:rFonts w:ascii="Arial" w:cs="Arial" w:eastAsia="Arial" w:hAnsi="Arial"/>
          <w:sz w:val="18"/>
          <w:szCs w:val="18"/>
          <w:color w:val="3C5896"/>
        </w:rPr>
      </w:pPr>
    </w:p>
    <w:p>
      <w:pPr>
        <w:jc w:val="both"/>
        <w:ind w:left="1340" w:hanging="218"/>
        <w:spacing w:after="0" w:line="251" w:lineRule="auto"/>
        <w:tabs>
          <w:tab w:leader="none" w:pos="1340" w:val="left"/>
        </w:tabs>
        <w:numPr>
          <w:ilvl w:val="0"/>
          <w:numId w:val="25"/>
        </w:numPr>
        <w:rPr>
          <w:rFonts w:ascii="Arial" w:cs="Arial" w:eastAsia="Arial" w:hAnsi="Arial"/>
          <w:sz w:val="18"/>
          <w:szCs w:val="18"/>
          <w:color w:val="3C5896"/>
        </w:rPr>
      </w:pPr>
      <w:r>
        <w:rPr>
          <w:rFonts w:ascii="Arial" w:cs="Arial" w:eastAsia="Arial" w:hAnsi="Arial"/>
          <w:sz w:val="18"/>
          <w:szCs w:val="18"/>
          <w:b w:val="1"/>
          <w:bCs w:val="1"/>
          <w:i w:val="1"/>
          <w:iCs w:val="1"/>
          <w:color w:val="auto"/>
        </w:rPr>
        <w:t>Link the financial interests of executives and stockholders</w:t>
      </w:r>
      <w:r>
        <w:rPr>
          <w:rFonts w:ascii="Arial" w:cs="Arial" w:eastAsia="Arial" w:hAnsi="Arial"/>
          <w:sz w:val="18"/>
          <w:szCs w:val="18"/>
          <w:color w:val="auto"/>
        </w:rPr>
        <w:t>. In order to foster a strong relationship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stockholder value and executive compensation, a significant portion of compensation is composed of equity-based incentive awards. Additionally, 50% of NEOs long-term incentives are granted in the form of PSUs which are directly tied to the Company’s financial performance. NEOs are subject to stock ownership guidelines that ensure they retain a significant portion of their vested equity awards.</w:t>
      </w:r>
    </w:p>
    <w:p>
      <w:pPr>
        <w:spacing w:after="0" w:line="65" w:lineRule="exact"/>
        <w:rPr>
          <w:sz w:val="20"/>
          <w:szCs w:val="20"/>
          <w:color w:val="auto"/>
        </w:rPr>
      </w:pPr>
    </w:p>
    <w:p>
      <w:pPr>
        <w:jc w:val="both"/>
        <w:ind w:left="760"/>
        <w:spacing w:after="0" w:line="266" w:lineRule="auto"/>
        <w:rPr>
          <w:sz w:val="20"/>
          <w:szCs w:val="20"/>
          <w:color w:val="auto"/>
        </w:rPr>
      </w:pPr>
      <w:r>
        <w:rPr>
          <w:rFonts w:ascii="Arial" w:cs="Arial" w:eastAsia="Arial" w:hAnsi="Arial"/>
          <w:sz w:val="18"/>
          <w:szCs w:val="18"/>
          <w:color w:val="auto"/>
        </w:rPr>
        <w:t>Our compensation packages are designed to promote integrity, leadership, teamwork, ownership and initiative by our employees whose performance and responsibilities directly affect our results. We strive to create competitive compensation packages for all employees that encourage them to achieve our long-term business goals without taking unnecessary risks. We believe that, to attract and retain talented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30  </w:t>
      </w:r>
      <w:r>
        <w:rPr>
          <w:sz w:val="1"/>
          <w:szCs w:val="1"/>
          <w:color w:val="auto"/>
        </w:rPr>
        <w:drawing>
          <wp:inline distT="0" distB="0" distL="0" distR="0">
            <wp:extent cx="300355" cy="24003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4" w:lineRule="exact"/>
        <w:rPr>
          <w:sz w:val="20"/>
          <w:szCs w:val="20"/>
          <w:color w:val="auto"/>
        </w:rPr>
      </w:pPr>
    </w:p>
    <w:tbl>
      <w:tblPr>
        <w:tblLayout w:type="fixed"/>
        <w:tblInd w:w="770" w:type="dxa"/>
        <w:tblCellMar>
          <w:top w:w="0" w:type="dxa"/>
          <w:left w:w="0" w:type="dxa"/>
          <w:bottom w:w="0" w:type="dxa"/>
          <w:right w:w="0" w:type="dxa"/>
        </w:tblCellMar>
      </w:tblPr>
      <w:tr>
        <w:trPr>
          <w:trHeight w:val="283"/>
        </w:trPr>
        <w:tc>
          <w:tcPr>
            <w:tcW w:w="60" w:type="dxa"/>
            <w:vAlign w:val="bottom"/>
            <w:tcBorders>
              <w:top w:val="single" w:sz="8" w:color="3C5896"/>
              <w:left w:val="single" w:sz="8" w:color="3C5896"/>
            </w:tcBorders>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5580" w:type="dxa"/>
            <w:vAlign w:val="bottom"/>
            <w:tcBorders>
              <w:top w:val="single" w:sz="8" w:color="3C5896"/>
            </w:tcBorders>
            <w:shd w:val="clear" w:color="auto" w:fill="3C5896"/>
          </w:tcPr>
          <w:p>
            <w:pPr>
              <w:spacing w:after="0"/>
              <w:rPr>
                <w:sz w:val="20"/>
                <w:szCs w:val="20"/>
                <w:color w:val="auto"/>
              </w:rPr>
            </w:pPr>
            <w:r>
              <w:rPr>
                <w:rFonts w:ascii="Arial" w:cs="Arial" w:eastAsia="Arial" w:hAnsi="Arial"/>
                <w:sz w:val="18"/>
                <w:szCs w:val="18"/>
                <w:b w:val="1"/>
                <w:bCs w:val="1"/>
                <w:color w:val="FFFFFF"/>
              </w:rPr>
              <w:t>What We Do:</w:t>
            </w:r>
          </w:p>
        </w:tc>
        <w:tc>
          <w:tcPr>
            <w:tcW w:w="140" w:type="dxa"/>
            <w:vAlign w:val="bottom"/>
            <w:tcBorders>
              <w:top w:val="single" w:sz="8" w:color="3C5896"/>
              <w:right w:val="single" w:sz="8" w:color="9EACCA"/>
            </w:tcBorders>
            <w:shd w:val="clear" w:color="auto" w:fill="3C5896"/>
          </w:tcPr>
          <w:p>
            <w:pPr>
              <w:ind w:left="40"/>
              <w:spacing w:after="0"/>
              <w:rPr>
                <w:sz w:val="20"/>
                <w:szCs w:val="20"/>
                <w:color w:val="auto"/>
              </w:rPr>
            </w:pPr>
            <w:r>
              <w:rPr>
                <w:rFonts w:ascii="Arial" w:cs="Arial" w:eastAsia="Arial" w:hAnsi="Arial"/>
                <w:sz w:val="18"/>
                <w:szCs w:val="18"/>
                <w:b w:val="1"/>
                <w:bCs w:val="1"/>
                <w:color w:val="FFFFFF"/>
              </w:rPr>
              <w:t>​</w:t>
            </w:r>
          </w:p>
        </w:tc>
        <w:tc>
          <w:tcPr>
            <w:tcW w:w="3320" w:type="dxa"/>
            <w:vAlign w:val="bottom"/>
            <w:tcBorders>
              <w:top w:val="single" w:sz="8" w:color="3C5896"/>
            </w:tcBorders>
            <w:shd w:val="clear" w:color="auto" w:fill="3C5896"/>
          </w:tcPr>
          <w:p>
            <w:pPr>
              <w:spacing w:after="0" w:line="283"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7"/>
                <w:szCs w:val="17"/>
                <w:b w:val="1"/>
                <w:bCs w:val="1"/>
                <w:color w:val="FFFFFF"/>
              </w:rPr>
              <w:t xml:space="preserve"> What We Don’t Do:</w:t>
            </w:r>
          </w:p>
        </w:tc>
        <w:tc>
          <w:tcPr>
            <w:tcW w:w="100" w:type="dxa"/>
            <w:vAlign w:val="bottom"/>
            <w:tcBorders>
              <w:top w:val="single" w:sz="8" w:color="3C5896"/>
              <w:right w:val="single" w:sz="8" w:color="3C5896"/>
            </w:tcBorders>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r>
      <w:tr>
        <w:trPr>
          <w:trHeight w:val="251"/>
        </w:trPr>
        <w:tc>
          <w:tcPr>
            <w:tcW w:w="5640" w:type="dxa"/>
            <w:vAlign w:val="bottom"/>
            <w:tcBorders>
              <w:left w:val="single" w:sz="8" w:color="3C5896"/>
            </w:tcBorders>
            <w:gridSpan w:val="2"/>
          </w:tcPr>
          <w:p>
            <w:pPr>
              <w:ind w:left="20"/>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r>
              <w:rPr>
                <w:rFonts w:ascii="MS PGothic" w:cs="MS PGothic" w:eastAsia="MS PGothic" w:hAnsi="MS PGothic"/>
                <w:sz w:val="16"/>
                <w:szCs w:val="16"/>
                <w:color w:val="3C5896"/>
              </w:rPr>
              <w:t>✓</w:t>
            </w:r>
            <w:r>
              <w:rPr>
                <w:rFonts w:ascii="Arial" w:cs="Arial" w:eastAsia="Arial" w:hAnsi="Arial"/>
                <w:sz w:val="16"/>
                <w:szCs w:val="16"/>
                <w:color w:val="auto"/>
              </w:rPr>
              <w:t>Pay for performance</w:t>
            </w:r>
          </w:p>
        </w:tc>
        <w:tc>
          <w:tcPr>
            <w:tcW w:w="140" w:type="dxa"/>
            <w:vAlign w:val="bottom"/>
            <w:tcBorders>
              <w:right w:val="single" w:sz="8" w:color="9EACCA"/>
            </w:tcBorders>
          </w:tcPr>
          <w:p>
            <w:pPr>
              <w:ind w:left="40"/>
              <w:spacing w:after="0"/>
              <w:rPr>
                <w:sz w:val="20"/>
                <w:szCs w:val="20"/>
                <w:color w:val="auto"/>
              </w:rPr>
            </w:pPr>
            <w:r>
              <w:rPr>
                <w:rFonts w:ascii="Arial" w:cs="Arial" w:eastAsia="Arial" w:hAnsi="Arial"/>
                <w:sz w:val="18"/>
                <w:szCs w:val="18"/>
                <w:color w:val="auto"/>
              </w:rPr>
              <w:t>​</w:t>
            </w:r>
          </w:p>
        </w:tc>
        <w:tc>
          <w:tcPr>
            <w:tcW w:w="3320" w:type="dxa"/>
            <w:vAlign w:val="bottom"/>
          </w:tcPr>
          <w:p>
            <w:pPr>
              <w:spacing w:after="0" w:line="251"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No excise tax gross-ups upon a</w:t>
            </w:r>
          </w:p>
        </w:tc>
        <w:tc>
          <w:tcPr>
            <w:tcW w:w="100" w:type="dxa"/>
            <w:vAlign w:val="bottom"/>
            <w:tcBorders>
              <w:right w:val="single" w:sz="8" w:color="3C5896"/>
            </w:tcBorders>
          </w:tcPr>
          <w:p>
            <w:pPr>
              <w:ind w:left="20"/>
              <w:spacing w:after="0"/>
              <w:rPr>
                <w:sz w:val="20"/>
                <w:szCs w:val="20"/>
                <w:color w:val="auto"/>
              </w:rPr>
            </w:pPr>
            <w:r>
              <w:rPr>
                <w:rFonts w:ascii="Arial" w:cs="Arial" w:eastAsia="Arial" w:hAnsi="Arial"/>
                <w:sz w:val="18"/>
                <w:szCs w:val="18"/>
                <w:color w:val="auto"/>
              </w:rPr>
              <w:t>​</w:t>
            </w:r>
          </w:p>
        </w:tc>
      </w:tr>
      <w:tr>
        <w:trPr>
          <w:trHeight w:val="270"/>
        </w:trPr>
        <w:tc>
          <w:tcPr>
            <w:tcW w:w="60" w:type="dxa"/>
            <w:vAlign w:val="bottom"/>
            <w:tcBorders>
              <w:left w:val="single" w:sz="8" w:color="3C5896"/>
            </w:tcBorders>
          </w:tcPr>
          <w:p>
            <w:pPr>
              <w:spacing w:after="0"/>
              <w:rPr>
                <w:sz w:val="23"/>
                <w:szCs w:val="23"/>
                <w:color w:val="auto"/>
              </w:rPr>
            </w:pPr>
          </w:p>
        </w:tc>
        <w:tc>
          <w:tcPr>
            <w:tcW w:w="5580" w:type="dxa"/>
            <w:vAlign w:val="bottom"/>
          </w:tcPr>
          <w:p>
            <w:pPr>
              <w:ind w:left="180"/>
              <w:spacing w:after="0" w:line="207" w:lineRule="exact"/>
              <w:rPr>
                <w:sz w:val="20"/>
                <w:szCs w:val="20"/>
                <w:color w:val="auto"/>
              </w:rPr>
            </w:pPr>
            <w:r>
              <w:rPr>
                <w:rFonts w:ascii="MS PGothic" w:cs="MS PGothic" w:eastAsia="MS PGothic" w:hAnsi="MS PGothic"/>
                <w:sz w:val="18"/>
                <w:szCs w:val="18"/>
                <w:color w:val="3C5896"/>
              </w:rPr>
              <w:t>✓</w:t>
            </w:r>
            <w:r>
              <w:rPr>
                <w:rFonts w:ascii="Arial" w:cs="Arial" w:eastAsia="Arial" w:hAnsi="Arial"/>
                <w:sz w:val="18"/>
                <w:szCs w:val="18"/>
                <w:color w:val="auto"/>
              </w:rPr>
              <w:t>Maintain robust stock ownership guidelines for our named</w:t>
            </w:r>
          </w:p>
        </w:tc>
        <w:tc>
          <w:tcPr>
            <w:tcW w:w="140" w:type="dxa"/>
            <w:vAlign w:val="bottom"/>
            <w:tcBorders>
              <w:right w:val="single" w:sz="8" w:color="9EACCA"/>
            </w:tcBorders>
          </w:tcPr>
          <w:p>
            <w:pPr>
              <w:spacing w:after="0"/>
              <w:rPr>
                <w:sz w:val="23"/>
                <w:szCs w:val="23"/>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Change in Control</w:t>
            </w:r>
          </w:p>
        </w:tc>
        <w:tc>
          <w:tcPr>
            <w:tcW w:w="100" w:type="dxa"/>
            <w:vAlign w:val="bottom"/>
            <w:tcBorders>
              <w:right w:val="single" w:sz="8" w:color="3C5896"/>
            </w:tcBorders>
          </w:tcPr>
          <w:p>
            <w:pPr>
              <w:spacing w:after="0"/>
              <w:rPr>
                <w:sz w:val="23"/>
                <w:szCs w:val="23"/>
                <w:color w:val="auto"/>
              </w:rPr>
            </w:pPr>
          </w:p>
        </w:tc>
      </w:tr>
      <w:tr>
        <w:trPr>
          <w:trHeight w:val="257"/>
        </w:trPr>
        <w:tc>
          <w:tcPr>
            <w:tcW w:w="60" w:type="dxa"/>
            <w:vAlign w:val="bottom"/>
            <w:tcBorders>
              <w:left w:val="single" w:sz="8" w:color="3C5896"/>
            </w:tcBorders>
          </w:tcPr>
          <w:p>
            <w:pPr>
              <w:spacing w:after="0"/>
              <w:rPr>
                <w:sz w:val="22"/>
                <w:szCs w:val="22"/>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rPr>
              <w:t>executive officers (“NEOs”)</w:t>
            </w:r>
          </w:p>
        </w:tc>
        <w:tc>
          <w:tcPr>
            <w:tcW w:w="140" w:type="dxa"/>
            <w:vAlign w:val="bottom"/>
            <w:tcBorders>
              <w:right w:val="single" w:sz="8" w:color="9EACCA"/>
            </w:tcBorders>
          </w:tcPr>
          <w:p>
            <w:pPr>
              <w:spacing w:after="0"/>
              <w:rPr>
                <w:sz w:val="22"/>
                <w:szCs w:val="22"/>
                <w:color w:val="auto"/>
              </w:rPr>
            </w:pPr>
          </w:p>
        </w:tc>
        <w:tc>
          <w:tcPr>
            <w:tcW w:w="3320" w:type="dxa"/>
            <w:vAlign w:val="bottom"/>
          </w:tcPr>
          <w:p>
            <w:pPr>
              <w:ind w:left="2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No hedging of the Company’s stock</w:t>
            </w:r>
          </w:p>
        </w:tc>
        <w:tc>
          <w:tcPr>
            <w:tcW w:w="100" w:type="dxa"/>
            <w:vAlign w:val="bottom"/>
            <w:tcBorders>
              <w:right w:val="single" w:sz="8" w:color="3C5896"/>
            </w:tcBorders>
          </w:tcPr>
          <w:p>
            <w:pPr>
              <w:spacing w:after="0"/>
              <w:rPr>
                <w:sz w:val="22"/>
                <w:szCs w:val="22"/>
                <w:color w:val="auto"/>
              </w:rPr>
            </w:pPr>
          </w:p>
        </w:tc>
      </w:tr>
      <w:tr>
        <w:trPr>
          <w:trHeight w:val="269"/>
        </w:trPr>
        <w:tc>
          <w:tcPr>
            <w:tcW w:w="60" w:type="dxa"/>
            <w:vAlign w:val="bottom"/>
            <w:tcBorders>
              <w:left w:val="single" w:sz="8" w:color="3C5896"/>
            </w:tcBorders>
          </w:tcPr>
          <w:p>
            <w:pPr>
              <w:spacing w:after="0"/>
              <w:rPr>
                <w:sz w:val="23"/>
                <w:szCs w:val="23"/>
                <w:color w:val="auto"/>
              </w:rPr>
            </w:pPr>
          </w:p>
        </w:tc>
        <w:tc>
          <w:tcPr>
            <w:tcW w:w="5580" w:type="dxa"/>
            <w:vAlign w:val="bottom"/>
          </w:tcPr>
          <w:p>
            <w:pPr>
              <w:ind w:left="180"/>
              <w:spacing w:after="0" w:line="207" w:lineRule="exact"/>
              <w:rPr>
                <w:sz w:val="20"/>
                <w:szCs w:val="20"/>
                <w:color w:val="auto"/>
              </w:rPr>
            </w:pPr>
            <w:r>
              <w:rPr>
                <w:rFonts w:ascii="MS PGothic" w:cs="MS PGothic" w:eastAsia="MS PGothic" w:hAnsi="MS PGothic"/>
                <w:sz w:val="18"/>
                <w:szCs w:val="18"/>
                <w:color w:val="3C5896"/>
              </w:rPr>
              <w:t>✓</w:t>
            </w:r>
            <w:r>
              <w:rPr>
                <w:rFonts w:ascii="Arial" w:cs="Arial" w:eastAsia="Arial" w:hAnsi="Arial"/>
                <w:sz w:val="18"/>
                <w:szCs w:val="18"/>
                <w:color w:val="auto"/>
              </w:rPr>
              <w:t>Require our NEOs to retain 50% of vested awards net of tax</w:t>
            </w:r>
          </w:p>
        </w:tc>
        <w:tc>
          <w:tcPr>
            <w:tcW w:w="140" w:type="dxa"/>
            <w:vAlign w:val="bottom"/>
            <w:tcBorders>
              <w:right w:val="single" w:sz="8" w:color="9EACCA"/>
            </w:tcBorders>
          </w:tcPr>
          <w:p>
            <w:pPr>
              <w:spacing w:after="0"/>
              <w:rPr>
                <w:sz w:val="23"/>
                <w:szCs w:val="23"/>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by NEOs or directors</w:t>
            </w:r>
          </w:p>
        </w:tc>
        <w:tc>
          <w:tcPr>
            <w:tcW w:w="100" w:type="dxa"/>
            <w:vAlign w:val="bottom"/>
            <w:tcBorders>
              <w:right w:val="single" w:sz="8" w:color="3C5896"/>
            </w:tcBorders>
          </w:tcPr>
          <w:p>
            <w:pPr>
              <w:spacing w:after="0"/>
              <w:rPr>
                <w:sz w:val="23"/>
                <w:szCs w:val="23"/>
                <w:color w:val="auto"/>
              </w:rPr>
            </w:pPr>
          </w:p>
        </w:tc>
      </w:tr>
      <w:tr>
        <w:trPr>
          <w:trHeight w:val="244"/>
        </w:trPr>
        <w:tc>
          <w:tcPr>
            <w:tcW w:w="60" w:type="dxa"/>
            <w:vAlign w:val="bottom"/>
            <w:tcBorders>
              <w:left w:val="single" w:sz="8" w:color="3C5896"/>
            </w:tcBorders>
          </w:tcPr>
          <w:p>
            <w:pPr>
              <w:spacing w:after="0"/>
              <w:rPr>
                <w:sz w:val="21"/>
                <w:szCs w:val="21"/>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rPr>
              <w:t>withholdings until they have met our ownership guidelines</w:t>
            </w:r>
          </w:p>
        </w:tc>
        <w:tc>
          <w:tcPr>
            <w:tcW w:w="140" w:type="dxa"/>
            <w:vAlign w:val="bottom"/>
            <w:tcBorders>
              <w:right w:val="single" w:sz="8" w:color="9EACCA"/>
            </w:tcBorders>
          </w:tcPr>
          <w:p>
            <w:pPr>
              <w:spacing w:after="0"/>
              <w:rPr>
                <w:sz w:val="21"/>
                <w:szCs w:val="21"/>
                <w:color w:val="auto"/>
              </w:rPr>
            </w:pPr>
          </w:p>
        </w:tc>
        <w:tc>
          <w:tcPr>
            <w:tcW w:w="332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No supplemental executive</w:t>
            </w:r>
          </w:p>
        </w:tc>
        <w:tc>
          <w:tcPr>
            <w:tcW w:w="100" w:type="dxa"/>
            <w:vAlign w:val="bottom"/>
            <w:tcBorders>
              <w:right w:val="single" w:sz="8" w:color="3C5896"/>
            </w:tcBorders>
          </w:tcPr>
          <w:p>
            <w:pPr>
              <w:spacing w:after="0"/>
              <w:rPr>
                <w:sz w:val="21"/>
                <w:szCs w:val="21"/>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580" w:type="dxa"/>
            <w:vAlign w:val="bottom"/>
          </w:tcPr>
          <w:p>
            <w:pPr>
              <w:ind w:left="180"/>
              <w:spacing w:after="0" w:line="207" w:lineRule="exact"/>
              <w:rPr>
                <w:sz w:val="20"/>
                <w:szCs w:val="20"/>
                <w:color w:val="auto"/>
              </w:rPr>
            </w:pPr>
            <w:r>
              <w:rPr>
                <w:rFonts w:ascii="MS PGothic" w:cs="MS PGothic" w:eastAsia="MS PGothic" w:hAnsi="MS PGothic"/>
                <w:sz w:val="18"/>
                <w:szCs w:val="18"/>
                <w:color w:val="3C5896"/>
                <w:w w:val="99"/>
              </w:rPr>
              <w:t>✓</w:t>
            </w:r>
            <w:r>
              <w:rPr>
                <w:rFonts w:ascii="Arial" w:cs="Arial" w:eastAsia="Arial" w:hAnsi="Arial"/>
                <w:sz w:val="18"/>
                <w:szCs w:val="18"/>
                <w:color w:val="auto"/>
                <w:w w:val="99"/>
              </w:rPr>
              <w:t>Engage an independent compensation consultant to advise us on</w:t>
            </w:r>
          </w:p>
        </w:tc>
        <w:tc>
          <w:tcPr>
            <w:tcW w:w="140" w:type="dxa"/>
            <w:vAlign w:val="bottom"/>
            <w:tcBorders>
              <w:right w:val="single" w:sz="8" w:color="9EACCA"/>
            </w:tcBorders>
          </w:tcPr>
          <w:p>
            <w:pPr>
              <w:spacing w:after="0"/>
              <w:rPr>
                <w:sz w:val="23"/>
                <w:szCs w:val="23"/>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retirement plans</w:t>
            </w:r>
          </w:p>
        </w:tc>
        <w:tc>
          <w:tcPr>
            <w:tcW w:w="100" w:type="dxa"/>
            <w:vAlign w:val="bottom"/>
            <w:tcBorders>
              <w:right w:val="single" w:sz="8" w:color="3C5896"/>
            </w:tcBorders>
          </w:tcPr>
          <w:p>
            <w:pPr>
              <w:spacing w:after="0"/>
              <w:rPr>
                <w:sz w:val="23"/>
                <w:szCs w:val="23"/>
                <w:color w:val="auto"/>
              </w:rPr>
            </w:pPr>
          </w:p>
        </w:tc>
      </w:tr>
      <w:tr>
        <w:trPr>
          <w:trHeight w:val="256"/>
        </w:trPr>
        <w:tc>
          <w:tcPr>
            <w:tcW w:w="60" w:type="dxa"/>
            <w:vAlign w:val="bottom"/>
            <w:tcBorders>
              <w:left w:val="single" w:sz="8" w:color="3C5896"/>
            </w:tcBorders>
          </w:tcPr>
          <w:p>
            <w:pPr>
              <w:spacing w:after="0"/>
              <w:rPr>
                <w:sz w:val="22"/>
                <w:szCs w:val="22"/>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rPr>
              <w:t>matters surrounding our compensation plans</w:t>
            </w:r>
          </w:p>
        </w:tc>
        <w:tc>
          <w:tcPr>
            <w:tcW w:w="140" w:type="dxa"/>
            <w:vAlign w:val="bottom"/>
            <w:tcBorders>
              <w:right w:val="single" w:sz="8" w:color="9EACCA"/>
            </w:tcBorders>
          </w:tcPr>
          <w:p>
            <w:pPr>
              <w:spacing w:after="0"/>
              <w:rPr>
                <w:sz w:val="22"/>
                <w:szCs w:val="22"/>
                <w:color w:val="auto"/>
              </w:rPr>
            </w:pPr>
          </w:p>
        </w:tc>
        <w:tc>
          <w:tcPr>
            <w:tcW w:w="332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No re-pricing of stock options</w:t>
            </w:r>
          </w:p>
        </w:tc>
        <w:tc>
          <w:tcPr>
            <w:tcW w:w="100" w:type="dxa"/>
            <w:vAlign w:val="bottom"/>
            <w:tcBorders>
              <w:right w:val="single" w:sz="8" w:color="3C5896"/>
            </w:tcBorders>
          </w:tcPr>
          <w:p>
            <w:pPr>
              <w:spacing w:after="0"/>
              <w:rPr>
                <w:sz w:val="22"/>
                <w:szCs w:val="22"/>
                <w:color w:val="auto"/>
              </w:rPr>
            </w:pPr>
          </w:p>
        </w:tc>
      </w:tr>
      <w:tr>
        <w:trPr>
          <w:trHeight w:val="270"/>
        </w:trPr>
        <w:tc>
          <w:tcPr>
            <w:tcW w:w="60" w:type="dxa"/>
            <w:vAlign w:val="bottom"/>
            <w:tcBorders>
              <w:left w:val="single" w:sz="8" w:color="3C5896"/>
            </w:tcBorders>
          </w:tcPr>
          <w:p>
            <w:pPr>
              <w:spacing w:after="0"/>
              <w:rPr>
                <w:sz w:val="23"/>
                <w:szCs w:val="23"/>
                <w:color w:val="auto"/>
              </w:rPr>
            </w:pPr>
          </w:p>
        </w:tc>
        <w:tc>
          <w:tcPr>
            <w:tcW w:w="5580" w:type="dxa"/>
            <w:vAlign w:val="bottom"/>
          </w:tcPr>
          <w:p>
            <w:pPr>
              <w:ind w:left="180"/>
              <w:spacing w:after="0" w:line="207" w:lineRule="exact"/>
              <w:rPr>
                <w:sz w:val="20"/>
                <w:szCs w:val="20"/>
                <w:color w:val="auto"/>
              </w:rPr>
            </w:pPr>
            <w:r>
              <w:rPr>
                <w:rFonts w:ascii="MS PGothic" w:cs="MS PGothic" w:eastAsia="MS PGothic" w:hAnsi="MS PGothic"/>
                <w:sz w:val="18"/>
                <w:szCs w:val="18"/>
                <w:color w:val="3C5896"/>
              </w:rPr>
              <w:t>✓</w:t>
            </w:r>
            <w:r>
              <w:rPr>
                <w:rFonts w:ascii="Arial" w:cs="Arial" w:eastAsia="Arial" w:hAnsi="Arial"/>
                <w:sz w:val="18"/>
                <w:szCs w:val="18"/>
                <w:color w:val="auto"/>
              </w:rPr>
              <w:t>Review our compensation programs annually to prevent undue</w:t>
            </w:r>
          </w:p>
        </w:tc>
        <w:tc>
          <w:tcPr>
            <w:tcW w:w="140" w:type="dxa"/>
            <w:vAlign w:val="bottom"/>
            <w:tcBorders>
              <w:right w:val="single" w:sz="8" w:color="9EACCA"/>
            </w:tcBorders>
          </w:tcPr>
          <w:p>
            <w:pPr>
              <w:spacing w:after="0"/>
              <w:rPr>
                <w:sz w:val="23"/>
                <w:szCs w:val="23"/>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without stockholder approval</w:t>
            </w:r>
          </w:p>
        </w:tc>
        <w:tc>
          <w:tcPr>
            <w:tcW w:w="100" w:type="dxa"/>
            <w:vAlign w:val="bottom"/>
            <w:tcBorders>
              <w:right w:val="single" w:sz="8" w:color="3C5896"/>
            </w:tcBorders>
          </w:tcPr>
          <w:p>
            <w:pPr>
              <w:spacing w:after="0"/>
              <w:rPr>
                <w:sz w:val="23"/>
                <w:szCs w:val="23"/>
                <w:color w:val="auto"/>
              </w:rPr>
            </w:pPr>
          </w:p>
        </w:tc>
      </w:tr>
      <w:tr>
        <w:trPr>
          <w:trHeight w:val="257"/>
        </w:trPr>
        <w:tc>
          <w:tcPr>
            <w:tcW w:w="60" w:type="dxa"/>
            <w:vAlign w:val="bottom"/>
            <w:tcBorders>
              <w:left w:val="single" w:sz="8" w:color="3C5896"/>
            </w:tcBorders>
          </w:tcPr>
          <w:p>
            <w:pPr>
              <w:spacing w:after="0"/>
              <w:rPr>
                <w:sz w:val="22"/>
                <w:szCs w:val="22"/>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rPr>
              <w:t>risk taking</w:t>
            </w:r>
          </w:p>
        </w:tc>
        <w:tc>
          <w:tcPr>
            <w:tcW w:w="140" w:type="dxa"/>
            <w:vAlign w:val="bottom"/>
            <w:tcBorders>
              <w:right w:val="single" w:sz="8" w:color="9EACCA"/>
            </w:tcBorders>
          </w:tcPr>
          <w:p>
            <w:pPr>
              <w:spacing w:after="0"/>
              <w:rPr>
                <w:sz w:val="22"/>
                <w:szCs w:val="22"/>
                <w:color w:val="auto"/>
              </w:rPr>
            </w:pPr>
          </w:p>
        </w:tc>
        <w:tc>
          <w:tcPr>
            <w:tcW w:w="332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No significant perquisites for</w:t>
            </w:r>
          </w:p>
        </w:tc>
        <w:tc>
          <w:tcPr>
            <w:tcW w:w="100" w:type="dxa"/>
            <w:vAlign w:val="bottom"/>
            <w:tcBorders>
              <w:right w:val="single" w:sz="8" w:color="3C5896"/>
            </w:tcBorders>
          </w:tcPr>
          <w:p>
            <w:pPr>
              <w:spacing w:after="0"/>
              <w:rPr>
                <w:sz w:val="22"/>
                <w:szCs w:val="22"/>
                <w:color w:val="auto"/>
              </w:rPr>
            </w:pPr>
          </w:p>
        </w:tc>
      </w:tr>
      <w:tr>
        <w:trPr>
          <w:trHeight w:val="295"/>
        </w:trPr>
        <w:tc>
          <w:tcPr>
            <w:tcW w:w="60" w:type="dxa"/>
            <w:vAlign w:val="bottom"/>
            <w:tcBorders>
              <w:left w:val="single" w:sz="8" w:color="3C5896"/>
            </w:tcBorders>
          </w:tcPr>
          <w:p>
            <w:pPr>
              <w:spacing w:after="0"/>
              <w:rPr>
                <w:sz w:val="24"/>
                <w:szCs w:val="24"/>
                <w:color w:val="auto"/>
              </w:rPr>
            </w:pPr>
          </w:p>
        </w:tc>
        <w:tc>
          <w:tcPr>
            <w:tcW w:w="5580" w:type="dxa"/>
            <w:vAlign w:val="bottom"/>
          </w:tcPr>
          <w:p>
            <w:pPr>
              <w:ind w:left="180"/>
              <w:spacing w:after="0" w:line="207" w:lineRule="exact"/>
              <w:rPr>
                <w:sz w:val="20"/>
                <w:szCs w:val="20"/>
                <w:color w:val="auto"/>
              </w:rPr>
            </w:pPr>
            <w:r>
              <w:rPr>
                <w:rFonts w:ascii="MS PGothic" w:cs="MS PGothic" w:eastAsia="MS PGothic" w:hAnsi="MS PGothic"/>
                <w:sz w:val="18"/>
                <w:szCs w:val="18"/>
                <w:color w:val="3C5896"/>
              </w:rPr>
              <w:t>✓</w:t>
            </w:r>
            <w:r>
              <w:rPr>
                <w:rFonts w:ascii="Arial" w:cs="Arial" w:eastAsia="Arial" w:hAnsi="Arial"/>
                <w:sz w:val="18"/>
                <w:szCs w:val="18"/>
                <w:color w:val="auto"/>
              </w:rPr>
              <w:t>Hold an annual say-on-pay vote</w:t>
            </w:r>
          </w:p>
        </w:tc>
        <w:tc>
          <w:tcPr>
            <w:tcW w:w="140" w:type="dxa"/>
            <w:vAlign w:val="bottom"/>
            <w:tcBorders>
              <w:right w:val="single" w:sz="8" w:color="9EACCA"/>
            </w:tcBorders>
          </w:tcPr>
          <w:p>
            <w:pPr>
              <w:spacing w:after="0"/>
              <w:rPr>
                <w:sz w:val="24"/>
                <w:szCs w:val="24"/>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executive officers</w:t>
            </w:r>
          </w:p>
        </w:tc>
        <w:tc>
          <w:tcPr>
            <w:tcW w:w="100" w:type="dxa"/>
            <w:vAlign w:val="bottom"/>
            <w:tcBorders>
              <w:right w:val="single" w:sz="8" w:color="3C5896"/>
            </w:tcBorders>
          </w:tcPr>
          <w:p>
            <w:pPr>
              <w:spacing w:after="0"/>
              <w:rPr>
                <w:sz w:val="24"/>
                <w:szCs w:val="24"/>
                <w:color w:val="auto"/>
              </w:rPr>
            </w:pPr>
          </w:p>
        </w:tc>
      </w:tr>
      <w:tr>
        <w:trPr>
          <w:trHeight w:val="245"/>
        </w:trPr>
        <w:tc>
          <w:tcPr>
            <w:tcW w:w="60" w:type="dxa"/>
            <w:vAlign w:val="bottom"/>
            <w:tcBorders>
              <w:left w:val="single" w:sz="8" w:color="3C5896"/>
            </w:tcBorders>
          </w:tcPr>
          <w:p>
            <w:pPr>
              <w:spacing w:after="0"/>
              <w:rPr>
                <w:sz w:val="21"/>
                <w:szCs w:val="21"/>
                <w:color w:val="auto"/>
              </w:rPr>
            </w:pPr>
          </w:p>
        </w:tc>
        <w:tc>
          <w:tcPr>
            <w:tcW w:w="5580" w:type="dxa"/>
            <w:vAlign w:val="bottom"/>
          </w:tcPr>
          <w:p>
            <w:pPr>
              <w:ind w:left="180"/>
              <w:spacing w:after="0" w:line="207" w:lineRule="exact"/>
              <w:rPr>
                <w:sz w:val="20"/>
                <w:szCs w:val="20"/>
                <w:color w:val="auto"/>
              </w:rPr>
            </w:pPr>
            <w:r>
              <w:rPr>
                <w:rFonts w:ascii="MS PGothic" w:cs="MS PGothic" w:eastAsia="MS PGothic" w:hAnsi="MS PGothic"/>
                <w:sz w:val="18"/>
                <w:szCs w:val="18"/>
                <w:color w:val="3C5896"/>
              </w:rPr>
              <w:t>✓</w:t>
            </w:r>
            <w:r>
              <w:rPr>
                <w:rFonts w:ascii="Arial" w:cs="Arial" w:eastAsia="Arial" w:hAnsi="Arial"/>
                <w:sz w:val="18"/>
                <w:szCs w:val="18"/>
                <w:color w:val="auto"/>
              </w:rPr>
              <w:t>Establish target and maximum awards under our annual cash</w:t>
            </w:r>
          </w:p>
        </w:tc>
        <w:tc>
          <w:tcPr>
            <w:tcW w:w="140" w:type="dxa"/>
            <w:vAlign w:val="bottom"/>
            <w:tcBorders>
              <w:right w:val="single" w:sz="8" w:color="9EACCA"/>
            </w:tcBorders>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Borders>
              <w:right w:val="single" w:sz="8" w:color="3C5896"/>
            </w:tcBorders>
          </w:tcPr>
          <w:p>
            <w:pPr>
              <w:spacing w:after="0"/>
              <w:rPr>
                <w:sz w:val="21"/>
                <w:szCs w:val="21"/>
                <w:color w:val="auto"/>
              </w:rPr>
            </w:pPr>
          </w:p>
        </w:tc>
      </w:tr>
      <w:tr>
        <w:trPr>
          <w:trHeight w:val="239"/>
        </w:trPr>
        <w:tc>
          <w:tcPr>
            <w:tcW w:w="60" w:type="dxa"/>
            <w:vAlign w:val="bottom"/>
            <w:tcBorders>
              <w:left w:val="single" w:sz="8" w:color="3C5896"/>
            </w:tcBorders>
          </w:tcPr>
          <w:p>
            <w:pPr>
              <w:spacing w:after="0"/>
              <w:rPr>
                <w:sz w:val="20"/>
                <w:szCs w:val="20"/>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rPr>
              <w:t>incentive program</w:t>
            </w:r>
          </w:p>
        </w:tc>
        <w:tc>
          <w:tcPr>
            <w:tcW w:w="140" w:type="dxa"/>
            <w:vAlign w:val="bottom"/>
            <w:tcBorders>
              <w:right w:val="single" w:sz="8" w:color="9EACCA"/>
            </w:tcBorders>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right w:val="single" w:sz="8" w:color="3C5896"/>
            </w:tcBorders>
          </w:tcPr>
          <w:p>
            <w:pPr>
              <w:spacing w:after="0"/>
              <w:rPr>
                <w:sz w:val="20"/>
                <w:szCs w:val="20"/>
                <w:color w:val="auto"/>
              </w:rPr>
            </w:pPr>
          </w:p>
        </w:tc>
      </w:tr>
      <w:tr>
        <w:trPr>
          <w:trHeight w:val="300"/>
        </w:trPr>
        <w:tc>
          <w:tcPr>
            <w:tcW w:w="60" w:type="dxa"/>
            <w:vAlign w:val="bottom"/>
            <w:tcBorders>
              <w:left w:val="single" w:sz="8" w:color="3C5896"/>
            </w:tcBorders>
          </w:tcPr>
          <w:p>
            <w:pPr>
              <w:spacing w:after="0"/>
              <w:rPr>
                <w:sz w:val="24"/>
                <w:szCs w:val="24"/>
                <w:color w:val="auto"/>
              </w:rPr>
            </w:pPr>
          </w:p>
        </w:tc>
        <w:tc>
          <w:tcPr>
            <w:tcW w:w="5580" w:type="dxa"/>
            <w:vAlign w:val="bottom"/>
          </w:tcPr>
          <w:p>
            <w:pPr>
              <w:ind w:left="180"/>
              <w:spacing w:after="0" w:line="207" w:lineRule="exact"/>
              <w:rPr>
                <w:sz w:val="20"/>
                <w:szCs w:val="20"/>
                <w:color w:val="auto"/>
              </w:rPr>
            </w:pPr>
            <w:r>
              <w:rPr>
                <w:rFonts w:ascii="MS PGothic" w:cs="MS PGothic" w:eastAsia="MS PGothic" w:hAnsi="MS PGothic"/>
                <w:sz w:val="18"/>
                <w:szCs w:val="18"/>
                <w:color w:val="3C5896"/>
              </w:rPr>
              <w:t>✓</w:t>
            </w:r>
            <w:r>
              <w:rPr>
                <w:rFonts w:ascii="Arial" w:cs="Arial" w:eastAsia="Arial" w:hAnsi="Arial"/>
                <w:sz w:val="18"/>
                <w:szCs w:val="18"/>
                <w:color w:val="auto"/>
              </w:rPr>
              <w:t>Maintain an established stockholder engagement program</w:t>
            </w:r>
          </w:p>
        </w:tc>
        <w:tc>
          <w:tcPr>
            <w:tcW w:w="140" w:type="dxa"/>
            <w:vAlign w:val="bottom"/>
            <w:tcBorders>
              <w:right w:val="single" w:sz="8" w:color="9EACCA"/>
            </w:tcBorders>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Borders>
              <w:right w:val="single" w:sz="8" w:color="3C5896"/>
            </w:tcBorders>
          </w:tcPr>
          <w:p>
            <w:pPr>
              <w:spacing w:after="0"/>
              <w:rPr>
                <w:sz w:val="24"/>
                <w:szCs w:val="24"/>
                <w:color w:val="auto"/>
              </w:rPr>
            </w:pPr>
          </w:p>
        </w:tc>
      </w:tr>
      <w:tr>
        <w:trPr>
          <w:trHeight w:val="245"/>
        </w:trPr>
        <w:tc>
          <w:tcPr>
            <w:tcW w:w="60" w:type="dxa"/>
            <w:vAlign w:val="bottom"/>
            <w:tcBorders>
              <w:left w:val="single" w:sz="8" w:color="3C5896"/>
            </w:tcBorders>
          </w:tcPr>
          <w:p>
            <w:pPr>
              <w:spacing w:after="0"/>
              <w:rPr>
                <w:sz w:val="21"/>
                <w:szCs w:val="21"/>
                <w:color w:val="auto"/>
              </w:rPr>
            </w:pPr>
          </w:p>
        </w:tc>
        <w:tc>
          <w:tcPr>
            <w:tcW w:w="5580" w:type="dxa"/>
            <w:vAlign w:val="bottom"/>
          </w:tcPr>
          <w:p>
            <w:pPr>
              <w:ind w:left="180"/>
              <w:spacing w:after="0" w:line="207" w:lineRule="exact"/>
              <w:rPr>
                <w:sz w:val="20"/>
                <w:szCs w:val="20"/>
                <w:color w:val="auto"/>
              </w:rPr>
            </w:pPr>
            <w:r>
              <w:rPr>
                <w:rFonts w:ascii="MS PGothic" w:cs="MS PGothic" w:eastAsia="MS PGothic" w:hAnsi="MS PGothic"/>
                <w:sz w:val="18"/>
                <w:szCs w:val="18"/>
                <w:color w:val="3C5896"/>
              </w:rPr>
              <w:t>✓</w:t>
            </w:r>
            <w:r>
              <w:rPr>
                <w:rFonts w:ascii="Arial" w:cs="Arial" w:eastAsia="Arial" w:hAnsi="Arial"/>
                <w:sz w:val="18"/>
                <w:szCs w:val="18"/>
                <w:color w:val="auto"/>
              </w:rPr>
              <w:t>Require “Double-Trigger” vesting for Change in Control in equity</w:t>
            </w:r>
          </w:p>
        </w:tc>
        <w:tc>
          <w:tcPr>
            <w:tcW w:w="140" w:type="dxa"/>
            <w:vAlign w:val="bottom"/>
            <w:tcBorders>
              <w:right w:val="single" w:sz="8" w:color="9EACCA"/>
            </w:tcBorders>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Borders>
              <w:right w:val="single" w:sz="8" w:color="3C5896"/>
            </w:tcBorders>
          </w:tcPr>
          <w:p>
            <w:pPr>
              <w:spacing w:after="0"/>
              <w:rPr>
                <w:sz w:val="21"/>
                <w:szCs w:val="21"/>
                <w:color w:val="auto"/>
              </w:rPr>
            </w:pPr>
          </w:p>
        </w:tc>
      </w:tr>
      <w:tr>
        <w:trPr>
          <w:trHeight w:val="262"/>
        </w:trPr>
        <w:tc>
          <w:tcPr>
            <w:tcW w:w="60" w:type="dxa"/>
            <w:vAlign w:val="bottom"/>
            <w:tcBorders>
              <w:left w:val="single" w:sz="8" w:color="3C5896"/>
            </w:tcBorders>
          </w:tcPr>
          <w:p>
            <w:pPr>
              <w:spacing w:after="0"/>
              <w:rPr>
                <w:sz w:val="22"/>
                <w:szCs w:val="22"/>
                <w:color w:val="auto"/>
              </w:rPr>
            </w:pPr>
          </w:p>
        </w:tc>
        <w:tc>
          <w:tcPr>
            <w:tcW w:w="5580" w:type="dxa"/>
            <w:vAlign w:val="bottom"/>
          </w:tcPr>
          <w:p>
            <w:pPr>
              <w:ind w:left="360"/>
              <w:spacing w:after="0"/>
              <w:rPr>
                <w:sz w:val="20"/>
                <w:szCs w:val="20"/>
                <w:color w:val="auto"/>
              </w:rPr>
            </w:pPr>
            <w:r>
              <w:rPr>
                <w:rFonts w:ascii="Arial" w:cs="Arial" w:eastAsia="Arial" w:hAnsi="Arial"/>
                <w:sz w:val="18"/>
                <w:szCs w:val="18"/>
                <w:color w:val="auto"/>
              </w:rPr>
              <w:t>awards</w:t>
            </w:r>
          </w:p>
        </w:tc>
        <w:tc>
          <w:tcPr>
            <w:tcW w:w="140" w:type="dxa"/>
            <w:vAlign w:val="bottom"/>
            <w:tcBorders>
              <w:right w:val="single" w:sz="8" w:color="9EACCA"/>
            </w:tcBorders>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Borders>
              <w:right w:val="single" w:sz="8" w:color="3C5896"/>
            </w:tcBorders>
          </w:tcPr>
          <w:p>
            <w:pPr>
              <w:spacing w:after="0"/>
              <w:rPr>
                <w:sz w:val="22"/>
                <w:szCs w:val="22"/>
                <w:color w:val="auto"/>
              </w:rPr>
            </w:pPr>
          </w:p>
        </w:tc>
      </w:tr>
      <w:tr>
        <w:trPr>
          <w:trHeight w:val="20"/>
        </w:trPr>
        <w:tc>
          <w:tcPr>
            <w:tcW w:w="60" w:type="dxa"/>
            <w:vAlign w:val="bottom"/>
            <w:tcBorders>
              <w:left w:val="single" w:sz="8" w:color="3C5896"/>
            </w:tcBorders>
            <w:shd w:val="clear" w:color="auto" w:fill="3C5896"/>
          </w:tcPr>
          <w:p>
            <w:pPr>
              <w:spacing w:after="0" w:line="20" w:lineRule="exact"/>
              <w:rPr>
                <w:sz w:val="1"/>
                <w:szCs w:val="1"/>
                <w:color w:val="auto"/>
              </w:rPr>
            </w:pPr>
          </w:p>
        </w:tc>
        <w:tc>
          <w:tcPr>
            <w:tcW w:w="5580" w:type="dxa"/>
            <w:vAlign w:val="bottom"/>
            <w:shd w:val="clear" w:color="auto" w:fill="3C5896"/>
          </w:tcPr>
          <w:p>
            <w:pPr>
              <w:spacing w:after="0" w:line="20" w:lineRule="exact"/>
              <w:rPr>
                <w:sz w:val="1"/>
                <w:szCs w:val="1"/>
                <w:color w:val="auto"/>
              </w:rPr>
            </w:pPr>
          </w:p>
        </w:tc>
        <w:tc>
          <w:tcPr>
            <w:tcW w:w="140" w:type="dxa"/>
            <w:vAlign w:val="bottom"/>
            <w:tcBorders>
              <w:right w:val="single" w:sz="8" w:color="3C5896"/>
            </w:tcBorders>
            <w:shd w:val="clear" w:color="auto" w:fill="3C5896"/>
          </w:tcPr>
          <w:p>
            <w:pPr>
              <w:spacing w:after="0" w:line="20" w:lineRule="exact"/>
              <w:rPr>
                <w:sz w:val="1"/>
                <w:szCs w:val="1"/>
                <w:color w:val="auto"/>
              </w:rPr>
            </w:pPr>
          </w:p>
        </w:tc>
        <w:tc>
          <w:tcPr>
            <w:tcW w:w="3320" w:type="dxa"/>
            <w:vAlign w:val="bottom"/>
            <w:shd w:val="clear" w:color="auto" w:fill="3C5896"/>
          </w:tcPr>
          <w:p>
            <w:pPr>
              <w:spacing w:after="0" w:line="20" w:lineRule="exact"/>
              <w:rPr>
                <w:sz w:val="1"/>
                <w:szCs w:val="1"/>
                <w:color w:val="auto"/>
              </w:rPr>
            </w:pPr>
          </w:p>
        </w:tc>
        <w:tc>
          <w:tcPr>
            <w:tcW w:w="100" w:type="dxa"/>
            <w:vAlign w:val="bottom"/>
            <w:tcBorders>
              <w:right w:val="single" w:sz="8" w:color="3C5896"/>
            </w:tcBorders>
            <w:shd w:val="clear" w:color="auto" w:fill="3C5896"/>
          </w:tcPr>
          <w:p>
            <w:pPr>
              <w:spacing w:after="0" w:line="20" w:lineRule="exact"/>
              <w:rPr>
                <w:sz w:val="1"/>
                <w:szCs w:val="1"/>
                <w:color w:val="auto"/>
              </w:rPr>
            </w:pPr>
          </w:p>
        </w:tc>
      </w:tr>
    </w:tbl>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Consideration of Say on Pay Votes</w:t>
      </w:r>
    </w:p>
    <w:p>
      <w:pPr>
        <w:spacing w:after="0" w:line="115"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 xml:space="preserve">We are pleased that stockholders representing over 97.5% of the shares voted for the Say on Pay Proposal at the 2021 annual meeting, expressing their support and approval of our NEO compensation described in our 2021 proxy statement. During 2021, we continued our stockholder engagement program and sought feedback from stockholders on a range of topics, including executive compensation. See Stockholder Engagement on page </w:t>
      </w:r>
      <w:r>
        <w:rPr>
          <w:rFonts w:ascii="Arial" w:cs="Arial" w:eastAsia="Arial" w:hAnsi="Arial"/>
          <w:sz w:val="18"/>
          <w:szCs w:val="18"/>
          <w:u w:val="single" w:color="auto"/>
          <w:color w:val="0000EE"/>
        </w:rPr>
        <w:t>21</w:t>
      </w:r>
      <w:r>
        <w:rPr>
          <w:rFonts w:ascii="Arial" w:cs="Arial" w:eastAsia="Arial" w:hAnsi="Arial"/>
          <w:sz w:val="18"/>
          <w:szCs w:val="18"/>
          <w:color w:val="auto"/>
        </w:rPr>
        <w:t xml:space="preserve"> for additional details of our stockholder engagement program.</w:t>
      </w:r>
    </w:p>
    <w:p>
      <w:pPr>
        <w:spacing w:after="0" w:line="69"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As is its practice, the compensation committee took into account the results of the Say on Pay Proposal, as well as feedback received as part of our stockholder engagement program and the other factors discussed in more detail in “—Our Annual Compensation-Setting Process” below, when considering updates to our compensation programs. Given the strong 2021 Say on Pay vote outcome and feedback from our stockholder engagement, the committee did not believe any material changes were necessary to our compensation programs.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Our Annual Compensation-Setting Process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5"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Our executive compensation plans and programs are administered by our compensation committee. Our compensation committee is responsible for reviewing and approving, or recommending to our full Board of Directors, equity compensation grants and other aspects of compensation, including base salaries and the administration of our annual cash incentive program under our Short-Term Incentive Plan, or STIP, for employees. Our compensation committee is also responsible for recommending to the full Board of Directors the compensation of our CEO and determining and approving the compensation of other executive officers, as recommended by our CEO and Chief People Officer. At the beginning of each performance cycle, the compensation committee or the Board of Directors, as applicable, approves financial goals designed to align executive pay with company performance and stockholder interests, provide competitive pay opportunities dependent on performance, retain talent, create optimal stockholder value and mitigate material risk. These approvals include reviewing and setting performance goals under the STIP and Long-Term Incentive Program, or LTIP, and reviewing and approving awards (including the terms and conditions of such awards) under the STIP and LTIP for all executive officers (other than the CEO).</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Independent Members of the Board of Directors</w:t>
      </w:r>
    </w:p>
    <w:p>
      <w:pPr>
        <w:spacing w:after="0" w:line="11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Independent members of our Board assist in setting executive compensation by assessing the performance of the CEO, reviewing the compensation committee’s assessment of the CEO’s performance and approving the compensation of the CEO based on the recommendation of the compensation committee.</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15"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Our CEO and our Chief People Officer work closely with the compensation committee in managing our executive compensation program, along with gathering information for, and attending meetings of, the compensation committee.</w:t>
      </w:r>
    </w:p>
    <w:p>
      <w:pPr>
        <w:spacing w:after="0" w:line="66"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3114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0355" cy="231140"/>
                    </a:xfrm>
                    <a:prstGeom prst="rect">
                      <a:avLst/>
                    </a:prstGeom>
                    <a:noFill/>
                    <a:ln>
                      <a:noFill/>
                    </a:ln>
                  </pic:spPr>
                </pic:pic>
              </a:graphicData>
            </a:graphic>
          </wp:inline>
        </w:drawing>
      </w:r>
      <w:r>
        <w:rPr>
          <w:rFonts w:ascii="Arial" w:cs="Arial" w:eastAsia="Arial" w:hAnsi="Arial"/>
          <w:sz w:val="16"/>
          <w:szCs w:val="16"/>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Our CEO makes recommendations to the compensation committee regarding compensation for the executive officers (other than himself), including base salary amounts and equity compensation grants. Our CEO and CFO also provide input in discussions regarding the development of annual Company performance goals for which annual cash incentive payouts under our STIP and PSU awards under LTIP could be earned.</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15"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The compensation committee has engaged Meridian Compensation Partners, LLC (“Meridian”) to assist the committee regarding various executive compensation matters and to serve as its independent compensation consulting firm. In connection with this appointment, in 2021 the compensation committee reviewed Meridian’s independence, including considering the factors specified in the NASDAQ listing standards and receiving confirmation by Meridian of its independent status. The compensation committee believes that Meridian is independent and that there is no conflict of interest between Meridian and the compensation committee. Meridian assists the compensation committee in reviewing the effectiveness and competitiveness of the Company’s executive compensation program, including an annual risk assessment of the program, and makes recommendations consistent with the Company’s pay philosophy, market trends, legal and regulatory considerations and the Company’s overall business needs. In addition to providing advice regarding executive compensation best practices, Meridian also provides market data as a background for recommendations regarding CEO and other executive base salary and annual and long-term incentives.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Use of Comparative Market Data</w:t>
      </w:r>
    </w:p>
    <w:p>
      <w:pPr>
        <w:spacing w:after="0" w:line="115"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We aim to compensate our executive officers competitively. To gain a general understanding of current market compensation practices, our compensation committee reviewed the findings as presented in a market study conducted by Meridian in December 2020. The external market data reviewed included proxy data from the peer group companies described below and survey data. The compensation committee reviewed the peer group in August 2020 and determined that no changes were necessary from 2020 to 2021. The peer group reflects a mix of companies in various industries that together represent the retail and health care aspects of our business and scope of operations (as measured by annual revenue, market capitalization and number of employees). At the time of the review the Company was near the 39th percentile of the peer group in revenue and the 36th percentile in market capitalization. The 2021 compensation peer group consisted of the following 15 companies:</w:t>
      </w:r>
    </w:p>
    <w:p>
      <w:pPr>
        <w:spacing w:after="0" w:line="87"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jc w:val="center"/>
              <w:spacing w:after="0"/>
              <w:rPr>
                <w:sz w:val="20"/>
                <w:szCs w:val="20"/>
                <w:color w:val="auto"/>
              </w:rPr>
            </w:pPr>
            <w:r>
              <w:rPr>
                <w:rFonts w:ascii="Arial" w:cs="Arial" w:eastAsia="Arial" w:hAnsi="Arial"/>
                <w:sz w:val="18"/>
                <w:szCs w:val="18"/>
                <w:color w:val="auto"/>
                <w:w w:val="97"/>
              </w:rPr>
              <w:t>Align Technology, Inc.</w:t>
            </w:r>
          </w:p>
        </w:tc>
        <w:tc>
          <w:tcPr>
            <w:tcW w:w="980" w:type="dxa"/>
            <w:vAlign w:val="bottom"/>
          </w:tcPr>
          <w:p>
            <w:pPr>
              <w:ind w:left="500"/>
              <w:spacing w:after="0"/>
              <w:rPr>
                <w:sz w:val="20"/>
                <w:szCs w:val="20"/>
                <w:color w:val="auto"/>
              </w:rPr>
            </w:pPr>
            <w:r>
              <w:rPr>
                <w:rFonts w:ascii="Arial" w:cs="Arial" w:eastAsia="Arial" w:hAnsi="Arial"/>
                <w:sz w:val="18"/>
                <w:szCs w:val="18"/>
                <w:color w:val="auto"/>
              </w:rPr>
              <w:t>​ ​</w:t>
            </w: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Merit Medical Systems, Inc.</w:t>
            </w:r>
          </w:p>
        </w:tc>
        <w:tc>
          <w:tcPr>
            <w:tcW w:w="38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50"/>
        </w:trPr>
        <w:tc>
          <w:tcPr>
            <w:tcW w:w="480" w:type="dxa"/>
            <w:vAlign w:val="bottom"/>
          </w:tcPr>
          <w:p>
            <w:pPr>
              <w:spacing w:after="0"/>
              <w:rPr>
                <w:sz w:val="21"/>
                <w:szCs w:val="21"/>
                <w:color w:val="auto"/>
              </w:rPr>
            </w:pPr>
          </w:p>
        </w:tc>
        <w:tc>
          <w:tcPr>
            <w:tcW w:w="3200" w:type="dxa"/>
            <w:vAlign w:val="bottom"/>
          </w:tcPr>
          <w:p>
            <w:pPr>
              <w:jc w:val="center"/>
              <w:spacing w:after="0" w:line="250" w:lineRule="exact"/>
              <w:rPr>
                <w:sz w:val="20"/>
                <w:szCs w:val="20"/>
                <w:color w:val="auto"/>
              </w:rPr>
            </w:pPr>
            <w:r>
              <w:rPr>
                <w:rFonts w:ascii="Arial" w:cs="Arial" w:eastAsia="Arial" w:hAnsi="Arial"/>
                <w:sz w:val="18"/>
                <w:szCs w:val="18"/>
                <w:color w:val="auto"/>
                <w:w w:val="97"/>
              </w:rPr>
              <w:t>At Home Group, Inc.</w:t>
            </w:r>
            <w:r>
              <w:rPr>
                <w:rFonts w:ascii="Arial" w:cs="Arial" w:eastAsia="Arial" w:hAnsi="Arial"/>
                <w:sz w:val="26"/>
                <w:szCs w:val="26"/>
                <w:color w:val="auto"/>
                <w:w w:val="97"/>
                <w:vertAlign w:val="superscript"/>
              </w:rPr>
              <w:t>(1)</w:t>
            </w:r>
          </w:p>
        </w:tc>
        <w:tc>
          <w:tcPr>
            <w:tcW w:w="98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Ollie’s Bargain Outlet Holdings, Inc.</w:t>
            </w:r>
          </w:p>
        </w:tc>
        <w:tc>
          <w:tcPr>
            <w:tcW w:w="380" w:type="dxa"/>
            <w:vAlign w:val="bottom"/>
          </w:tcPr>
          <w:p>
            <w:pPr>
              <w:spacing w:after="0"/>
              <w:rPr>
                <w:sz w:val="21"/>
                <w:szCs w:val="21"/>
                <w:color w:val="auto"/>
              </w:rPr>
            </w:pPr>
          </w:p>
        </w:tc>
      </w:tr>
      <w:tr>
        <w:trPr>
          <w:trHeight w:val="216"/>
        </w:trPr>
        <w:tc>
          <w:tcPr>
            <w:tcW w:w="48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8"/>
              </w:rPr>
              <w:t>Caleres, Inc.</w:t>
            </w:r>
          </w:p>
        </w:tc>
        <w:tc>
          <w:tcPr>
            <w:tcW w:w="98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8"/>
              </w:rPr>
              <w:t>Oxford Industries, Inc.</w:t>
            </w:r>
          </w:p>
        </w:tc>
        <w:tc>
          <w:tcPr>
            <w:tcW w:w="3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Columbia Sportswear Co.</w:t>
            </w:r>
          </w:p>
        </w:tc>
        <w:tc>
          <w:tcPr>
            <w:tcW w:w="98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Surgery Partners Inc.</w:t>
            </w:r>
          </w:p>
        </w:tc>
        <w:tc>
          <w:tcPr>
            <w:tcW w:w="3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Dentsply Sirona Inc.</w:t>
            </w:r>
          </w:p>
        </w:tc>
        <w:tc>
          <w:tcPr>
            <w:tcW w:w="98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The Container Store Group, Inc.</w:t>
            </w:r>
          </w:p>
        </w:tc>
        <w:tc>
          <w:tcPr>
            <w:tcW w:w="3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Five Below, Inc.</w:t>
            </w:r>
          </w:p>
        </w:tc>
        <w:tc>
          <w:tcPr>
            <w:tcW w:w="98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9"/>
              </w:rPr>
              <w:t>The Cooper Companies, Inc.</w:t>
            </w:r>
          </w:p>
        </w:tc>
        <w:tc>
          <w:tcPr>
            <w:tcW w:w="380" w:type="dxa"/>
            <w:vAlign w:val="bottom"/>
          </w:tcPr>
          <w:p>
            <w:pPr>
              <w:spacing w:after="0"/>
              <w:rPr>
                <w:sz w:val="18"/>
                <w:szCs w:val="18"/>
                <w:color w:val="auto"/>
              </w:rPr>
            </w:pPr>
          </w:p>
        </w:tc>
      </w:tr>
      <w:tr>
        <w:trPr>
          <w:trHeight w:val="229"/>
        </w:trPr>
        <w:tc>
          <w:tcPr>
            <w:tcW w:w="48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Floor &amp; Decor Holdings, Inc.</w:t>
            </w:r>
          </w:p>
        </w:tc>
        <w:tc>
          <w:tcPr>
            <w:tcW w:w="98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West Pharmaceutical Services, Inc.</w:t>
            </w:r>
          </w:p>
        </w:tc>
        <w:tc>
          <w:tcPr>
            <w:tcW w:w="380" w:type="dxa"/>
            <w:vAlign w:val="bottom"/>
          </w:tcPr>
          <w:p>
            <w:pPr>
              <w:spacing w:after="0"/>
              <w:rPr>
                <w:sz w:val="19"/>
                <w:szCs w:val="19"/>
                <w:color w:val="auto"/>
              </w:rPr>
            </w:pPr>
          </w:p>
        </w:tc>
      </w:tr>
      <w:tr>
        <w:trPr>
          <w:trHeight w:val="239"/>
        </w:trPr>
        <w:tc>
          <w:tcPr>
            <w:tcW w:w="480" w:type="dxa"/>
            <w:vAlign w:val="bottom"/>
          </w:tcPr>
          <w:p>
            <w:pPr>
              <w:spacing w:after="0"/>
              <w:rPr>
                <w:sz w:val="20"/>
                <w:szCs w:val="20"/>
                <w:color w:val="auto"/>
              </w:rPr>
            </w:pPr>
          </w:p>
        </w:tc>
        <w:tc>
          <w:tcPr>
            <w:tcW w:w="3200" w:type="dxa"/>
            <w:vAlign w:val="bottom"/>
          </w:tcPr>
          <w:p>
            <w:pPr>
              <w:ind w:left="900"/>
              <w:spacing w:after="0"/>
              <w:rPr>
                <w:sz w:val="20"/>
                <w:szCs w:val="20"/>
                <w:color w:val="auto"/>
              </w:rPr>
            </w:pPr>
            <w:r>
              <w:rPr>
                <w:rFonts w:ascii="Arial" w:cs="Arial" w:eastAsia="Arial" w:hAnsi="Arial"/>
                <w:sz w:val="18"/>
                <w:szCs w:val="18"/>
                <w:color w:val="auto"/>
              </w:rPr>
              <w:t>ICU Medical, Inc.</w:t>
            </w:r>
          </w:p>
        </w:tc>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60" w:lineRule="exact"/>
        <w:rPr>
          <w:sz w:val="20"/>
          <w:szCs w:val="20"/>
          <w:color w:val="auto"/>
        </w:rPr>
      </w:pPr>
    </w:p>
    <w:p>
      <w:pPr>
        <w:ind w:left="1120" w:right="20" w:hanging="358"/>
        <w:spacing w:after="0" w:line="301" w:lineRule="auto"/>
        <w:tabs>
          <w:tab w:leader="none" w:pos="11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At Home Group, Inc. was acquired by Hellman &amp; Friedman in 2021. The compensation committee considered the inclusion of additional peers and decided to maintain the existing 14 company group of remaining peers for 2022.</w:t>
      </w:r>
    </w:p>
    <w:p>
      <w:pPr>
        <w:spacing w:after="0" w:line="38"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As more fully described below under “—Compensation Elements,” the data from the peer group above was reviewed by the compensation committee in connection with compensation decisions for 2021. The compensation committee did not target a specific percentile with respect to the peer group in determining our NEOs’ total compensation, nor did it establish a prescribed mix of pay for our executives.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Elements</w:t>
      </w:r>
    </w:p>
    <w:p>
      <w:pPr>
        <w:spacing w:after="0" w:line="11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i w:val="1"/>
          <w:iCs w:val="1"/>
          <w:color w:val="auto"/>
        </w:rPr>
        <w:t>Program Design</w:t>
      </w:r>
      <w:r>
        <w:rPr>
          <w:rFonts w:ascii="Arial" w:cs="Arial" w:eastAsia="Arial" w:hAnsi="Arial"/>
          <w:sz w:val="18"/>
          <w:szCs w:val="18"/>
          <w:color w:val="auto"/>
        </w:rPr>
        <w:t>. Our executive compensation program has three main components: (1) base salary; (2)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incentive compensation (STIP); and (3) long-term incentive awards (LTIP). Each component is designed to be consistent with the Company’s compensation philosophy.</w:t>
      </w:r>
    </w:p>
    <w:p>
      <w:pPr>
        <w:spacing w:after="0" w:line="74"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color w:val="auto"/>
        </w:rPr>
        <w:t>Each element of the compensation program complements the others and, together, these elements are intended to achieve the compensation committee’s principal compensation objectives. When decisions about compensation for an executive officer are made, the impact on the total value of all these elements of compensation for the individual is considered. For executives, the compensation committee reviews competitive market data and establishes target total direct compensation opportunities (</w:t>
      </w:r>
      <w:r>
        <w:rPr>
          <w:rFonts w:ascii="Arial" w:cs="Arial" w:eastAsia="Arial" w:hAnsi="Arial"/>
          <w:sz w:val="18"/>
          <w:szCs w:val="18"/>
          <w:i w:val="1"/>
          <w:iCs w:val="1"/>
          <w:color w:val="auto"/>
        </w:rPr>
        <w:t>i.e</w:t>
      </w:r>
      <w:r>
        <w:rPr>
          <w:rFonts w:ascii="Arial" w:cs="Arial" w:eastAsia="Arial" w:hAnsi="Arial"/>
          <w:sz w:val="18"/>
          <w:szCs w:val="18"/>
          <w:color w:val="auto"/>
        </w:rPr>
        <w:t>., salary, annual cash incentive and annual long-term incentive targets) based on the following factors: corporate performance, competitive market data and the circumstances surrounding the executive’s initial hiring or promotion to a position with increased responsibilities.</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32  </w:t>
      </w:r>
      <w:r>
        <w:rPr>
          <w:sz w:val="1"/>
          <w:szCs w:val="1"/>
          <w:color w:val="auto"/>
        </w:rPr>
        <w:drawing>
          <wp:inline distT="0" distB="0" distL="0" distR="0">
            <wp:extent cx="300355" cy="2400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Base Salary</w:t>
      </w:r>
    </w:p>
    <w:p>
      <w:pPr>
        <w:spacing w:after="0" w:line="11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We believe it is important to provide a competitive fixed level of pay to attract and retain talented and experienced executives capable of driving the Company’s business strategy.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 Base salary increases were approved for 2021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85090</wp:posOffset>
            </wp:positionV>
            <wp:extent cx="2580005" cy="11061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80005" cy="110617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85090</wp:posOffset>
            </wp:positionV>
            <wp:extent cx="34290" cy="300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300355"/>
                    </a:xfrm>
                    <a:prstGeom prst="rect">
                      <a:avLst/>
                    </a:prstGeom>
                    <a:noFill/>
                  </pic:spPr>
                </pic:pic>
              </a:graphicData>
            </a:graphic>
          </wp:anchor>
        </w:drawing>
      </w:r>
    </w:p>
    <w:p>
      <w:pPr>
        <w:spacing w:after="0" w:line="114" w:lineRule="exact"/>
        <w:rPr>
          <w:sz w:val="20"/>
          <w:szCs w:val="20"/>
          <w:color w:val="auto"/>
        </w:rPr>
      </w:pPr>
    </w:p>
    <w:tbl>
      <w:tblPr>
        <w:tblLayout w:type="fixed"/>
        <w:tblInd w:w="760" w:type="dxa"/>
        <w:tblCellMar>
          <w:top w:w="0" w:type="dxa"/>
          <w:left w:w="0" w:type="dxa"/>
          <w:bottom w:w="0" w:type="dxa"/>
          <w:right w:w="0" w:type="dxa"/>
        </w:tblCellMar>
      </w:tblPr>
      <w:tr>
        <w:trPr>
          <w:trHeight w:val="20"/>
        </w:trPr>
        <w:tc>
          <w:tcPr>
            <w:tcW w:w="20" w:type="dxa"/>
            <w:vAlign w:val="bottom"/>
            <w:shd w:val="clear" w:color="auto" w:fill="3C5896"/>
          </w:tcPr>
          <w:p>
            <w:pPr>
              <w:spacing w:after="0" w:line="20" w:lineRule="exact"/>
              <w:rPr>
                <w:sz w:val="1"/>
                <w:szCs w:val="1"/>
                <w:color w:val="auto"/>
              </w:rPr>
            </w:pPr>
          </w:p>
        </w:tc>
        <w:tc>
          <w:tcPr>
            <w:tcW w:w="1440" w:type="dxa"/>
            <w:vAlign w:val="bottom"/>
            <w:shd w:val="clear" w:color="auto" w:fill="3C5896"/>
          </w:tcPr>
          <w:p>
            <w:pPr>
              <w:spacing w:after="0" w:line="20" w:lineRule="exact"/>
              <w:rPr>
                <w:sz w:val="1"/>
                <w:szCs w:val="1"/>
                <w:color w:val="auto"/>
              </w:rPr>
            </w:pPr>
          </w:p>
        </w:tc>
        <w:tc>
          <w:tcPr>
            <w:tcW w:w="3680" w:type="dxa"/>
            <w:vAlign w:val="bottom"/>
            <w:shd w:val="clear" w:color="auto" w:fill="3C5896"/>
          </w:tcPr>
          <w:p>
            <w:pPr>
              <w:spacing w:after="0" w:line="20" w:lineRule="exact"/>
              <w:rPr>
                <w:sz w:val="1"/>
                <w:szCs w:val="1"/>
                <w:color w:val="auto"/>
              </w:rPr>
            </w:pPr>
          </w:p>
        </w:tc>
        <w:tc>
          <w:tcPr>
            <w:tcW w:w="40" w:type="dxa"/>
            <w:vAlign w:val="bottom"/>
            <w:tcBorders>
              <w:left w:val="single" w:sz="8" w:color="3C5896"/>
            </w:tcBorders>
          </w:tcPr>
          <w:p>
            <w:pPr>
              <w:spacing w:after="0" w:line="20" w:lineRule="exact"/>
              <w:rPr>
                <w:sz w:val="1"/>
                <w:szCs w:val="1"/>
                <w:color w:val="auto"/>
              </w:rPr>
            </w:pPr>
          </w:p>
        </w:tc>
        <w:tc>
          <w:tcPr>
            <w:tcW w:w="200" w:type="dxa"/>
            <w:vAlign w:val="bottom"/>
            <w:shd w:val="clear" w:color="auto" w:fill="3C5896"/>
          </w:tcPr>
          <w:p>
            <w:pPr>
              <w:spacing w:after="0" w:line="20" w:lineRule="exact"/>
              <w:rPr>
                <w:sz w:val="1"/>
                <w:szCs w:val="1"/>
                <w:color w:val="auto"/>
              </w:rPr>
            </w:pPr>
          </w:p>
        </w:tc>
        <w:tc>
          <w:tcPr>
            <w:tcW w:w="480" w:type="dxa"/>
            <w:vAlign w:val="bottom"/>
            <w:shd w:val="clear" w:color="auto" w:fill="3C5896"/>
          </w:tcPr>
          <w:p>
            <w:pPr>
              <w:spacing w:after="0" w:line="20" w:lineRule="exact"/>
              <w:rPr>
                <w:sz w:val="1"/>
                <w:szCs w:val="1"/>
                <w:color w:val="auto"/>
              </w:rPr>
            </w:pPr>
          </w:p>
        </w:tc>
        <w:tc>
          <w:tcPr>
            <w:tcW w:w="640" w:type="dxa"/>
            <w:vAlign w:val="bottom"/>
            <w:shd w:val="clear" w:color="auto" w:fill="3C5896"/>
          </w:tcPr>
          <w:p>
            <w:pPr>
              <w:spacing w:after="0" w:line="20" w:lineRule="exact"/>
              <w:rPr>
                <w:sz w:val="1"/>
                <w:szCs w:val="1"/>
                <w:color w:val="auto"/>
              </w:rPr>
            </w:pPr>
          </w:p>
        </w:tc>
        <w:tc>
          <w:tcPr>
            <w:tcW w:w="24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3C5896"/>
          </w:tcPr>
          <w:p>
            <w:pPr>
              <w:spacing w:after="0" w:line="20" w:lineRule="exact"/>
              <w:rPr>
                <w:sz w:val="1"/>
                <w:szCs w:val="1"/>
                <w:color w:val="auto"/>
              </w:rPr>
            </w:pPr>
          </w:p>
        </w:tc>
        <w:tc>
          <w:tcPr>
            <w:tcW w:w="920" w:type="dxa"/>
            <w:vAlign w:val="bottom"/>
            <w:shd w:val="clear" w:color="auto" w:fill="3C5896"/>
          </w:tcPr>
          <w:p>
            <w:pPr>
              <w:spacing w:after="0" w:line="20" w:lineRule="exact"/>
              <w:rPr>
                <w:sz w:val="1"/>
                <w:szCs w:val="1"/>
                <w:color w:val="auto"/>
              </w:rPr>
            </w:pPr>
          </w:p>
        </w:tc>
        <w:tc>
          <w:tcPr>
            <w:tcW w:w="80" w:type="dxa"/>
            <w:vAlign w:val="bottom"/>
            <w:tcBorders>
              <w:right w:val="single" w:sz="8" w:color="3C5896"/>
            </w:tcBorders>
            <w:shd w:val="clear" w:color="auto" w:fill="3C589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1000" w:type="dxa"/>
            <w:vAlign w:val="bottom"/>
            <w:shd w:val="clear" w:color="auto" w:fill="3C5896"/>
          </w:tcPr>
          <w:p>
            <w:pPr>
              <w:spacing w:after="0" w:line="20" w:lineRule="exact"/>
              <w:rPr>
                <w:sz w:val="1"/>
                <w:szCs w:val="1"/>
                <w:color w:val="auto"/>
              </w:rPr>
            </w:pPr>
          </w:p>
        </w:tc>
        <w:tc>
          <w:tcPr>
            <w:tcW w:w="180" w:type="dxa"/>
            <w:vAlign w:val="bottom"/>
            <w:shd w:val="clear" w:color="auto" w:fill="3C58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440" w:type="dxa"/>
            <w:vAlign w:val="bottom"/>
            <w:shd w:val="clear" w:color="auto" w:fill="3C5896"/>
          </w:tcPr>
          <w:p>
            <w:pPr>
              <w:spacing w:after="0"/>
              <w:rPr>
                <w:sz w:val="16"/>
                <w:szCs w:val="16"/>
                <w:color w:val="auto"/>
              </w:rPr>
            </w:pPr>
          </w:p>
        </w:tc>
        <w:tc>
          <w:tcPr>
            <w:tcW w:w="3680" w:type="dxa"/>
            <w:vAlign w:val="bottom"/>
            <w:shd w:val="clear" w:color="auto" w:fill="3C5896"/>
          </w:tcPr>
          <w:p>
            <w:pPr>
              <w:spacing w:after="0"/>
              <w:rPr>
                <w:sz w:val="16"/>
                <w:szCs w:val="16"/>
                <w:color w:val="auto"/>
              </w:rPr>
            </w:pPr>
          </w:p>
        </w:tc>
        <w:tc>
          <w:tcPr>
            <w:tcW w:w="1600" w:type="dxa"/>
            <w:vAlign w:val="bottom"/>
            <w:gridSpan w:val="5"/>
            <w:vMerge w:val="restart"/>
          </w:tcPr>
          <w:p>
            <w:pPr>
              <w:spacing w:after="0"/>
              <w:rPr>
                <w:sz w:val="20"/>
                <w:szCs w:val="20"/>
                <w:color w:val="auto"/>
              </w:rPr>
            </w:pPr>
            <w:r>
              <w:rPr>
                <w:rFonts w:ascii="Arial" w:cs="Arial" w:eastAsia="Arial" w:hAnsi="Arial"/>
                <w:sz w:val="18"/>
                <w:szCs w:val="18"/>
                <w:b w:val="1"/>
                <w:bCs w:val="1"/>
                <w:color w:val="FFFFFF"/>
              </w:rPr>
              <w:t>​​2020 Base Salary</w:t>
            </w:r>
          </w:p>
        </w:tc>
        <w:tc>
          <w:tcPr>
            <w:tcW w:w="40" w:type="dxa"/>
            <w:vAlign w:val="bottom"/>
          </w:tcPr>
          <w:p>
            <w:pPr>
              <w:spacing w:after="0"/>
              <w:rPr>
                <w:sz w:val="16"/>
                <w:szCs w:val="16"/>
                <w:color w:val="auto"/>
              </w:rPr>
            </w:pPr>
          </w:p>
        </w:tc>
        <w:tc>
          <w:tcPr>
            <w:tcW w:w="1000" w:type="dxa"/>
            <w:vAlign w:val="bottom"/>
            <w:gridSpan w:val="2"/>
          </w:tcPr>
          <w:p>
            <w:pPr>
              <w:spacing w:after="0" w:line="186" w:lineRule="exact"/>
              <w:rPr>
                <w:sz w:val="20"/>
                <w:szCs w:val="20"/>
                <w:color w:val="auto"/>
              </w:rPr>
            </w:pPr>
            <w:r>
              <w:rPr>
                <w:rFonts w:ascii="Arial" w:cs="Arial" w:eastAsia="Arial" w:hAnsi="Arial"/>
                <w:sz w:val="18"/>
                <w:szCs w:val="18"/>
                <w:b w:val="1"/>
                <w:bCs w:val="1"/>
                <w:color w:val="FFFFFF"/>
              </w:rPr>
              <w:t>Percentage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56"/>
              <w:spacing w:after="0" w:line="186" w:lineRule="exact"/>
              <w:rPr>
                <w:sz w:val="20"/>
                <w:szCs w:val="20"/>
                <w:color w:val="auto"/>
              </w:rPr>
            </w:pPr>
            <w:r>
              <w:rPr>
                <w:rFonts w:ascii="Arial" w:cs="Arial" w:eastAsia="Arial" w:hAnsi="Arial"/>
                <w:sz w:val="18"/>
                <w:szCs w:val="18"/>
                <w:b w:val="1"/>
                <w:bCs w:val="1"/>
                <w:color w:val="FFFFFF"/>
              </w:rPr>
              <w:t>2021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44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3680" w:type="dxa"/>
            <w:vAlign w:val="bottom"/>
            <w:shd w:val="clear" w:color="auto" w:fill="3C5896"/>
          </w:tcPr>
          <w:p>
            <w:pPr>
              <w:ind w:left="60"/>
              <w:spacing w:after="0"/>
              <w:rPr>
                <w:sz w:val="20"/>
                <w:szCs w:val="20"/>
                <w:color w:val="auto"/>
              </w:rPr>
            </w:pPr>
            <w:r>
              <w:rPr>
                <w:rFonts w:ascii="Arial" w:cs="Arial" w:eastAsia="Arial" w:hAnsi="Arial"/>
                <w:sz w:val="18"/>
                <w:szCs w:val="18"/>
                <w:b w:val="1"/>
                <w:bCs w:val="1"/>
                <w:color w:val="FFFFFF"/>
              </w:rPr>
              <w:t>Named Executive Officer</w:t>
            </w:r>
          </w:p>
        </w:tc>
        <w:tc>
          <w:tcPr>
            <w:tcW w:w="1600" w:type="dxa"/>
            <w:vAlign w:val="bottom"/>
            <w:gridSpan w:val="5"/>
            <w:vMerge w:val="continue"/>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FFFFFF"/>
              </w:rPr>
              <w:t>​​</w:t>
            </w:r>
          </w:p>
        </w:tc>
        <w:tc>
          <w:tcPr>
            <w:tcW w:w="920" w:type="dxa"/>
            <w:vAlign w:val="bottom"/>
          </w:tcPr>
          <w:p>
            <w:pPr>
              <w:ind w:left="60"/>
              <w:spacing w:after="0"/>
              <w:rPr>
                <w:sz w:val="20"/>
                <w:szCs w:val="20"/>
                <w:color w:val="auto"/>
              </w:rPr>
            </w:pPr>
            <w:r>
              <w:rPr>
                <w:rFonts w:ascii="Arial" w:cs="Arial" w:eastAsia="Arial" w:hAnsi="Arial"/>
                <w:sz w:val="18"/>
                <w:szCs w:val="18"/>
                <w:b w:val="1"/>
                <w:bCs w:val="1"/>
                <w:color w:val="FFFFFF"/>
              </w:rPr>
              <w:t>Increase</w:t>
            </w:r>
          </w:p>
        </w:tc>
        <w:tc>
          <w:tcPr>
            <w:tcW w:w="80" w:type="dxa"/>
            <w:vAlign w:val="bottom"/>
          </w:tcPr>
          <w:p>
            <w:pPr>
              <w:spacing w:after="0"/>
              <w:rPr>
                <w:sz w:val="23"/>
                <w:szCs w:val="23"/>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FFFFFF"/>
              </w:rPr>
              <w:t>​​Base Salary</w:t>
            </w:r>
            <w:r>
              <w:rPr>
                <w:rFonts w:ascii="Arial" w:cs="Arial" w:eastAsia="Arial" w:hAnsi="Arial"/>
                <w:sz w:val="23"/>
                <w:szCs w:val="23"/>
                <w:b w:val="1"/>
                <w:bCs w:val="1"/>
                <w:color w:val="FFFFFF"/>
                <w:vertAlign w:val="superscript"/>
              </w:rPr>
              <w:t>(1)</w:t>
            </w:r>
            <w:r>
              <w:rPr>
                <w:rFonts w:ascii="Arial" w:cs="Arial" w:eastAsia="Arial" w:hAnsi="Arial"/>
                <w:sz w:val="18"/>
                <w:szCs w:val="18"/>
                <w:b w:val="1"/>
                <w:bCs w:val="1"/>
                <w:color w:val="FFFFFF"/>
              </w:rPr>
              <w:t xml:space="preserve"> ​</w:t>
            </w:r>
          </w:p>
        </w:tc>
        <w:tc>
          <w:tcPr>
            <w:tcW w:w="0" w:type="dxa"/>
            <w:vAlign w:val="bottom"/>
          </w:tcPr>
          <w:p>
            <w:pPr>
              <w:spacing w:after="0"/>
              <w:rPr>
                <w:sz w:val="1"/>
                <w:szCs w:val="1"/>
                <w:color w:val="auto"/>
              </w:rPr>
            </w:pPr>
          </w:p>
        </w:tc>
      </w:tr>
      <w:tr>
        <w:trPr>
          <w:trHeight w:val="257"/>
        </w:trPr>
        <w:tc>
          <w:tcPr>
            <w:tcW w:w="20" w:type="dxa"/>
            <w:vAlign w:val="bottom"/>
            <w:shd w:val="clear" w:color="auto" w:fill="3C5896"/>
          </w:tcPr>
          <w:p>
            <w:pPr>
              <w:spacing w:after="0"/>
              <w:rPr>
                <w:sz w:val="22"/>
                <w:szCs w:val="22"/>
                <w:color w:val="auto"/>
              </w:rPr>
            </w:pPr>
          </w:p>
        </w:tc>
        <w:tc>
          <w:tcPr>
            <w:tcW w:w="1440" w:type="dxa"/>
            <w:vAlign w:val="bottom"/>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L. Reade Fahs</w:t>
            </w:r>
          </w:p>
        </w:tc>
        <w:tc>
          <w:tcPr>
            <w:tcW w:w="368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$955,000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​3.0%</w:t>
            </w: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$983,650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shd w:val="clear" w:color="auto" w:fill="3C5896"/>
          </w:tcPr>
          <w:p>
            <w:pPr>
              <w:spacing w:after="0"/>
              <w:rPr>
                <w:sz w:val="22"/>
                <w:szCs w:val="22"/>
                <w:color w:val="auto"/>
              </w:rPr>
            </w:pPr>
          </w:p>
        </w:tc>
        <w:tc>
          <w:tcPr>
            <w:tcW w:w="1440" w:type="dxa"/>
            <w:vAlign w:val="bottom"/>
            <w:shd w:val="clear" w:color="auto" w:fill="CCCCCC"/>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Patrick R. Moore</w:t>
            </w:r>
          </w:p>
        </w:tc>
        <w:tc>
          <w:tcPr>
            <w:tcW w:w="3680" w:type="dxa"/>
            <w:vAlign w:val="bottom"/>
            <w:shd w:val="clear" w:color="auto" w:fill="CCCCCC"/>
          </w:tcPr>
          <w:p>
            <w:pPr>
              <w:spacing w:after="0"/>
              <w:rPr>
                <w:sz w:val="22"/>
                <w:szCs w:val="22"/>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$500,000</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highlight w:val="lightGray"/>
              </w:rPr>
              <w:t>​​</w:t>
            </w:r>
          </w:p>
        </w:tc>
        <w:tc>
          <w:tcPr>
            <w:tcW w:w="920" w:type="dxa"/>
            <w:vAlign w:val="bottom"/>
          </w:tcPr>
          <w:p>
            <w:pPr>
              <w:ind w:left="260"/>
              <w:spacing w:after="0" w:line="256" w:lineRule="exact"/>
              <w:rPr>
                <w:sz w:val="20"/>
                <w:szCs w:val="20"/>
                <w:color w:val="auto"/>
              </w:rPr>
            </w:pPr>
            <w:r>
              <w:rPr>
                <w:rFonts w:ascii="Arial" w:cs="Arial" w:eastAsia="Arial" w:hAnsi="Arial"/>
                <w:sz w:val="29"/>
                <w:szCs w:val="29"/>
                <w:color w:val="auto"/>
                <w:highlight w:val="lightGray"/>
                <w:vertAlign w:val="subscript"/>
              </w:rPr>
              <w:t>​</w:t>
            </w:r>
            <w:r>
              <w:rPr>
                <w:rFonts w:ascii="Arial" w:cs="Arial" w:eastAsia="Arial" w:hAnsi="Arial"/>
                <w:sz w:val="16"/>
                <w:szCs w:val="16"/>
                <w:color w:val="auto"/>
                <w:highlight w:val="lightGray"/>
              </w:rPr>
              <w:t>​3.0%</w:t>
            </w:r>
          </w:p>
        </w:tc>
        <w:tc>
          <w:tcPr>
            <w:tcW w:w="80" w:type="dxa"/>
            <w:vAlign w:val="bottom"/>
          </w:tcPr>
          <w:p>
            <w:pPr>
              <w:spacing w:after="0"/>
              <w:rPr>
                <w:sz w:val="20"/>
                <w:szCs w:val="20"/>
                <w:color w:val="auto"/>
              </w:rPr>
            </w:pPr>
            <w:r>
              <w:rPr>
                <w:rFonts w:ascii="Arial" w:cs="Arial" w:eastAsia="Arial" w:hAnsi="Arial"/>
                <w:sz w:val="18"/>
                <w:szCs w:val="18"/>
                <w:color w:val="auto"/>
                <w:highlight w:val="lightGray"/>
              </w:rPr>
              <w:t>​</w:t>
            </w:r>
          </w:p>
        </w:tc>
        <w:tc>
          <w:tcPr>
            <w:tcW w:w="1160" w:type="dxa"/>
            <w:vAlign w:val="bottom"/>
            <w:gridSpan w:val="3"/>
          </w:tcPr>
          <w:p>
            <w:pPr>
              <w:jc w:val="right"/>
              <w:ind w:right="36"/>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 xml:space="preserve">  </w:t>
            </w:r>
            <w:r>
              <w:rPr>
                <w:rFonts w:ascii="Arial" w:cs="Arial" w:eastAsia="Arial" w:hAnsi="Arial"/>
                <w:sz w:val="29"/>
                <w:szCs w:val="29"/>
                <w:color w:val="auto"/>
                <w:highlight w:val="lightGray"/>
                <w:vertAlign w:val="subscript"/>
              </w:rPr>
              <w:t>​</w:t>
            </w:r>
            <w:r>
              <w:rPr>
                <w:rFonts w:ascii="Arial" w:cs="Arial" w:eastAsia="Arial" w:hAnsi="Arial"/>
                <w:sz w:val="16"/>
                <w:szCs w:val="16"/>
                <w:color w:val="auto"/>
                <w:highlight w:val="lightGray"/>
              </w:rPr>
              <w:t>$515,000</w:t>
            </w:r>
          </w:p>
        </w:tc>
        <w:tc>
          <w:tcPr>
            <w:tcW w:w="18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c>
          <w:tcPr>
            <w:tcW w:w="0" w:type="dxa"/>
            <w:vAlign w:val="bottom"/>
          </w:tcPr>
          <w:p>
            <w:pPr>
              <w:spacing w:after="0"/>
              <w:rPr>
                <w:sz w:val="1"/>
                <w:szCs w:val="1"/>
                <w:color w:val="auto"/>
              </w:rPr>
            </w:pPr>
          </w:p>
        </w:tc>
      </w:tr>
      <w:tr>
        <w:trPr>
          <w:trHeight w:val="257"/>
        </w:trPr>
        <w:tc>
          <w:tcPr>
            <w:tcW w:w="20" w:type="dxa"/>
            <w:vAlign w:val="bottom"/>
            <w:shd w:val="clear" w:color="auto" w:fill="3C5896"/>
          </w:tcPr>
          <w:p>
            <w:pPr>
              <w:spacing w:after="0"/>
              <w:rPr>
                <w:sz w:val="22"/>
                <w:szCs w:val="22"/>
                <w:color w:val="auto"/>
              </w:rPr>
            </w:pPr>
          </w:p>
        </w:tc>
        <w:tc>
          <w:tcPr>
            <w:tcW w:w="1440" w:type="dxa"/>
            <w:vAlign w:val="bottom"/>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Roger Francis</w:t>
            </w:r>
          </w:p>
        </w:tc>
        <w:tc>
          <w:tcPr>
            <w:tcW w:w="368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1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w:t>
            </w:r>
          </w:p>
        </w:tc>
        <w:tc>
          <w:tcPr>
            <w:tcW w:w="640" w:type="dxa"/>
            <w:vAlign w:val="bottom"/>
          </w:tcPr>
          <w:p>
            <w:pPr>
              <w:ind w:left="160"/>
              <w:spacing w:after="0"/>
              <w:rPr>
                <w:sz w:val="20"/>
                <w:szCs w:val="20"/>
                <w:color w:val="auto"/>
              </w:rPr>
            </w:pPr>
            <w:r>
              <w:rPr>
                <w:rFonts w:ascii="Arial" w:cs="Arial" w:eastAsia="Arial" w:hAnsi="Arial"/>
                <w:sz w:val="18"/>
                <w:szCs w:val="18"/>
                <w:color w:val="auto"/>
              </w:rPr>
              <w:t>N/A</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​N/A</w:t>
            </w: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$450,000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shd w:val="clear" w:color="auto" w:fill="3C5896"/>
          </w:tcPr>
          <w:p>
            <w:pPr>
              <w:spacing w:after="0"/>
              <w:rPr>
                <w:sz w:val="22"/>
                <w:szCs w:val="22"/>
                <w:color w:val="auto"/>
              </w:rPr>
            </w:pPr>
          </w:p>
        </w:tc>
        <w:tc>
          <w:tcPr>
            <w:tcW w:w="1440" w:type="dxa"/>
            <w:vAlign w:val="bottom"/>
            <w:shd w:val="clear" w:color="auto" w:fill="CCCCCC"/>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Jared Brandman</w:t>
            </w:r>
          </w:p>
        </w:tc>
        <w:tc>
          <w:tcPr>
            <w:tcW w:w="3680" w:type="dxa"/>
            <w:vAlign w:val="bottom"/>
            <w:shd w:val="clear" w:color="auto" w:fill="CCCCCC"/>
          </w:tcPr>
          <w:p>
            <w:pPr>
              <w:spacing w:after="0"/>
              <w:rPr>
                <w:sz w:val="22"/>
                <w:szCs w:val="22"/>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1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$350,000</w:t>
            </w:r>
          </w:p>
        </w:tc>
        <w:tc>
          <w:tcPr>
            <w:tcW w:w="240" w:type="dxa"/>
            <w:vAlign w:val="bottom"/>
          </w:tcPr>
          <w:p>
            <w:pPr>
              <w:ind w:lef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highlight w:val="lightGray"/>
              </w:rPr>
              <w:t>​​</w:t>
            </w:r>
          </w:p>
        </w:tc>
        <w:tc>
          <w:tcPr>
            <w:tcW w:w="920" w:type="dxa"/>
            <w:vAlign w:val="bottom"/>
          </w:tcPr>
          <w:p>
            <w:pPr>
              <w:ind w:left="260"/>
              <w:spacing w:after="0" w:line="256" w:lineRule="exact"/>
              <w:rPr>
                <w:sz w:val="20"/>
                <w:szCs w:val="20"/>
                <w:color w:val="auto"/>
              </w:rPr>
            </w:pPr>
            <w:r>
              <w:rPr>
                <w:rFonts w:ascii="Arial" w:cs="Arial" w:eastAsia="Arial" w:hAnsi="Arial"/>
                <w:sz w:val="29"/>
                <w:szCs w:val="29"/>
                <w:color w:val="auto"/>
                <w:highlight w:val="lightGray"/>
                <w:vertAlign w:val="subscript"/>
              </w:rPr>
              <w:t>​</w:t>
            </w:r>
            <w:r>
              <w:rPr>
                <w:rFonts w:ascii="Arial" w:cs="Arial" w:eastAsia="Arial" w:hAnsi="Arial"/>
                <w:sz w:val="16"/>
                <w:szCs w:val="16"/>
                <w:color w:val="auto"/>
                <w:highlight w:val="lightGray"/>
              </w:rPr>
              <w:t>​ 10%</w:t>
            </w:r>
          </w:p>
        </w:tc>
        <w:tc>
          <w:tcPr>
            <w:tcW w:w="80" w:type="dxa"/>
            <w:vAlign w:val="bottom"/>
          </w:tcPr>
          <w:p>
            <w:pPr>
              <w:spacing w:after="0"/>
              <w:rPr>
                <w:sz w:val="20"/>
                <w:szCs w:val="20"/>
                <w:color w:val="auto"/>
              </w:rPr>
            </w:pPr>
            <w:r>
              <w:rPr>
                <w:rFonts w:ascii="Arial" w:cs="Arial" w:eastAsia="Arial" w:hAnsi="Arial"/>
                <w:sz w:val="18"/>
                <w:szCs w:val="18"/>
                <w:color w:val="auto"/>
                <w:highlight w:val="lightGray"/>
              </w:rPr>
              <w:t>​</w:t>
            </w:r>
          </w:p>
        </w:tc>
        <w:tc>
          <w:tcPr>
            <w:tcW w:w="1160" w:type="dxa"/>
            <w:vAlign w:val="bottom"/>
            <w:gridSpan w:val="3"/>
          </w:tcPr>
          <w:p>
            <w:pPr>
              <w:jc w:val="right"/>
              <w:ind w:right="36"/>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 xml:space="preserve">  </w:t>
            </w:r>
            <w:r>
              <w:rPr>
                <w:rFonts w:ascii="Arial" w:cs="Arial" w:eastAsia="Arial" w:hAnsi="Arial"/>
                <w:sz w:val="29"/>
                <w:szCs w:val="29"/>
                <w:color w:val="auto"/>
                <w:highlight w:val="lightGray"/>
                <w:vertAlign w:val="subscript"/>
              </w:rPr>
              <w:t>​</w:t>
            </w:r>
            <w:r>
              <w:rPr>
                <w:rFonts w:ascii="Arial" w:cs="Arial" w:eastAsia="Arial" w:hAnsi="Arial"/>
                <w:sz w:val="16"/>
                <w:szCs w:val="16"/>
                <w:color w:val="auto"/>
                <w:highlight w:val="lightGray"/>
              </w:rPr>
              <w:t>$385,000</w:t>
            </w:r>
          </w:p>
        </w:tc>
        <w:tc>
          <w:tcPr>
            <w:tcW w:w="18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3C5896"/>
            </w:tcBorders>
            <w:shd w:val="clear" w:color="auto" w:fill="3C5896"/>
          </w:tcPr>
          <w:p>
            <w:pPr>
              <w:spacing w:after="0"/>
              <w:rPr>
                <w:sz w:val="21"/>
                <w:szCs w:val="21"/>
                <w:color w:val="auto"/>
              </w:rPr>
            </w:pPr>
          </w:p>
        </w:tc>
        <w:tc>
          <w:tcPr>
            <w:tcW w:w="1440" w:type="dxa"/>
            <w:vAlign w:val="bottom"/>
            <w:tcBorders>
              <w:bottom w:val="single" w:sz="8" w:color="3C5896"/>
            </w:tcBorders>
          </w:tcPr>
          <w:p>
            <w:pPr>
              <w:ind w:left="20"/>
              <w:spacing w:after="0"/>
              <w:rPr>
                <w:sz w:val="20"/>
                <w:szCs w:val="20"/>
                <w:color w:val="auto"/>
              </w:rPr>
            </w:pPr>
            <w:r>
              <w:rPr>
                <w:rFonts w:ascii="Arial" w:cs="Arial" w:eastAsia="Arial" w:hAnsi="Arial"/>
                <w:sz w:val="18"/>
                <w:szCs w:val="18"/>
                <w:color w:val="auto"/>
              </w:rPr>
              <w:t>​Bill Clark</w:t>
            </w:r>
          </w:p>
        </w:tc>
        <w:tc>
          <w:tcPr>
            <w:tcW w:w="3680" w:type="dxa"/>
            <w:vAlign w:val="bottom"/>
            <w:tcBorders>
              <w:bottom w:val="single" w:sz="8" w:color="3C5896"/>
            </w:tcBorders>
          </w:tcPr>
          <w:p>
            <w:pPr>
              <w:spacing w:after="0"/>
              <w:rPr>
                <w:sz w:val="21"/>
                <w:szCs w:val="21"/>
                <w:color w:val="auto"/>
              </w:rPr>
            </w:pPr>
          </w:p>
        </w:tc>
        <w:tc>
          <w:tcPr>
            <w:tcW w:w="240" w:type="dxa"/>
            <w:vAlign w:val="bottom"/>
            <w:tcBorders>
              <w:bottom w:val="single" w:sz="8" w:color="3C5896"/>
            </w:tcBorders>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3C5896"/>
            </w:tcBorders>
            <w:gridSpan w:val="2"/>
          </w:tcPr>
          <w:p>
            <w:pPr>
              <w:ind w:left="180"/>
              <w:spacing w:after="0"/>
              <w:rPr>
                <w:sz w:val="20"/>
                <w:szCs w:val="20"/>
                <w:color w:val="auto"/>
              </w:rPr>
            </w:pPr>
            <w:r>
              <w:rPr>
                <w:rFonts w:ascii="Arial" w:cs="Arial" w:eastAsia="Arial" w:hAnsi="Arial"/>
                <w:sz w:val="18"/>
                <w:szCs w:val="18"/>
                <w:color w:val="auto"/>
              </w:rPr>
              <w:t>​$350,000</w:t>
            </w:r>
          </w:p>
        </w:tc>
        <w:tc>
          <w:tcPr>
            <w:tcW w:w="360" w:type="dxa"/>
            <w:vAlign w:val="bottom"/>
            <w:tcBorders>
              <w:bottom w:val="single" w:sz="8" w:color="3C5896"/>
            </w:tcBorders>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3C5896"/>
            </w:tcBorders>
          </w:tcPr>
          <w:p>
            <w:pPr>
              <w:ind w:left="26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3C5896"/>
            </w:tcBorders>
            <w:gridSpan w:val="3"/>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3C5896"/>
            </w:tcBorders>
          </w:tcPr>
          <w:p>
            <w:pPr>
              <w:jc w:val="right"/>
              <w:ind w:right="36"/>
              <w:spacing w:after="0"/>
              <w:rPr>
                <w:sz w:val="20"/>
                <w:szCs w:val="20"/>
                <w:color w:val="auto"/>
              </w:rPr>
            </w:pPr>
            <w:r>
              <w:rPr>
                <w:rFonts w:ascii="Arial" w:cs="Arial" w:eastAsia="Arial" w:hAnsi="Arial"/>
                <w:sz w:val="18"/>
                <w:szCs w:val="18"/>
                <w:color w:val="auto"/>
              </w:rPr>
              <w:t>​$360,500</w:t>
            </w:r>
          </w:p>
        </w:tc>
        <w:tc>
          <w:tcPr>
            <w:tcW w:w="18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-650875</wp:posOffset>
            </wp:positionV>
            <wp:extent cx="100330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03300" cy="16319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-325120</wp:posOffset>
            </wp:positionV>
            <wp:extent cx="100330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03300" cy="162560"/>
                    </a:xfrm>
                    <a:prstGeom prst="rect">
                      <a:avLst/>
                    </a:prstGeom>
                    <a:noFill/>
                  </pic:spPr>
                </pic:pic>
              </a:graphicData>
            </a:graphic>
          </wp:anchor>
        </w:drawing>
        <w:drawing>
          <wp:anchor simplePos="0" relativeHeight="251657728" behindDoc="1" locked="0" layoutInCell="0" allowOverlap="1">
            <wp:simplePos x="0" y="0"/>
            <wp:positionH relativeFrom="column">
              <wp:posOffset>6311900</wp:posOffset>
            </wp:positionH>
            <wp:positionV relativeFrom="paragraph">
              <wp:posOffset>-814070</wp:posOffset>
            </wp:positionV>
            <wp:extent cx="8255" cy="814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14705"/>
                    </a:xfrm>
                    <a:prstGeom prst="rect">
                      <a:avLst/>
                    </a:prstGeom>
                    <a:noFill/>
                  </pic:spPr>
                </pic:pic>
              </a:graphicData>
            </a:graphic>
          </wp:anchor>
        </w:drawing>
      </w:r>
    </w:p>
    <w:p>
      <w:pPr>
        <w:spacing w:after="0" w:line="17" w:lineRule="exact"/>
        <w:rPr>
          <w:sz w:val="20"/>
          <w:szCs w:val="20"/>
          <w:color w:val="auto"/>
        </w:rPr>
      </w:pPr>
    </w:p>
    <w:p>
      <w:pPr>
        <w:jc w:val="both"/>
        <w:ind w:left="1120" w:right="20" w:hanging="358"/>
        <w:spacing w:after="0" w:line="273" w:lineRule="auto"/>
        <w:tabs>
          <w:tab w:leader="none" w:pos="11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 February 2021, the compensation committee approved adjustments to the base salaries of Messrs. Fahs, Moore, Brandman, and Clark, which were effective in April 2021. As reflected in the table above, the compensation committee approved a salary of $450,000 for Mr. Francis when he joined the Company in May 2021.</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Annual Cash Incentive Program—Short Term Incentive Plan (STIP)</w:t>
      </w:r>
    </w:p>
    <w:p>
      <w:pPr>
        <w:spacing w:after="0" w:line="11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In fiscal year 2021, our executives participated in the STIP, which is our annual cash incentive program. The primary purpose of the STIP is to focus management on key measures that drive financial performance and to provide competitive bonus opportunities tied to the achievement of our annual financial and strategic growth objectives. We believe that tying NEO bonuses to Company performance goals encourages collaboration across the executive leadership team.</w:t>
      </w:r>
    </w:p>
    <w:p>
      <w:pPr>
        <w:spacing w:after="0" w:line="71"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For fiscal 2021, the compensation committee approved a new performance metric for the STIP awards under the 2017 Omnibus Plan. For fiscal 2021, STIP awards were based on achievement of a STIP Adjusted Operating Income goal (as defined on Appendix A) instead of STIP Adjusted EBITDA, the metric used in prior years. The compensation committee moved to Adjusted Operating Income as the performance metric for the 2021 STIP awards following the introduction of this non-GAAP measure in our Fiscal 2020 Outlook as it is a common profitability measure for companies and injects heightened accountability for our executive officers for sound investment decisions and returns on those investments.</w:t>
      </w:r>
    </w:p>
    <w:p>
      <w:pPr>
        <w:spacing w:after="0" w:line="75"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compensation committee approved the STIP design, targets and STIP Adjusted Operating Income goal in February 2021 as part of the annual compensation setting process. Each NEO’s target annual bonus under the STIP is expressed as a percentage of base salary with the payouts ranging from 50% to 200% for 2021. Actual STIP award payouts were calculated by multiplying each NEO’s target bonus percentage by the payout percentage. For 2021, the STIP included threshold, target, and maximum levels of performance and corresponding payouts. Awards could be earned at more or less than target based on the pre-established scale set forth in the following table below. For performance percentages between the specified threshold, target, and maximum levels, payouts were interpolated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86360</wp:posOffset>
            </wp:positionV>
            <wp:extent cx="2905760" cy="11226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905760" cy="112268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86360</wp:posOffset>
            </wp:positionV>
            <wp:extent cx="34290" cy="4457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45770"/>
                    </a:xfrm>
                    <a:prstGeom prst="rect">
                      <a:avLst/>
                    </a:prstGeom>
                    <a:noFill/>
                  </pic:spPr>
                </pic:pic>
              </a:graphicData>
            </a:graphic>
          </wp:anchor>
        </w:drawing>
      </w:r>
    </w:p>
    <w:p>
      <w:pPr>
        <w:spacing w:after="0" w:line="96"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20" w:type="dxa"/>
            <w:vAlign w:val="bottom"/>
            <w:tcBorders>
              <w:top w:val="single" w:sz="8" w:color="3C5896"/>
            </w:tcBorders>
          </w:tcPr>
          <w:p>
            <w:pPr>
              <w:spacing w:after="0"/>
              <w:rPr>
                <w:sz w:val="19"/>
                <w:szCs w:val="19"/>
                <w:color w:val="auto"/>
              </w:rPr>
            </w:pPr>
          </w:p>
        </w:tc>
        <w:tc>
          <w:tcPr>
            <w:tcW w:w="4600" w:type="dxa"/>
            <w:vAlign w:val="bottom"/>
            <w:tcBorders>
              <w:top w:val="single" w:sz="8" w:color="3C5896"/>
            </w:tcBorders>
            <w:shd w:val="clear" w:color="auto" w:fill="3C5896"/>
          </w:tcPr>
          <w:p>
            <w:pPr>
              <w:spacing w:after="0"/>
              <w:rPr>
                <w:sz w:val="19"/>
                <w:szCs w:val="19"/>
                <w:color w:val="auto"/>
              </w:rPr>
            </w:pPr>
          </w:p>
        </w:tc>
        <w:tc>
          <w:tcPr>
            <w:tcW w:w="20" w:type="dxa"/>
            <w:vAlign w:val="bottom"/>
            <w:tcBorders>
              <w:top w:val="single" w:sz="8" w:color="3C5896"/>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3C5896"/>
            </w:tcBorders>
          </w:tcPr>
          <w:p>
            <w:pPr>
              <w:spacing w:after="0"/>
              <w:rPr>
                <w:sz w:val="19"/>
                <w:szCs w:val="19"/>
                <w:color w:val="auto"/>
              </w:rPr>
            </w:pPr>
          </w:p>
        </w:tc>
        <w:tc>
          <w:tcPr>
            <w:tcW w:w="2360" w:type="dxa"/>
            <w:vAlign w:val="bottom"/>
            <w:tcBorders>
              <w:top w:val="single" w:sz="8" w:color="3C5896"/>
            </w:tcBorders>
          </w:tcPr>
          <w:p>
            <w:pPr>
              <w:jc w:val="center"/>
              <w:spacing w:after="0"/>
              <w:rPr>
                <w:sz w:val="20"/>
                <w:szCs w:val="20"/>
                <w:color w:val="auto"/>
              </w:rPr>
            </w:pPr>
            <w:r>
              <w:rPr>
                <w:rFonts w:ascii="Arial" w:cs="Arial" w:eastAsia="Arial" w:hAnsi="Arial"/>
                <w:sz w:val="18"/>
                <w:szCs w:val="18"/>
                <w:b w:val="1"/>
                <w:bCs w:val="1"/>
                <w:color w:val="FFFFFF"/>
                <w:w w:val="99"/>
              </w:rPr>
              <w:t>STIP Adjusted Operating</w:t>
            </w:r>
          </w:p>
        </w:tc>
        <w:tc>
          <w:tcPr>
            <w:tcW w:w="180" w:type="dxa"/>
            <w:vAlign w:val="bottom"/>
            <w:tcBorders>
              <w:top w:val="single" w:sz="8" w:color="3C5896"/>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3C5896"/>
            </w:tcBorders>
          </w:tcPr>
          <w:p>
            <w:pPr>
              <w:spacing w:after="0"/>
              <w:rPr>
                <w:sz w:val="19"/>
                <w:szCs w:val="19"/>
                <w:color w:val="auto"/>
              </w:rPr>
            </w:pPr>
          </w:p>
        </w:tc>
        <w:tc>
          <w:tcPr>
            <w:tcW w:w="1400" w:type="dxa"/>
            <w:vAlign w:val="bottom"/>
            <w:tcBorders>
              <w:top w:val="single" w:sz="8" w:color="3C5896"/>
            </w:tcBorders>
          </w:tcPr>
          <w:p>
            <w:pPr>
              <w:spacing w:after="0"/>
              <w:rPr>
                <w:sz w:val="19"/>
                <w:szCs w:val="19"/>
                <w:color w:val="auto"/>
              </w:rPr>
            </w:pPr>
          </w:p>
        </w:tc>
        <w:tc>
          <w:tcPr>
            <w:tcW w:w="240" w:type="dxa"/>
            <w:vAlign w:val="bottom"/>
            <w:tcBorders>
              <w:top w:val="single" w:sz="8" w:color="3C5896"/>
            </w:tcBorders>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4600" w:type="dxa"/>
            <w:vAlign w:val="bottom"/>
            <w:shd w:val="clear" w:color="auto" w:fill="3C5896"/>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center"/>
              <w:spacing w:after="0" w:line="221" w:lineRule="exact"/>
              <w:rPr>
                <w:sz w:val="20"/>
                <w:szCs w:val="20"/>
                <w:color w:val="auto"/>
              </w:rPr>
            </w:pPr>
            <w:r>
              <w:rPr>
                <w:rFonts w:ascii="Arial" w:cs="Arial" w:eastAsia="Arial" w:hAnsi="Arial"/>
                <w:sz w:val="18"/>
                <w:szCs w:val="18"/>
                <w:b w:val="1"/>
                <w:bCs w:val="1"/>
                <w:color w:val="FFFFFF"/>
                <w:w w:val="92"/>
              </w:rPr>
              <w:t>Income</w:t>
            </w:r>
            <w:r>
              <w:rPr>
                <w:rFonts w:ascii="Arial" w:cs="Arial" w:eastAsia="Arial" w:hAnsi="Arial"/>
                <w:sz w:val="23"/>
                <w:szCs w:val="23"/>
                <w:b w:val="1"/>
                <w:bCs w:val="1"/>
                <w:color w:val="FFFFFF"/>
                <w:w w:val="92"/>
                <w:vertAlign w:val="superscript"/>
              </w:rPr>
              <w:t>(1)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ind w:left="380"/>
              <w:spacing w:after="0"/>
              <w:rPr>
                <w:sz w:val="20"/>
                <w:szCs w:val="20"/>
                <w:color w:val="auto"/>
              </w:rPr>
            </w:pPr>
            <w:r>
              <w:rPr>
                <w:rFonts w:ascii="Arial" w:cs="Arial" w:eastAsia="Arial" w:hAnsi="Arial"/>
                <w:sz w:val="18"/>
                <w:szCs w:val="18"/>
                <w:b w:val="1"/>
                <w:bCs w:val="1"/>
                <w:color w:val="FFFFFF"/>
              </w:rPr>
              <w:t>Payout</w:t>
            </w:r>
          </w:p>
        </w:tc>
        <w:tc>
          <w:tcPr>
            <w:tcW w:w="240" w:type="dxa"/>
            <w:vAlign w:val="bottom"/>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460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180" w:type="dxa"/>
            <w:vAlign w:val="bottom"/>
            <w:gridSpan w:val="3"/>
          </w:tcPr>
          <w:p>
            <w:pPr>
              <w:spacing w:after="0"/>
              <w:rPr>
                <w:sz w:val="20"/>
                <w:szCs w:val="20"/>
                <w:color w:val="auto"/>
              </w:rPr>
            </w:pPr>
            <w:r>
              <w:rPr>
                <w:rFonts w:ascii="Arial" w:cs="Arial" w:eastAsia="Arial" w:hAnsi="Arial"/>
                <w:sz w:val="18"/>
                <w:szCs w:val="18"/>
                <w:b w:val="1"/>
                <w:bCs w:val="1"/>
                <w:color w:val="FFFFFF"/>
              </w:rPr>
              <w:t>​​</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FFFFFF"/>
                <w:w w:val="99"/>
              </w:rPr>
              <w:t>($million)</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FFFFFF"/>
              </w:rPr>
              <w:t>​​</w:t>
            </w:r>
          </w:p>
        </w:tc>
        <w:tc>
          <w:tcPr>
            <w:tcW w:w="1400" w:type="dxa"/>
            <w:vAlign w:val="bottom"/>
          </w:tcPr>
          <w:p>
            <w:pPr>
              <w:ind w:left="160"/>
              <w:spacing w:after="0"/>
              <w:rPr>
                <w:sz w:val="20"/>
                <w:szCs w:val="20"/>
                <w:color w:val="auto"/>
              </w:rPr>
            </w:pPr>
            <w:r>
              <w:rPr>
                <w:rFonts w:ascii="Arial" w:cs="Arial" w:eastAsia="Arial" w:hAnsi="Arial"/>
                <w:sz w:val="18"/>
                <w:szCs w:val="18"/>
                <w:b w:val="1"/>
                <w:bCs w:val="1"/>
                <w:color w:val="FFFFFF"/>
              </w:rPr>
              <w:t>(% of Target)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FFFFFF"/>
              </w:rPr>
              <w:t>​</w:t>
            </w:r>
          </w:p>
        </w:tc>
      </w:tr>
      <w:tr>
        <w:trPr>
          <w:trHeight w:val="257"/>
        </w:trPr>
        <w:tc>
          <w:tcPr>
            <w:tcW w:w="20" w:type="dxa"/>
            <w:vAlign w:val="bottom"/>
            <w:shd w:val="clear" w:color="auto" w:fill="3C5896"/>
          </w:tcPr>
          <w:p>
            <w:pPr>
              <w:spacing w:after="0"/>
              <w:rPr>
                <w:sz w:val="22"/>
                <w:szCs w:val="22"/>
                <w:color w:val="auto"/>
              </w:rPr>
            </w:pPr>
          </w:p>
        </w:tc>
        <w:tc>
          <w:tcPr>
            <w:tcW w:w="4600" w:type="dxa"/>
            <w:vAlign w:val="bottom"/>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b w:val="1"/>
                <w:bCs w:val="1"/>
                <w:color w:val="auto"/>
              </w:rPr>
              <w:t>Maximum</w:t>
            </w:r>
          </w:p>
        </w:tc>
        <w:tc>
          <w:tcPr>
            <w:tcW w:w="180" w:type="dxa"/>
            <w:vAlign w:val="bottom"/>
            <w:gridSpan w:val="3"/>
          </w:tcPr>
          <w:p>
            <w:pPr>
              <w:spacing w:after="0"/>
              <w:rPr>
                <w:sz w:val="20"/>
                <w:szCs w:val="20"/>
                <w:color w:val="auto"/>
              </w:rPr>
            </w:pPr>
            <w:r>
              <w:rPr>
                <w:rFonts w:ascii="Arial" w:cs="Arial" w:eastAsia="Arial" w:hAnsi="Arial"/>
                <w:sz w:val="18"/>
                <w:szCs w:val="18"/>
                <w:color w:val="auto"/>
              </w:rPr>
              <w:t>​​</w:t>
            </w:r>
          </w:p>
        </w:tc>
        <w:tc>
          <w:tcPr>
            <w:tcW w:w="236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$175.2</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ind w:left="540"/>
              <w:spacing w:after="0"/>
              <w:rPr>
                <w:sz w:val="20"/>
                <w:szCs w:val="20"/>
                <w:color w:val="auto"/>
              </w:rPr>
            </w:pPr>
            <w:r>
              <w:rPr>
                <w:rFonts w:ascii="Arial" w:cs="Arial" w:eastAsia="Arial" w:hAnsi="Arial"/>
                <w:sz w:val="18"/>
                <w:szCs w:val="18"/>
                <w:color w:val="auto"/>
              </w:rPr>
              <w:t>​200%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3C5896"/>
          </w:tcPr>
          <w:p>
            <w:pPr>
              <w:spacing w:after="0"/>
              <w:rPr>
                <w:sz w:val="23"/>
                <w:szCs w:val="23"/>
                <w:color w:val="auto"/>
              </w:rPr>
            </w:pPr>
          </w:p>
        </w:tc>
        <w:tc>
          <w:tcPr>
            <w:tcW w:w="4600" w:type="dxa"/>
            <w:vAlign w:val="bottom"/>
            <w:shd w:val="clear" w:color="auto" w:fill="CCCCCC"/>
          </w:tcPr>
          <w:p>
            <w:pPr>
              <w:ind w:lef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b w:val="1"/>
                <w:bCs w:val="1"/>
                <w:color w:val="auto"/>
              </w:rPr>
              <w:t>Target</w:t>
            </w:r>
          </w:p>
        </w:tc>
        <w:tc>
          <w:tcPr>
            <w:tcW w:w="180" w:type="dxa"/>
            <w:vAlign w:val="bottom"/>
            <w:gridSpan w:val="3"/>
          </w:tcPr>
          <w:p>
            <w:pPr>
              <w:spacing w:after="0"/>
              <w:rPr>
                <w:sz w:val="20"/>
                <w:szCs w:val="20"/>
                <w:color w:val="auto"/>
              </w:rPr>
            </w:pPr>
            <w:r>
              <w:rPr>
                <w:rFonts w:ascii="Arial" w:cs="Arial" w:eastAsia="Arial" w:hAnsi="Arial"/>
                <w:sz w:val="18"/>
                <w:szCs w:val="18"/>
                <w:color w:val="auto"/>
              </w:rPr>
              <w:t>​​</w:t>
            </w:r>
          </w:p>
        </w:tc>
        <w:tc>
          <w:tcPr>
            <w:tcW w:w="2360" w:type="dxa"/>
            <w:vAlign w:val="bottom"/>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$159.3</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ind w:left="540"/>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3C5896"/>
          </w:tcPr>
          <w:p>
            <w:pPr>
              <w:spacing w:after="0"/>
              <w:rPr>
                <w:sz w:val="23"/>
                <w:szCs w:val="23"/>
                <w:color w:val="auto"/>
              </w:rPr>
            </w:pPr>
          </w:p>
        </w:tc>
        <w:tc>
          <w:tcPr>
            <w:tcW w:w="4600" w:type="dxa"/>
            <w:vAlign w:val="bottom"/>
          </w:tcPr>
          <w:p>
            <w:pPr>
              <w:ind w:left="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b w:val="1"/>
                <w:bCs w:val="1"/>
                <w:color w:val="auto"/>
              </w:rPr>
              <w:t>Threshold</w:t>
            </w:r>
          </w:p>
        </w:tc>
        <w:tc>
          <w:tcPr>
            <w:tcW w:w="180" w:type="dxa"/>
            <w:vAlign w:val="bottom"/>
            <w:gridSpan w:val="3"/>
          </w:tcPr>
          <w:p>
            <w:pPr>
              <w:spacing w:after="0"/>
              <w:rPr>
                <w:sz w:val="20"/>
                <w:szCs w:val="20"/>
                <w:color w:val="auto"/>
              </w:rPr>
            </w:pPr>
            <w:r>
              <w:rPr>
                <w:rFonts w:ascii="Arial" w:cs="Arial" w:eastAsia="Arial" w:hAnsi="Arial"/>
                <w:sz w:val="18"/>
                <w:szCs w:val="18"/>
                <w:color w:val="auto"/>
              </w:rPr>
              <w:t>​​</w:t>
            </w:r>
          </w:p>
        </w:tc>
        <w:tc>
          <w:tcPr>
            <w:tcW w:w="2360" w:type="dxa"/>
            <w:vAlign w:val="bottom"/>
          </w:tcPr>
          <w:p>
            <w:pPr>
              <w:jc w:val="cente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$143.4</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ind w:left="540"/>
              <w:spacing w:after="0"/>
              <w:rPr>
                <w:sz w:val="20"/>
                <w:szCs w:val="20"/>
                <w:color w:val="auto"/>
              </w:rPr>
            </w:pPr>
            <w:r>
              <w:rPr>
                <w:rFonts w:ascii="Arial" w:cs="Arial" w:eastAsia="Arial" w:hAnsi="Arial"/>
                <w:sz w:val="18"/>
                <w:szCs w:val="18"/>
                <w:color w:val="auto"/>
              </w:rPr>
              <w:t>​ 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Borders>
              <w:bottom w:val="single" w:sz="8" w:color="3C5896"/>
            </w:tcBorders>
            <w:shd w:val="clear" w:color="auto" w:fill="3C5896"/>
          </w:tcPr>
          <w:p>
            <w:pPr>
              <w:spacing w:after="0"/>
              <w:rPr>
                <w:sz w:val="23"/>
                <w:szCs w:val="23"/>
                <w:color w:val="auto"/>
              </w:rPr>
            </w:pPr>
          </w:p>
        </w:tc>
        <w:tc>
          <w:tcPr>
            <w:tcW w:w="4600" w:type="dxa"/>
            <w:vAlign w:val="bottom"/>
            <w:tcBorders>
              <w:bottom w:val="single" w:sz="8" w:color="3C5896"/>
            </w:tcBorders>
            <w:shd w:val="clear" w:color="auto" w:fill="CCCCCC"/>
          </w:tcPr>
          <w:p>
            <w:pPr>
              <w:ind w:left="20"/>
              <w:spacing w:after="0"/>
              <w:rPr>
                <w:sz w:val="20"/>
                <w:szCs w:val="20"/>
                <w:color w:val="auto"/>
              </w:rPr>
            </w:pPr>
            <w:r>
              <w:rPr>
                <w:rFonts w:ascii="Arial" w:cs="Arial" w:eastAsia="Arial" w:hAnsi="Arial"/>
                <w:sz w:val="18"/>
                <w:szCs w:val="18"/>
                <w:color w:val="auto"/>
              </w:rPr>
              <w:t>​Actual</w:t>
            </w:r>
          </w:p>
        </w:tc>
        <w:tc>
          <w:tcPr>
            <w:tcW w:w="180" w:type="dxa"/>
            <w:vAlign w:val="bottom"/>
            <w:tcBorders>
              <w:bottom w:val="single" w:sz="8" w:color="3C5896"/>
            </w:tcBorders>
            <w:gridSpan w:val="3"/>
          </w:tcPr>
          <w:p>
            <w:pPr>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3C5896"/>
            </w:tcBorders>
          </w:tcPr>
          <w:p>
            <w:pPr>
              <w:jc w:val="center"/>
              <w:spacing w:after="0"/>
              <w:rPr>
                <w:sz w:val="20"/>
                <w:szCs w:val="20"/>
                <w:color w:val="auto"/>
              </w:rPr>
            </w:pPr>
            <w:r>
              <w:rPr>
                <w:rFonts w:ascii="Arial" w:cs="Arial" w:eastAsia="Arial" w:hAnsi="Arial"/>
                <w:sz w:val="18"/>
                <w:szCs w:val="18"/>
                <w:color w:val="auto"/>
              </w:rPr>
              <w:t>​$223.0</w:t>
            </w:r>
          </w:p>
        </w:tc>
        <w:tc>
          <w:tcPr>
            <w:tcW w:w="400" w:type="dxa"/>
            <w:vAlign w:val="bottom"/>
            <w:tcBorders>
              <w:bottom w:val="single" w:sz="8" w:color="3C5896"/>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3C5896"/>
            </w:tcBorders>
          </w:tcPr>
          <w:p>
            <w:pPr>
              <w:ind w:left="540"/>
              <w:spacing w:after="0"/>
              <w:rPr>
                <w:sz w:val="20"/>
                <w:szCs w:val="20"/>
                <w:color w:val="auto"/>
              </w:rPr>
            </w:pPr>
            <w:r>
              <w:rPr>
                <w:rFonts w:ascii="Arial" w:cs="Arial" w:eastAsia="Arial" w:hAnsi="Arial"/>
                <w:sz w:val="18"/>
                <w:szCs w:val="18"/>
                <w:b w:val="1"/>
                <w:bCs w:val="1"/>
                <w:color w:val="auto"/>
              </w:rPr>
              <w:t>​200%</w:t>
            </w:r>
          </w:p>
        </w:tc>
        <w:tc>
          <w:tcPr>
            <w:tcW w:w="24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-685165</wp:posOffset>
            </wp:positionV>
            <wp:extent cx="2897505" cy="685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97505" cy="685800"/>
                    </a:xfrm>
                    <a:prstGeom prst="rect">
                      <a:avLst/>
                    </a:prstGeom>
                    <a:noFill/>
                  </pic:spPr>
                </pic:pic>
              </a:graphicData>
            </a:graphic>
          </wp:anchor>
        </w:drawing>
      </w:r>
    </w:p>
    <w:p>
      <w:pPr>
        <w:spacing w:after="0" w:line="17" w:lineRule="exact"/>
        <w:rPr>
          <w:sz w:val="20"/>
          <w:szCs w:val="20"/>
          <w:color w:val="auto"/>
        </w:rPr>
      </w:pPr>
    </w:p>
    <w:p>
      <w:pPr>
        <w:ind w:left="1120" w:right="20" w:hanging="358"/>
        <w:spacing w:after="0" w:line="301" w:lineRule="auto"/>
        <w:tabs>
          <w:tab w:leader="none" w:pos="11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See Appendix A to this proxy statement for an explanation of STIP Adjusted Operating Income and a reconciliation to the most directly comparable GAAP measure.</w:t>
      </w:r>
    </w:p>
    <w:p>
      <w:pPr>
        <w:spacing w:after="0" w:line="200" w:lineRule="exact"/>
        <w:rPr>
          <w:sz w:val="20"/>
          <w:szCs w:val="20"/>
          <w:color w:val="auto"/>
        </w:rPr>
      </w:pPr>
    </w:p>
    <w:p>
      <w:pPr>
        <w:spacing w:after="0" w:line="201"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jc w:val="both"/>
        <w:ind w:left="760" w:right="760"/>
        <w:spacing w:after="0" w:line="259" w:lineRule="auto"/>
        <w:rPr>
          <w:sz w:val="20"/>
          <w:szCs w:val="20"/>
          <w:color w:val="auto"/>
        </w:rPr>
      </w:pPr>
      <w:r>
        <w:rPr>
          <w:rFonts w:ascii="Arial" w:cs="Arial" w:eastAsia="Arial" w:hAnsi="Arial"/>
          <w:sz w:val="18"/>
          <w:szCs w:val="18"/>
          <w:color w:val="auto"/>
        </w:rPr>
        <w:t>For fiscal 2021, the Company’s STIP Adjusted Operating Income achieved was $223 million, resulting in a formulaic payout percentage of 200%. Pursuant to the STIP, the compensation committee has the ability to exercise positive or negative discretion and award a greater or lesser amount to our NEOs than the amount determined by the scale above if it determines that circumstances so warrant. The compensation committee did not exercise any discretion in the determination of our 2021 STIP awards for our NEOs.</w:t>
      </w:r>
    </w:p>
    <w:p>
      <w:pPr>
        <w:spacing w:after="0" w:line="71" w:lineRule="exact"/>
        <w:rPr>
          <w:sz w:val="20"/>
          <w:szCs w:val="20"/>
          <w:color w:val="auto"/>
        </w:rPr>
      </w:pPr>
    </w:p>
    <w:p>
      <w:pPr>
        <w:jc w:val="both"/>
        <w:ind w:left="760" w:right="760"/>
        <w:spacing w:after="0" w:line="287" w:lineRule="auto"/>
        <w:rPr>
          <w:sz w:val="20"/>
          <w:szCs w:val="20"/>
          <w:color w:val="auto"/>
        </w:rPr>
      </w:pPr>
      <w:r>
        <w:rPr>
          <w:rFonts w:ascii="Arial" w:cs="Arial" w:eastAsia="Arial" w:hAnsi="Arial"/>
          <w:sz w:val="18"/>
          <w:szCs w:val="18"/>
          <w:color w:val="auto"/>
        </w:rPr>
        <w:t>The NEOs earned STIP awards for fiscal 2021 as follows, which are included in the “Non-Equity Incentive Plan Compensation” column of the “Summary Compensation Table” later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66040</wp:posOffset>
            </wp:positionV>
            <wp:extent cx="5837555" cy="13716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37555" cy="137160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0" w:right="340" w:hanging="4"/>
        <w:spacing w:after="0" w:line="214" w:lineRule="auto"/>
        <w:tabs>
          <w:tab w:leader="none" w:pos="1871" w:val="left"/>
        </w:tabs>
        <w:numPr>
          <w:ilvl w:val="0"/>
          <w:numId w:val="29"/>
        </w:numPr>
        <w:rPr>
          <w:rFonts w:ascii="Arial" w:cs="Arial" w:eastAsia="Arial" w:hAnsi="Arial"/>
          <w:sz w:val="18"/>
          <w:szCs w:val="18"/>
          <w:b w:val="1"/>
          <w:bCs w:val="1"/>
          <w:color w:val="FFFFFF"/>
        </w:rPr>
      </w:pPr>
      <w:r>
        <w:rPr>
          <w:rFonts w:ascii="Arial" w:cs="Arial" w:eastAsia="Arial" w:hAnsi="Arial"/>
          <w:sz w:val="18"/>
          <w:szCs w:val="18"/>
          <w:b w:val="1"/>
          <w:bCs w:val="1"/>
          <w:color w:val="FFFFFF"/>
        </w:rPr>
        <w:t xml:space="preserve">Named Executive Officer </w:t>
      </w:r>
      <w:r>
        <w:rPr>
          <w:rFonts w:ascii="Arial" w:cs="Arial" w:eastAsia="Arial" w:hAnsi="Arial"/>
          <w:sz w:val="35"/>
          <w:szCs w:val="35"/>
          <w:color w:val="000000"/>
          <w:vertAlign w:val="subscript"/>
        </w:rPr>
        <w:t>​</w:t>
      </w:r>
      <w:r>
        <w:rPr>
          <w:rFonts w:ascii="Arial" w:cs="Arial" w:eastAsia="Arial" w:hAnsi="Arial"/>
          <w:sz w:val="18"/>
          <w:szCs w:val="18"/>
          <w:color w:val="000000"/>
        </w:rPr>
        <w:t>L. Reade Fahs</w:t>
      </w:r>
    </w:p>
    <w:p>
      <w:pPr>
        <w:spacing w:after="0" w:line="1" w:lineRule="exact"/>
        <w:rPr>
          <w:rFonts w:ascii="Arial" w:cs="Arial" w:eastAsia="Arial" w:hAnsi="Arial"/>
          <w:sz w:val="18"/>
          <w:szCs w:val="18"/>
          <w:b w:val="1"/>
          <w:bCs w:val="1"/>
          <w:color w:val="FFFFFF"/>
        </w:rPr>
      </w:pPr>
    </w:p>
    <w:p>
      <w:pPr>
        <w:ind w:left="800" w:right="2180"/>
        <w:spacing w:after="0" w:line="183" w:lineRule="auto"/>
        <w:rPr>
          <w:rFonts w:ascii="Arial" w:cs="Arial" w:eastAsia="Arial" w:hAnsi="Arial"/>
          <w:sz w:val="18"/>
          <w:szCs w:val="18"/>
          <w:b w:val="1"/>
          <w:bCs w:val="1"/>
          <w:color w:val="FFFFFF"/>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Patrick R. Moore </w:t>
      </w:r>
      <w:r>
        <w:rPr>
          <w:rFonts w:ascii="Arial" w:cs="Arial" w:eastAsia="Arial" w:hAnsi="Arial"/>
          <w:sz w:val="33"/>
          <w:szCs w:val="33"/>
          <w:color w:val="auto"/>
          <w:vertAlign w:val="subscript"/>
        </w:rPr>
        <w:t>​</w:t>
      </w:r>
      <w:r>
        <w:rPr>
          <w:rFonts w:ascii="Arial" w:cs="Arial" w:eastAsia="Arial" w:hAnsi="Arial"/>
          <w:sz w:val="17"/>
          <w:szCs w:val="17"/>
          <w:color w:val="auto"/>
        </w:rPr>
        <w:t xml:space="preserve">Roger Francis </w:t>
      </w:r>
      <w:r>
        <w:rPr>
          <w:rFonts w:ascii="Arial" w:cs="Arial" w:eastAsia="Arial" w:hAnsi="Arial"/>
          <w:sz w:val="33"/>
          <w:szCs w:val="33"/>
          <w:color w:val="auto"/>
          <w:vertAlign w:val="subscript"/>
        </w:rPr>
        <w:t>​</w:t>
      </w:r>
      <w:r>
        <w:rPr>
          <w:rFonts w:ascii="Arial" w:cs="Arial" w:eastAsia="Arial" w:hAnsi="Arial"/>
          <w:sz w:val="17"/>
          <w:szCs w:val="17"/>
          <w:color w:val="auto"/>
        </w:rPr>
        <w:t>Jared Brandman ​Bill Clark</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80" w:type="dxa"/>
            <w:vAlign w:val="bottom"/>
          </w:tcPr>
          <w:p>
            <w:pPr>
              <w:spacing w:after="0"/>
              <w:rPr>
                <w:sz w:val="18"/>
                <w:szCs w:val="18"/>
                <w:color w:val="auto"/>
              </w:rPr>
            </w:pPr>
          </w:p>
        </w:tc>
        <w:tc>
          <w:tcPr>
            <w:tcW w:w="960" w:type="dxa"/>
            <w:vAlign w:val="bottom"/>
          </w:tcPr>
          <w:p>
            <w:pPr>
              <w:jc w:val="center"/>
              <w:ind w:right="34"/>
              <w:spacing w:after="0"/>
              <w:rPr>
                <w:sz w:val="20"/>
                <w:szCs w:val="20"/>
                <w:color w:val="auto"/>
              </w:rPr>
            </w:pPr>
            <w:r>
              <w:rPr>
                <w:rFonts w:ascii="Arial" w:cs="Arial" w:eastAsia="Arial" w:hAnsi="Arial"/>
                <w:sz w:val="18"/>
                <w:szCs w:val="18"/>
                <w:b w:val="1"/>
                <w:bCs w:val="1"/>
                <w:color w:val="FFFFFF"/>
                <w:w w:val="99"/>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FFFFFF"/>
                <w:w w:val="99"/>
              </w:rPr>
              <w:t>Target STIP</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FFFFFF"/>
                <w:w w:val="99"/>
              </w:rPr>
              <w:t>Achievement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11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9"/>
              </w:rPr>
              <w:t>Base Salary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7"/>
              </w:rPr>
              <w:t>(as a</w:t>
            </w:r>
          </w:p>
        </w:tc>
        <w:tc>
          <w:tcPr>
            <w:tcW w:w="16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8"/>
              </w:rPr>
              <w:t>Factor (as a</w:t>
            </w:r>
          </w:p>
        </w:tc>
        <w:tc>
          <w:tcPr>
            <w:tcW w:w="1140" w:type="dxa"/>
            <w:vAlign w:val="bottom"/>
            <w:gridSpan w:val="2"/>
          </w:tcPr>
          <w:p>
            <w:pPr>
              <w:jc w:val="right"/>
              <w:ind w:right="36"/>
              <w:spacing w:after="0" w:line="202" w:lineRule="exact"/>
              <w:rPr>
                <w:sz w:val="20"/>
                <w:szCs w:val="20"/>
                <w:color w:val="auto"/>
              </w:rPr>
            </w:pPr>
            <w:r>
              <w:rPr>
                <w:rFonts w:ascii="Arial" w:cs="Arial" w:eastAsia="Arial" w:hAnsi="Arial"/>
                <w:sz w:val="18"/>
                <w:szCs w:val="18"/>
                <w:b w:val="1"/>
                <w:bCs w:val="1"/>
                <w:color w:val="FFFFFF"/>
              </w:rPr>
              <w:t>Final STIP</w:t>
            </w:r>
          </w:p>
        </w:tc>
      </w:tr>
      <w:tr>
        <w:trPr>
          <w:trHeight w:val="203"/>
        </w:trPr>
        <w:tc>
          <w:tcPr>
            <w:tcW w:w="180" w:type="dxa"/>
            <w:vAlign w:val="bottom"/>
          </w:tcPr>
          <w:p>
            <w:pPr>
              <w:spacing w:after="0"/>
              <w:rPr>
                <w:sz w:val="17"/>
                <w:szCs w:val="17"/>
                <w:color w:val="auto"/>
              </w:rPr>
            </w:pPr>
          </w:p>
        </w:tc>
        <w:tc>
          <w:tcPr>
            <w:tcW w:w="960" w:type="dxa"/>
            <w:vAlign w:val="bottom"/>
          </w:tcPr>
          <w:p>
            <w:pPr>
              <w:jc w:val="center"/>
              <w:ind w:right="14"/>
              <w:spacing w:after="0" w:line="202" w:lineRule="exact"/>
              <w:rPr>
                <w:sz w:val="20"/>
                <w:szCs w:val="20"/>
                <w:color w:val="auto"/>
              </w:rPr>
            </w:pPr>
            <w:r>
              <w:rPr>
                <w:rFonts w:ascii="Arial" w:cs="Arial" w:eastAsia="Arial" w:hAnsi="Arial"/>
                <w:sz w:val="18"/>
                <w:szCs w:val="18"/>
                <w:b w:val="1"/>
                <w:bCs w:val="1"/>
                <w:color w:val="FFFFFF"/>
                <w:w w:val="99"/>
              </w:rPr>
              <w:t>as of</w:t>
            </w:r>
          </w:p>
        </w:tc>
        <w:tc>
          <w:tcPr>
            <w:tcW w:w="80" w:type="dxa"/>
            <w:vAlign w:val="bottom"/>
          </w:tcPr>
          <w:p>
            <w:pPr>
              <w:spacing w:after="0"/>
              <w:rPr>
                <w:sz w:val="17"/>
                <w:szCs w:val="17"/>
                <w:color w:val="auto"/>
              </w:rPr>
            </w:pPr>
          </w:p>
        </w:tc>
        <w:tc>
          <w:tcPr>
            <w:tcW w:w="12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8"/>
              </w:rPr>
              <w:t>percentage of</w:t>
            </w:r>
          </w:p>
        </w:tc>
        <w:tc>
          <w:tcPr>
            <w:tcW w:w="1320" w:type="dxa"/>
            <w:vAlign w:val="bottom"/>
            <w:gridSpan w:val="2"/>
          </w:tcPr>
          <w:p>
            <w:pPr>
              <w:jc w:val="center"/>
              <w:ind w:left="50"/>
              <w:spacing w:after="0" w:line="202" w:lineRule="exact"/>
              <w:rPr>
                <w:sz w:val="20"/>
                <w:szCs w:val="20"/>
                <w:color w:val="auto"/>
              </w:rPr>
            </w:pPr>
            <w:r>
              <w:rPr>
                <w:rFonts w:ascii="Arial" w:cs="Arial" w:eastAsia="Arial" w:hAnsi="Arial"/>
                <w:sz w:val="18"/>
                <w:szCs w:val="18"/>
                <w:b w:val="1"/>
                <w:bCs w:val="1"/>
                <w:color w:val="FFFFFF"/>
                <w:w w:val="99"/>
              </w:rPr>
              <w:t>percentage of</w:t>
            </w:r>
          </w:p>
        </w:tc>
        <w:tc>
          <w:tcPr>
            <w:tcW w:w="260" w:type="dxa"/>
            <w:vAlign w:val="bottom"/>
          </w:tcPr>
          <w:p>
            <w:pPr>
              <w:spacing w:after="0"/>
              <w:rPr>
                <w:sz w:val="17"/>
                <w:szCs w:val="17"/>
                <w:color w:val="auto"/>
              </w:rPr>
            </w:pPr>
          </w:p>
        </w:tc>
        <w:tc>
          <w:tcPr>
            <w:tcW w:w="880" w:type="dxa"/>
            <w:vAlign w:val="bottom"/>
          </w:tcPr>
          <w:p>
            <w:pPr>
              <w:jc w:val="right"/>
              <w:ind w:right="176"/>
              <w:spacing w:after="0" w:line="202" w:lineRule="exact"/>
              <w:rPr>
                <w:sz w:val="20"/>
                <w:szCs w:val="20"/>
                <w:color w:val="auto"/>
              </w:rPr>
            </w:pPr>
            <w:r>
              <w:rPr>
                <w:rFonts w:ascii="Arial" w:cs="Arial" w:eastAsia="Arial" w:hAnsi="Arial"/>
                <w:sz w:val="18"/>
                <w:szCs w:val="18"/>
                <w:b w:val="1"/>
                <w:bCs w:val="1"/>
                <w:color w:val="FFFFFF"/>
                <w:w w:val="99"/>
              </w:rPr>
              <w:t>Payout</w:t>
            </w:r>
          </w:p>
        </w:tc>
      </w:tr>
      <w:tr>
        <w:trPr>
          <w:trHeight w:val="262"/>
        </w:trPr>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FFFFFF"/>
              </w:rPr>
              <w:t>​​April 4, 2021</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FFFFFF"/>
              </w:rPr>
              <w:t>​​ Base Salary)</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FFFFFF"/>
              </w:rPr>
              <w:t>​​ Base Salary)</w:t>
            </w:r>
          </w:p>
        </w:tc>
        <w:tc>
          <w:tcPr>
            <w:tcW w:w="260" w:type="dxa"/>
            <w:vAlign w:val="bottom"/>
          </w:tcPr>
          <w:p>
            <w:pPr>
              <w:jc w:val="center"/>
              <w:spacing w:after="0"/>
              <w:rPr>
                <w:sz w:val="20"/>
                <w:szCs w:val="20"/>
                <w:color w:val="auto"/>
              </w:rPr>
            </w:pPr>
            <w:r>
              <w:rPr>
                <w:rFonts w:ascii="Arial" w:cs="Arial" w:eastAsia="Arial" w:hAnsi="Arial"/>
                <w:sz w:val="18"/>
                <w:szCs w:val="18"/>
                <w:b w:val="1"/>
                <w:bCs w:val="1"/>
                <w:color w:val="FFFFFF"/>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FFFFFF"/>
              </w:rPr>
              <w:t>Amount  ​</w:t>
            </w:r>
          </w:p>
        </w:tc>
      </w:tr>
      <w:tr>
        <w:trPr>
          <w:trHeight w:val="257"/>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$983,650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380"/>
              <w:spacing w:after="0"/>
              <w:rPr>
                <w:sz w:val="20"/>
                <w:szCs w:val="20"/>
                <w:color w:val="auto"/>
              </w:rPr>
            </w:pPr>
            <w:r>
              <w:rPr>
                <w:rFonts w:ascii="Arial" w:cs="Arial" w:eastAsia="Arial" w:hAnsi="Arial"/>
                <w:sz w:val="18"/>
                <w:szCs w:val="18"/>
                <w:color w:val="auto"/>
              </w:rPr>
              <w:t>​100%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ind w:left="420"/>
              <w:spacing w:after="0"/>
              <w:rPr>
                <w:sz w:val="20"/>
                <w:szCs w:val="20"/>
                <w:color w:val="auto"/>
              </w:rPr>
            </w:pPr>
            <w:r>
              <w:rPr>
                <w:rFonts w:ascii="Arial" w:cs="Arial" w:eastAsia="Arial" w:hAnsi="Arial"/>
                <w:sz w:val="18"/>
                <w:szCs w:val="18"/>
                <w:color w:val="auto"/>
              </w:rPr>
              <w:t>​200%</w:t>
            </w:r>
          </w:p>
        </w:tc>
        <w:tc>
          <w:tcPr>
            <w:tcW w:w="1140" w:type="dxa"/>
            <w:vAlign w:val="bottom"/>
            <w:gridSpan w:val="2"/>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$1,967,300</w:t>
            </w:r>
            <w:r>
              <w:rPr>
                <w:rFonts w:ascii="Arial" w:cs="Arial" w:eastAsia="Arial" w:hAnsi="Arial"/>
                <w:sz w:val="29"/>
                <w:szCs w:val="29"/>
                <w:color w:val="auto"/>
                <w:vertAlign w:val="subscript"/>
              </w:rPr>
              <w:t>​​</w:t>
            </w:r>
          </w:p>
        </w:tc>
      </w:tr>
      <w:tr>
        <w:trPr>
          <w:trHeight w:val="257"/>
        </w:trPr>
        <w:tc>
          <w:tcPr>
            <w:tcW w:w="1140" w:type="dxa"/>
            <w:vAlign w:val="bottom"/>
            <w:gridSpan w:val="2"/>
          </w:tcPr>
          <w:p>
            <w:pPr>
              <w:jc w:val="right"/>
              <w:ind w:right="34"/>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29"/>
                <w:szCs w:val="29"/>
                <w:color w:val="auto"/>
                <w:highlight w:val="lightGray"/>
                <w:vertAlign w:val="subscript"/>
              </w:rPr>
              <w:t>​  ​</w:t>
            </w:r>
            <w:r>
              <w:rPr>
                <w:rFonts w:ascii="Arial" w:cs="Arial" w:eastAsia="Arial" w:hAnsi="Arial"/>
                <w:sz w:val="16"/>
                <w:szCs w:val="16"/>
                <w:color w:val="auto"/>
                <w:highlight w:val="lightGray"/>
              </w:rPr>
              <w:t>$515,000</w:t>
            </w:r>
          </w:p>
        </w:tc>
        <w:tc>
          <w:tcPr>
            <w:tcW w:w="80" w:type="dxa"/>
            <w:vAlign w:val="bottom"/>
          </w:tcPr>
          <w:p>
            <w:pPr>
              <w:ind w:left="40"/>
              <w:spacing w:after="0"/>
              <w:rPr>
                <w:sz w:val="20"/>
                <w:szCs w:val="20"/>
                <w:color w:val="auto"/>
              </w:rPr>
            </w:pPr>
            <w:r>
              <w:rPr>
                <w:rFonts w:ascii="Arial" w:cs="Arial" w:eastAsia="Arial" w:hAnsi="Arial"/>
                <w:sz w:val="18"/>
                <w:szCs w:val="18"/>
                <w:color w:val="auto"/>
                <w:highlight w:val="lightGray"/>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380"/>
              <w:spacing w:after="0"/>
              <w:rPr>
                <w:sz w:val="20"/>
                <w:szCs w:val="20"/>
                <w:color w:val="auto"/>
              </w:rPr>
            </w:pPr>
            <w:r>
              <w:rPr>
                <w:rFonts w:ascii="Arial" w:cs="Arial" w:eastAsia="Arial" w:hAnsi="Arial"/>
                <w:sz w:val="18"/>
                <w:szCs w:val="18"/>
                <w:color w:val="auto"/>
              </w:rPr>
              <w:t>​ 65%</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ind w:left="420"/>
              <w:spacing w:after="0"/>
              <w:rPr>
                <w:sz w:val="20"/>
                <w:szCs w:val="20"/>
                <w:color w:val="auto"/>
              </w:rPr>
            </w:pPr>
            <w:r>
              <w:rPr>
                <w:rFonts w:ascii="Arial" w:cs="Arial" w:eastAsia="Arial" w:hAnsi="Arial"/>
                <w:sz w:val="18"/>
                <w:szCs w:val="18"/>
                <w:color w:val="auto"/>
              </w:rPr>
              <w:t>​130%</w:t>
            </w:r>
          </w:p>
        </w:tc>
        <w:tc>
          <w:tcPr>
            <w:tcW w:w="260" w:type="dxa"/>
            <w:vAlign w:val="bottom"/>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highlight w:val="lightGray"/>
                <w:vertAlign w:val="superscript"/>
              </w:rPr>
              <w:t>$</w:t>
            </w:r>
          </w:p>
        </w:tc>
        <w:tc>
          <w:tcPr>
            <w:tcW w:w="880" w:type="dxa"/>
            <w:vAlign w:val="bottom"/>
          </w:tcPr>
          <w:p>
            <w:pPr>
              <w:jc w:val="right"/>
              <w:spacing w:after="0" w:line="256" w:lineRule="exact"/>
              <w:rPr>
                <w:sz w:val="20"/>
                <w:szCs w:val="20"/>
                <w:color w:val="auto"/>
              </w:rPr>
            </w:pPr>
            <w:r>
              <w:rPr>
                <w:rFonts w:ascii="Arial" w:cs="Arial" w:eastAsia="Arial" w:hAnsi="Arial"/>
                <w:sz w:val="16"/>
                <w:szCs w:val="16"/>
                <w:color w:val="auto"/>
                <w:highlight w:val="lightGray"/>
              </w:rPr>
              <w:t>669,500</w:t>
            </w:r>
            <w:r>
              <w:rPr>
                <w:rFonts w:ascii="Arial" w:cs="Arial" w:eastAsia="Arial" w:hAnsi="Arial"/>
                <w:sz w:val="29"/>
                <w:szCs w:val="29"/>
                <w:color w:val="auto"/>
                <w:highlight w:val="lightGray"/>
                <w:vertAlign w:val="subscript"/>
              </w:rPr>
              <w:t>​​</w:t>
            </w:r>
          </w:p>
        </w:tc>
      </w:tr>
      <w:tr>
        <w:trPr>
          <w:trHeight w:val="256"/>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380"/>
              <w:spacing w:after="0"/>
              <w:rPr>
                <w:sz w:val="20"/>
                <w:szCs w:val="20"/>
                <w:color w:val="auto"/>
              </w:rPr>
            </w:pPr>
            <w:r>
              <w:rPr>
                <w:rFonts w:ascii="Arial" w:cs="Arial" w:eastAsia="Arial" w:hAnsi="Arial"/>
                <w:sz w:val="18"/>
                <w:szCs w:val="18"/>
                <w:color w:val="auto"/>
              </w:rPr>
              <w:t>​ 50%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ind w:left="420"/>
              <w:spacing w:after="0"/>
              <w:rPr>
                <w:sz w:val="20"/>
                <w:szCs w:val="20"/>
                <w:color w:val="auto"/>
              </w:rPr>
            </w:pPr>
            <w:r>
              <w:rPr>
                <w:rFonts w:ascii="Arial" w:cs="Arial" w:eastAsia="Arial" w:hAnsi="Arial"/>
                <w:sz w:val="18"/>
                <w:szCs w:val="18"/>
                <w:color w:val="auto"/>
              </w:rPr>
              <w:t>​100%</w:t>
            </w:r>
          </w:p>
        </w:tc>
        <w:tc>
          <w:tcPr>
            <w:tcW w:w="260" w:type="dxa"/>
            <w:vAlign w:val="bottom"/>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880" w:type="dxa"/>
            <w:vAlign w:val="bottom"/>
          </w:tcPr>
          <w:p>
            <w:pPr>
              <w:jc w:val="right"/>
              <w:spacing w:after="0" w:line="256" w:lineRule="exact"/>
              <w:rPr>
                <w:sz w:val="20"/>
                <w:szCs w:val="20"/>
                <w:color w:val="auto"/>
              </w:rPr>
            </w:pPr>
            <w:r>
              <w:rPr>
                <w:rFonts w:ascii="Arial" w:cs="Arial" w:eastAsia="Arial" w:hAnsi="Arial"/>
                <w:sz w:val="16"/>
                <w:szCs w:val="16"/>
                <w:color w:val="auto"/>
              </w:rPr>
              <w:t>450,000</w:t>
            </w:r>
            <w:r>
              <w:rPr>
                <w:rFonts w:ascii="Arial" w:cs="Arial" w:eastAsia="Arial" w:hAnsi="Arial"/>
                <w:sz w:val="29"/>
                <w:szCs w:val="29"/>
                <w:color w:val="auto"/>
                <w:vertAlign w:val="subscript"/>
              </w:rPr>
              <w:t>​​</w:t>
            </w:r>
          </w:p>
        </w:tc>
      </w:tr>
      <w:tr>
        <w:trPr>
          <w:trHeight w:val="257"/>
        </w:trPr>
        <w:tc>
          <w:tcPr>
            <w:tcW w:w="1140" w:type="dxa"/>
            <w:vAlign w:val="bottom"/>
            <w:gridSpan w:val="2"/>
          </w:tcPr>
          <w:p>
            <w:pPr>
              <w:jc w:val="right"/>
              <w:ind w:right="34"/>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29"/>
                <w:szCs w:val="29"/>
                <w:color w:val="auto"/>
                <w:highlight w:val="lightGray"/>
                <w:vertAlign w:val="subscript"/>
              </w:rPr>
              <w:t>​  ​</w:t>
            </w:r>
            <w:r>
              <w:rPr>
                <w:rFonts w:ascii="Arial" w:cs="Arial" w:eastAsia="Arial" w:hAnsi="Arial"/>
                <w:sz w:val="16"/>
                <w:szCs w:val="16"/>
                <w:color w:val="auto"/>
                <w:highlight w:val="lightGray"/>
              </w:rPr>
              <w:t>$385,000</w:t>
            </w:r>
          </w:p>
        </w:tc>
        <w:tc>
          <w:tcPr>
            <w:tcW w:w="80" w:type="dxa"/>
            <w:vAlign w:val="bottom"/>
          </w:tcPr>
          <w:p>
            <w:pPr>
              <w:ind w:left="40"/>
              <w:spacing w:after="0"/>
              <w:rPr>
                <w:sz w:val="20"/>
                <w:szCs w:val="20"/>
                <w:color w:val="auto"/>
              </w:rPr>
            </w:pPr>
            <w:r>
              <w:rPr>
                <w:rFonts w:ascii="Arial" w:cs="Arial" w:eastAsia="Arial" w:hAnsi="Arial"/>
                <w:sz w:val="18"/>
                <w:szCs w:val="18"/>
                <w:color w:val="auto"/>
                <w:highlight w:val="lightGray"/>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380"/>
              <w:spacing w:after="0"/>
              <w:rPr>
                <w:sz w:val="20"/>
                <w:szCs w:val="20"/>
                <w:color w:val="auto"/>
              </w:rPr>
            </w:pPr>
            <w:r>
              <w:rPr>
                <w:rFonts w:ascii="Arial" w:cs="Arial" w:eastAsia="Arial" w:hAnsi="Arial"/>
                <w:sz w:val="18"/>
                <w:szCs w:val="18"/>
                <w:color w:val="auto"/>
              </w:rPr>
              <w:t>​ 50%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ind w:left="420"/>
              <w:spacing w:after="0"/>
              <w:rPr>
                <w:sz w:val="20"/>
                <w:szCs w:val="20"/>
                <w:color w:val="auto"/>
              </w:rPr>
            </w:pPr>
            <w:r>
              <w:rPr>
                <w:rFonts w:ascii="Arial" w:cs="Arial" w:eastAsia="Arial" w:hAnsi="Arial"/>
                <w:sz w:val="18"/>
                <w:szCs w:val="18"/>
                <w:color w:val="auto"/>
              </w:rPr>
              <w:t>​100%</w:t>
            </w:r>
          </w:p>
        </w:tc>
        <w:tc>
          <w:tcPr>
            <w:tcW w:w="260" w:type="dxa"/>
            <w:vAlign w:val="bottom"/>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highlight w:val="lightGray"/>
                <w:vertAlign w:val="superscript"/>
              </w:rPr>
              <w:t>$</w:t>
            </w:r>
          </w:p>
        </w:tc>
        <w:tc>
          <w:tcPr>
            <w:tcW w:w="880" w:type="dxa"/>
            <w:vAlign w:val="bottom"/>
          </w:tcPr>
          <w:p>
            <w:pPr>
              <w:jc w:val="right"/>
              <w:spacing w:after="0" w:line="256" w:lineRule="exact"/>
              <w:rPr>
                <w:sz w:val="20"/>
                <w:szCs w:val="20"/>
                <w:color w:val="auto"/>
              </w:rPr>
            </w:pPr>
            <w:r>
              <w:rPr>
                <w:rFonts w:ascii="Arial" w:cs="Arial" w:eastAsia="Arial" w:hAnsi="Arial"/>
                <w:sz w:val="16"/>
                <w:szCs w:val="16"/>
                <w:color w:val="auto"/>
                <w:highlight w:val="lightGray"/>
              </w:rPr>
              <w:t>385,000</w:t>
            </w:r>
            <w:r>
              <w:rPr>
                <w:rFonts w:ascii="Arial" w:cs="Arial" w:eastAsia="Arial" w:hAnsi="Arial"/>
                <w:sz w:val="29"/>
                <w:szCs w:val="29"/>
                <w:color w:val="auto"/>
                <w:highlight w:val="lightGray"/>
                <w:vertAlign w:val="subscript"/>
              </w:rPr>
              <w:t>​​</w:t>
            </w: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​$360,500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3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ind w:left="4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w:t>
            </w:r>
          </w:p>
        </w:tc>
        <w:tc>
          <w:tcPr>
            <w:tcW w:w="260" w:type="dxa"/>
            <w:vAlign w:val="bottom"/>
          </w:tcPr>
          <w:p>
            <w:pPr>
              <w:jc w:val="cente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360,500​​</w:t>
            </w:r>
          </w:p>
        </w:tc>
      </w:tr>
    </w:tbl>
    <w:p>
      <w:pPr>
        <w:spacing w:after="0" w:line="185" w:lineRule="exact"/>
        <w:rPr>
          <w:sz w:val="20"/>
          <w:szCs w:val="20"/>
          <w:color w:val="auto"/>
        </w:rPr>
      </w:pPr>
    </w:p>
    <w:p>
      <w:pPr>
        <w:sectPr>
          <w:pgSz w:w="11900" w:h="16838" w:orient="portrait"/>
          <w:cols w:equalWidth="0" w:num="2">
            <w:col w:w="4320" w:space="720"/>
            <w:col w:w="5680"/>
          </w:cols>
          <w:pgMar w:left="580" w:top="97" w:right="599" w:bottom="1440" w:gutter="0" w:footer="0" w:header="0"/>
          <w:type w:val="continuous"/>
        </w:sectPr>
      </w:pPr>
    </w:p>
    <w:p>
      <w:pPr>
        <w:ind w:left="760"/>
        <w:spacing w:after="0"/>
        <w:rPr>
          <w:sz w:val="20"/>
          <w:szCs w:val="20"/>
          <w:color w:val="auto"/>
        </w:rPr>
      </w:pPr>
      <w:r>
        <w:rPr>
          <w:rFonts w:ascii="Arial" w:cs="Arial" w:eastAsia="Arial" w:hAnsi="Arial"/>
          <w:sz w:val="18"/>
          <w:szCs w:val="18"/>
          <w:b w:val="1"/>
          <w:bCs w:val="1"/>
          <w:i w:val="1"/>
          <w:iCs w:val="1"/>
          <w:color w:val="auto"/>
        </w:rPr>
        <w:t>Long-Term Incentive Program</w:t>
      </w:r>
    </w:p>
    <w:p>
      <w:pPr>
        <w:spacing w:after="0" w:line="115" w:lineRule="exact"/>
        <w:rPr>
          <w:sz w:val="20"/>
          <w:szCs w:val="20"/>
          <w:color w:val="auto"/>
        </w:rPr>
      </w:pPr>
    </w:p>
    <w:p>
      <w:pPr>
        <w:jc w:val="both"/>
        <w:ind w:left="760" w:right="760"/>
        <w:spacing w:after="0" w:line="268" w:lineRule="auto"/>
        <w:rPr>
          <w:sz w:val="20"/>
          <w:szCs w:val="20"/>
          <w:color w:val="auto"/>
        </w:rPr>
      </w:pPr>
      <w:r>
        <w:rPr>
          <w:rFonts w:ascii="Arial" w:cs="Arial" w:eastAsia="Arial" w:hAnsi="Arial"/>
          <w:sz w:val="18"/>
          <w:szCs w:val="18"/>
          <w:color w:val="auto"/>
        </w:rPr>
        <w:t>Long-term incentive awards are granted under our 2017 Omnibus Incentive Plan (the “2017 Omnibus Plan”). We believe granting equity-based long-term incentive awards strengthens the commitment of our executives to the Company’s long-term success and aligns their interests with those of our stockholders.</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LTIP Awards</w:t>
      </w:r>
    </w:p>
    <w:p>
      <w:pPr>
        <w:spacing w:after="0" w:line="115" w:lineRule="exact"/>
        <w:rPr>
          <w:sz w:val="20"/>
          <w:szCs w:val="20"/>
          <w:color w:val="auto"/>
        </w:rPr>
      </w:pPr>
    </w:p>
    <w:p>
      <w:pPr>
        <w:jc w:val="both"/>
        <w:ind w:left="760" w:right="760"/>
        <w:spacing w:after="0" w:line="257" w:lineRule="auto"/>
        <w:rPr>
          <w:sz w:val="20"/>
          <w:szCs w:val="20"/>
          <w:color w:val="auto"/>
        </w:rPr>
      </w:pPr>
      <w:r>
        <w:rPr>
          <w:rFonts w:ascii="Arial" w:cs="Arial" w:eastAsia="Arial" w:hAnsi="Arial"/>
          <w:sz w:val="18"/>
          <w:szCs w:val="18"/>
          <w:color w:val="auto"/>
        </w:rPr>
        <w:t>In February 2021, following its evaluation, with the assistance of Meridian, of the equity-based incentives for our executive officers, the compensation committee adopted a new long-term incentive program (LTIP) under the 2017 Omnibus Plan. As part of our annual compensation cycle, all of our NEOs were granted the following awards:</w:t>
      </w:r>
    </w:p>
    <w:p>
      <w:pPr>
        <w:spacing w:after="0" w:line="1" w:lineRule="exact"/>
        <w:rPr>
          <w:sz w:val="20"/>
          <w:szCs w:val="20"/>
          <w:color w:val="auto"/>
        </w:rPr>
      </w:pPr>
    </w:p>
    <w:p>
      <w:pPr>
        <w:ind w:left="1040" w:hanging="278"/>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time-vesting stock options (representing 25% of the total target value of fiscal 2021 LTIP awards for each NEO),</w:t>
      </w:r>
    </w:p>
    <w:p>
      <w:pPr>
        <w:spacing w:after="0" w:line="9" w:lineRule="exact"/>
        <w:rPr>
          <w:rFonts w:ascii="Arial" w:cs="Arial" w:eastAsia="Arial" w:hAnsi="Arial"/>
          <w:sz w:val="18"/>
          <w:szCs w:val="18"/>
          <w:color w:val="auto"/>
        </w:rPr>
      </w:pPr>
    </w:p>
    <w:p>
      <w:pPr>
        <w:jc w:val="both"/>
        <w:ind w:left="760" w:right="760" w:firstLine="2"/>
        <w:spacing w:after="0" w:line="258" w:lineRule="auto"/>
        <w:tabs>
          <w:tab w:leader="none" w:pos="10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time-vesting restricted stock units (“RSUs”) (representing 25% of the total target value of fiscal 2021 LTIP awards for each NEO), and (3) performance-vesting restricted stock units (“PSUs”) (representing the remaining 50% of the total target value of fiscal 2021 LTIP awards for each NEO).</w:t>
      </w:r>
    </w:p>
    <w:p>
      <w:pPr>
        <w:spacing w:after="0" w:line="70" w:lineRule="exact"/>
        <w:rPr>
          <w:sz w:val="20"/>
          <w:szCs w:val="20"/>
          <w:color w:val="auto"/>
        </w:rPr>
      </w:pPr>
    </w:p>
    <w:p>
      <w:pPr>
        <w:jc w:val="both"/>
        <w:ind w:left="760" w:right="760"/>
        <w:spacing w:after="0" w:line="272" w:lineRule="auto"/>
        <w:rPr>
          <w:sz w:val="20"/>
          <w:szCs w:val="20"/>
          <w:color w:val="auto"/>
        </w:rPr>
      </w:pPr>
      <w:r>
        <w:rPr>
          <w:rFonts w:ascii="Arial" w:cs="Arial" w:eastAsia="Arial" w:hAnsi="Arial"/>
          <w:sz w:val="17"/>
          <w:szCs w:val="17"/>
          <w:color w:val="auto"/>
        </w:rPr>
        <w:t xml:space="preserve">For fiscal year 2021, the compensation committee issued PSU awards with two performance growth measures, Adjusted Operating Income and ROIC, which are weighted 75% and 25%, respectively, for the three-year performance period (2021-2023), instead of using the single three-year Adjusted EBITDA growth performance measure used in prior years. In making this change, the compensation committee took into account feedback from stockholders and the evolution of our public reporting and fiscal outlook measures. See Stockholder Engagement on page </w:t>
      </w:r>
      <w:r>
        <w:rPr>
          <w:rFonts w:ascii="Arial" w:cs="Arial" w:eastAsia="Arial" w:hAnsi="Arial"/>
          <w:sz w:val="17"/>
          <w:szCs w:val="17"/>
          <w:u w:val="single" w:color="auto"/>
          <w:color w:val="0000EE"/>
        </w:rPr>
        <w:t>21</w:t>
      </w:r>
      <w:r>
        <w:rPr>
          <w:rFonts w:ascii="Arial" w:cs="Arial" w:eastAsia="Arial" w:hAnsi="Arial"/>
          <w:sz w:val="17"/>
          <w:szCs w:val="17"/>
          <w:color w:val="auto"/>
        </w:rPr>
        <w:t xml:space="preserve"> above for more details. As described above, Adjusted Operating Income is a common profitability measure. ROIC is a standard measure of a company’s ability to produce profitable return on all aspects of investment necessary to generate those returns and is a key measure for investor assessment of company performance.</w:t>
      </w:r>
    </w:p>
    <w:p>
      <w:pPr>
        <w:spacing w:after="0" w:line="64" w:lineRule="exact"/>
        <w:rPr>
          <w:sz w:val="20"/>
          <w:szCs w:val="20"/>
          <w:color w:val="auto"/>
        </w:rPr>
      </w:pPr>
    </w:p>
    <w:p>
      <w:pPr>
        <w:jc w:val="both"/>
        <w:ind w:left="760" w:right="780"/>
        <w:spacing w:after="0" w:line="287" w:lineRule="auto"/>
        <w:rPr>
          <w:sz w:val="20"/>
          <w:szCs w:val="20"/>
          <w:color w:val="auto"/>
        </w:rPr>
      </w:pPr>
      <w:r>
        <w:rPr>
          <w:rFonts w:ascii="Arial" w:cs="Arial" w:eastAsia="Arial" w:hAnsi="Arial"/>
          <w:sz w:val="18"/>
          <w:szCs w:val="18"/>
          <w:color w:val="auto"/>
        </w:rPr>
        <w:t>The following table reflects the target grant value and division of stock options, PSUs and RSUs granted to each NEO in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66040</wp:posOffset>
            </wp:positionV>
            <wp:extent cx="3917315" cy="13627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17315" cy="1362710"/>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66040</wp:posOffset>
            </wp:positionV>
            <wp:extent cx="34290" cy="5575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55753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0" w:type="dxa"/>
            <w:vAlign w:val="bottom"/>
          </w:tcPr>
          <w:p>
            <w:pPr>
              <w:spacing w:after="0"/>
              <w:rPr>
                <w:sz w:val="18"/>
                <w:szCs w:val="18"/>
                <w:color w:val="auto"/>
              </w:rPr>
            </w:pPr>
          </w:p>
        </w:tc>
        <w:tc>
          <w:tcPr>
            <w:tcW w:w="300" w:type="dxa"/>
            <w:vAlign w:val="bottom"/>
            <w:tcBorders>
              <w:top w:val="single" w:sz="8" w:color="3C5896"/>
            </w:tcBorders>
            <w:shd w:val="clear" w:color="auto" w:fill="3C5896"/>
          </w:tcPr>
          <w:p>
            <w:pPr>
              <w:spacing w:after="0"/>
              <w:rPr>
                <w:sz w:val="18"/>
                <w:szCs w:val="18"/>
                <w:color w:val="auto"/>
              </w:rPr>
            </w:pPr>
          </w:p>
        </w:tc>
        <w:tc>
          <w:tcPr>
            <w:tcW w:w="2480" w:type="dxa"/>
            <w:vAlign w:val="bottom"/>
            <w:tcBorders>
              <w:top w:val="single" w:sz="8" w:color="3C5896"/>
            </w:tcBorders>
            <w:shd w:val="clear" w:color="auto" w:fill="3C5896"/>
          </w:tcPr>
          <w:p>
            <w:pPr>
              <w:spacing w:after="0"/>
              <w:rPr>
                <w:sz w:val="18"/>
                <w:szCs w:val="18"/>
                <w:color w:val="auto"/>
              </w:rPr>
            </w:pPr>
          </w:p>
        </w:tc>
        <w:tc>
          <w:tcPr>
            <w:tcW w:w="220" w:type="dxa"/>
            <w:vAlign w:val="bottom"/>
            <w:tcBorders>
              <w:top w:val="single" w:sz="8" w:color="3C5896"/>
            </w:tcBorders>
            <w:shd w:val="clear" w:color="auto" w:fill="3C5896"/>
          </w:tcPr>
          <w:p>
            <w:pPr>
              <w:spacing w:after="0"/>
              <w:rPr>
                <w:sz w:val="18"/>
                <w:szCs w:val="18"/>
                <w:color w:val="auto"/>
              </w:rPr>
            </w:pPr>
          </w:p>
        </w:tc>
        <w:tc>
          <w:tcPr>
            <w:tcW w:w="20" w:type="dxa"/>
            <w:vAlign w:val="bottom"/>
            <w:tcBorders>
              <w:top w:val="single" w:sz="8" w:color="3C5896"/>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3C5896"/>
            </w:tcBorders>
          </w:tcPr>
          <w:p>
            <w:pPr>
              <w:spacing w:after="0"/>
              <w:rPr>
                <w:sz w:val="18"/>
                <w:szCs w:val="18"/>
                <w:color w:val="auto"/>
              </w:rPr>
            </w:pPr>
          </w:p>
        </w:tc>
        <w:tc>
          <w:tcPr>
            <w:tcW w:w="820" w:type="dxa"/>
            <w:vAlign w:val="bottom"/>
            <w:tcBorders>
              <w:top w:val="single" w:sz="8" w:color="3C5896"/>
            </w:tcBorders>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3C5896"/>
            </w:tcBorders>
          </w:tcPr>
          <w:p>
            <w:pPr>
              <w:spacing w:after="0"/>
              <w:rPr>
                <w:sz w:val="18"/>
                <w:szCs w:val="18"/>
                <w:color w:val="auto"/>
              </w:rPr>
            </w:pPr>
          </w:p>
        </w:tc>
        <w:tc>
          <w:tcPr>
            <w:tcW w:w="1200" w:type="dxa"/>
            <w:vAlign w:val="bottom"/>
            <w:tcBorders>
              <w:top w:val="single" w:sz="8" w:color="3C5896"/>
            </w:tcBorders>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3C5896"/>
            </w:tcBorders>
          </w:tcPr>
          <w:p>
            <w:pPr>
              <w:spacing w:after="0"/>
              <w:rPr>
                <w:sz w:val="18"/>
                <w:szCs w:val="18"/>
                <w:color w:val="auto"/>
              </w:rPr>
            </w:pPr>
          </w:p>
        </w:tc>
        <w:tc>
          <w:tcPr>
            <w:tcW w:w="1880" w:type="dxa"/>
            <w:vAlign w:val="bottom"/>
            <w:tcBorders>
              <w:top w:val="single" w:sz="8" w:color="3C5896"/>
            </w:tcBorders>
          </w:tcPr>
          <w:p>
            <w:pPr>
              <w:jc w:val="center"/>
              <w:spacing w:after="0"/>
              <w:rPr>
                <w:sz w:val="20"/>
                <w:szCs w:val="20"/>
                <w:color w:val="auto"/>
              </w:rPr>
            </w:pPr>
            <w:r>
              <w:rPr>
                <w:rFonts w:ascii="Arial" w:cs="Arial" w:eastAsia="Arial" w:hAnsi="Arial"/>
                <w:sz w:val="18"/>
                <w:szCs w:val="18"/>
                <w:b w:val="1"/>
                <w:bCs w:val="1"/>
                <w:color w:val="FFFFFF"/>
                <w:w w:val="98"/>
              </w:rPr>
              <w:t>Performance-Vesting</w:t>
            </w:r>
          </w:p>
        </w:tc>
        <w:tc>
          <w:tcPr>
            <w:tcW w:w="100" w:type="dxa"/>
            <w:vAlign w:val="bottom"/>
            <w:tcBorders>
              <w:top w:val="single" w:sz="8" w:color="3C5896"/>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1360" w:type="dxa"/>
            <w:vAlign w:val="bottom"/>
            <w:tcBorders>
              <w:top w:val="single" w:sz="8" w:color="3C5896"/>
            </w:tcBorders>
          </w:tcPr>
          <w:p>
            <w:pPr>
              <w:jc w:val="center"/>
              <w:ind w:right="16"/>
              <w:spacing w:after="0"/>
              <w:rPr>
                <w:sz w:val="20"/>
                <w:szCs w:val="20"/>
                <w:color w:val="auto"/>
              </w:rPr>
            </w:pPr>
            <w:r>
              <w:rPr>
                <w:rFonts w:ascii="Arial" w:cs="Arial" w:eastAsia="Arial" w:hAnsi="Arial"/>
                <w:sz w:val="18"/>
                <w:szCs w:val="18"/>
                <w:b w:val="1"/>
                <w:bCs w:val="1"/>
                <w:color w:val="FFFFFF"/>
                <w:w w:val="97"/>
              </w:rPr>
              <w:t>Time-Vesting</w:t>
            </w:r>
          </w:p>
        </w:tc>
        <w:tc>
          <w:tcPr>
            <w:tcW w:w="100" w:type="dxa"/>
            <w:vAlign w:val="bottom"/>
            <w:tcBorders>
              <w:top w:val="single" w:sz="8" w:color="3C5896"/>
            </w:tcBorders>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780" w:type="dxa"/>
            <w:vAlign w:val="bottom"/>
          </w:tcPr>
          <w:p>
            <w:pPr>
              <w:spacing w:after="0"/>
              <w:rPr>
                <w:sz w:val="17"/>
                <w:szCs w:val="17"/>
                <w:color w:val="auto"/>
              </w:rPr>
            </w:pPr>
          </w:p>
        </w:tc>
        <w:tc>
          <w:tcPr>
            <w:tcW w:w="300" w:type="dxa"/>
            <w:vAlign w:val="bottom"/>
            <w:shd w:val="clear" w:color="auto" w:fill="3C5896"/>
          </w:tcPr>
          <w:p>
            <w:pPr>
              <w:spacing w:after="0"/>
              <w:rPr>
                <w:sz w:val="17"/>
                <w:szCs w:val="17"/>
                <w:color w:val="auto"/>
              </w:rPr>
            </w:pPr>
          </w:p>
        </w:tc>
        <w:tc>
          <w:tcPr>
            <w:tcW w:w="2480" w:type="dxa"/>
            <w:vAlign w:val="bottom"/>
            <w:shd w:val="clear" w:color="auto" w:fill="3C5896"/>
          </w:tcPr>
          <w:p>
            <w:pPr>
              <w:spacing w:after="0"/>
              <w:rPr>
                <w:sz w:val="17"/>
                <w:szCs w:val="17"/>
                <w:color w:val="auto"/>
              </w:rPr>
            </w:pPr>
          </w:p>
        </w:tc>
        <w:tc>
          <w:tcPr>
            <w:tcW w:w="220" w:type="dxa"/>
            <w:vAlign w:val="bottom"/>
            <w:shd w:val="clear" w:color="auto" w:fill="3C5896"/>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FFFFFF"/>
                <w:w w:val="98"/>
              </w:rPr>
              <w:t>Target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9"/>
              </w:rPr>
              <w:t>Time-Vesting</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8"/>
              </w:rPr>
              <w:t>Restricted Stock Units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9"/>
              </w:rPr>
              <w:t>Restricted Stock</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300" w:type="dxa"/>
            <w:vAlign w:val="bottom"/>
            <w:shd w:val="clear" w:color="auto" w:fill="3C5896"/>
          </w:tcPr>
          <w:p>
            <w:pPr>
              <w:spacing w:after="0"/>
              <w:rPr>
                <w:sz w:val="17"/>
                <w:szCs w:val="17"/>
                <w:color w:val="auto"/>
              </w:rPr>
            </w:pPr>
          </w:p>
        </w:tc>
        <w:tc>
          <w:tcPr>
            <w:tcW w:w="2480" w:type="dxa"/>
            <w:vAlign w:val="bottom"/>
            <w:shd w:val="clear" w:color="auto" w:fill="3C5896"/>
          </w:tcPr>
          <w:p>
            <w:pPr>
              <w:spacing w:after="0"/>
              <w:rPr>
                <w:sz w:val="17"/>
                <w:szCs w:val="17"/>
                <w:color w:val="auto"/>
              </w:rPr>
            </w:pPr>
          </w:p>
        </w:tc>
        <w:tc>
          <w:tcPr>
            <w:tcW w:w="220" w:type="dxa"/>
            <w:vAlign w:val="bottom"/>
            <w:shd w:val="clear" w:color="auto" w:fill="3C5896"/>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FFFFFF"/>
                <w:w w:val="96"/>
              </w:rPr>
              <w:t>Grant Value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8"/>
              </w:rPr>
              <w:t>Stock Options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8"/>
              </w:rPr>
              <w:t>(PSUs)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center"/>
              <w:ind w:right="16"/>
              <w:spacing w:after="0" w:line="202" w:lineRule="exact"/>
              <w:rPr>
                <w:sz w:val="20"/>
                <w:szCs w:val="20"/>
                <w:color w:val="auto"/>
              </w:rPr>
            </w:pPr>
            <w:r>
              <w:rPr>
                <w:rFonts w:ascii="Arial" w:cs="Arial" w:eastAsia="Arial" w:hAnsi="Arial"/>
                <w:sz w:val="18"/>
                <w:szCs w:val="18"/>
                <w:b w:val="1"/>
                <w:bCs w:val="1"/>
                <w:color w:val="FFFFFF"/>
                <w:w w:val="99"/>
              </w:rPr>
              <w:t>Units (RSUs)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62"/>
        </w:trPr>
        <w:tc>
          <w:tcPr>
            <w:tcW w:w="780" w:type="dxa"/>
            <w:vAlign w:val="bottom"/>
          </w:tcPr>
          <w:p>
            <w:pPr>
              <w:spacing w:after="0"/>
              <w:rPr>
                <w:sz w:val="22"/>
                <w:szCs w:val="22"/>
                <w:color w:val="auto"/>
              </w:rPr>
            </w:pPr>
          </w:p>
        </w:tc>
        <w:tc>
          <w:tcPr>
            <w:tcW w:w="30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2480" w:type="dxa"/>
            <w:vAlign w:val="bottom"/>
            <w:shd w:val="clear" w:color="auto" w:fill="3C5896"/>
          </w:tcPr>
          <w:p>
            <w:pPr>
              <w:ind w:left="140"/>
              <w:spacing w:after="0"/>
              <w:rPr>
                <w:sz w:val="20"/>
                <w:szCs w:val="20"/>
                <w:color w:val="auto"/>
              </w:rPr>
            </w:pPr>
            <w:r>
              <w:rPr>
                <w:rFonts w:ascii="Arial" w:cs="Arial" w:eastAsia="Arial" w:hAnsi="Arial"/>
                <w:sz w:val="18"/>
                <w:szCs w:val="18"/>
                <w:b w:val="1"/>
                <w:bCs w:val="1"/>
                <w:color w:val="FFFFFF"/>
              </w:rPr>
              <w:t>Named Executive Officer</w:t>
            </w:r>
          </w:p>
        </w:tc>
        <w:tc>
          <w:tcPr>
            <w:tcW w:w="220" w:type="dxa"/>
            <w:vAlign w:val="bottom"/>
            <w:shd w:val="clear" w:color="auto" w:fill="3C5896"/>
          </w:tcPr>
          <w:p>
            <w:pPr>
              <w:spacing w:after="0"/>
              <w:rPr>
                <w:sz w:val="22"/>
                <w:szCs w:val="22"/>
                <w:color w:val="auto"/>
              </w:rPr>
            </w:pPr>
          </w:p>
        </w:tc>
        <w:tc>
          <w:tcPr>
            <w:tcW w:w="260" w:type="dxa"/>
            <w:vAlign w:val="bottom"/>
            <w:gridSpan w:val="3"/>
          </w:tcPr>
          <w:p>
            <w:pPr>
              <w:spacing w:after="0"/>
              <w:rPr>
                <w:sz w:val="20"/>
                <w:szCs w:val="20"/>
                <w:color w:val="auto"/>
              </w:rPr>
            </w:pPr>
            <w:r>
              <w:rPr>
                <w:rFonts w:ascii="Arial" w:cs="Arial" w:eastAsia="Arial" w:hAnsi="Arial"/>
                <w:sz w:val="18"/>
                <w:szCs w:val="18"/>
                <w:b w:val="1"/>
                <w:bCs w:val="1"/>
                <w:color w:val="FFFFFF"/>
              </w:rPr>
              <w:t>​​</w:t>
            </w: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FFFFFF"/>
              </w:rPr>
              <w:t>($)</w:t>
            </w:r>
          </w:p>
        </w:tc>
        <w:tc>
          <w:tcPr>
            <w:tcW w:w="80" w:type="dxa"/>
            <w:vAlign w:val="bottom"/>
          </w:tcPr>
          <w:p>
            <w:pPr>
              <w:spacing w:after="0"/>
              <w:rPr>
                <w:sz w:val="22"/>
                <w:szCs w:val="22"/>
                <w:color w:val="auto"/>
              </w:rPr>
            </w:pPr>
          </w:p>
        </w:tc>
        <w:tc>
          <w:tcPr>
            <w:tcW w:w="80" w:type="dxa"/>
            <w:vAlign w:val="bottom"/>
            <w:gridSpan w:val="2"/>
          </w:tcPr>
          <w:p>
            <w:pPr>
              <w:jc w:val="right"/>
              <w:spacing w:after="0"/>
              <w:rPr>
                <w:sz w:val="20"/>
                <w:szCs w:val="20"/>
                <w:color w:val="auto"/>
              </w:rPr>
            </w:pPr>
            <w:r>
              <w:rPr>
                <w:rFonts w:ascii="Arial" w:cs="Arial" w:eastAsia="Arial" w:hAnsi="Arial"/>
                <w:sz w:val="18"/>
                <w:szCs w:val="18"/>
                <w:b w:val="1"/>
                <w:bCs w:val="1"/>
                <w:color w:val="FFFFFF"/>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180" w:type="dxa"/>
            <w:vAlign w:val="bottom"/>
            <w:gridSpan w:val="3"/>
          </w:tcPr>
          <w:p>
            <w:pPr>
              <w:jc w:val="right"/>
              <w:spacing w:after="0"/>
              <w:rPr>
                <w:sz w:val="20"/>
                <w:szCs w:val="20"/>
                <w:color w:val="auto"/>
              </w:rPr>
            </w:pPr>
            <w:r>
              <w:rPr>
                <w:rFonts w:ascii="Arial" w:cs="Arial" w:eastAsia="Arial" w:hAnsi="Arial"/>
                <w:sz w:val="18"/>
                <w:szCs w:val="18"/>
                <w:b w:val="1"/>
                <w:bCs w:val="1"/>
                <w:color w:val="FFFFFF"/>
              </w:rPr>
              <w:t>​​</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FFFFFF"/>
              </w:rPr>
              <w: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760" w:type="dxa"/>
            <w:vAlign w:val="bottom"/>
          </w:tcPr>
          <w:p>
            <w:pPr>
              <w:spacing w:after="0"/>
              <w:rPr>
                <w:sz w:val="22"/>
                <w:szCs w:val="22"/>
                <w:color w:val="auto"/>
              </w:rPr>
            </w:pPr>
          </w:p>
        </w:tc>
      </w:tr>
      <w:tr>
        <w:trPr>
          <w:trHeight w:val="256"/>
        </w:trPr>
        <w:tc>
          <w:tcPr>
            <w:tcW w:w="780" w:type="dxa"/>
            <w:vAlign w:val="bottom"/>
            <w:tcBorders>
              <w:right w:val="single" w:sz="8" w:color="3C5896"/>
            </w:tcBorders>
          </w:tcPr>
          <w:p>
            <w:pPr>
              <w:spacing w:after="0"/>
              <w:rPr>
                <w:sz w:val="22"/>
                <w:szCs w:val="22"/>
                <w:color w:val="auto"/>
              </w:rPr>
            </w:pPr>
          </w:p>
        </w:tc>
        <w:tc>
          <w:tcPr>
            <w:tcW w:w="2780" w:type="dxa"/>
            <w:vAlign w:val="bottom"/>
            <w:gridSpan w:val="2"/>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L. Reade Fahs</w:t>
            </w:r>
          </w:p>
        </w:tc>
        <w:tc>
          <w:tcPr>
            <w:tcW w:w="220" w:type="dxa"/>
            <w:vAlign w:val="bottom"/>
          </w:tcPr>
          <w:p>
            <w:pPr>
              <w:spacing w:after="0"/>
              <w:rPr>
                <w:sz w:val="22"/>
                <w:szCs w:val="22"/>
                <w:color w:val="auto"/>
              </w:rPr>
            </w:pPr>
          </w:p>
        </w:tc>
        <w:tc>
          <w:tcPr>
            <w:tcW w:w="1240" w:type="dxa"/>
            <w:vAlign w:val="bottom"/>
            <w:gridSpan w:val="7"/>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$ 2,750,000 </w:t>
            </w:r>
            <w:r>
              <w:rPr>
                <w:rFonts w:ascii="Arial" w:cs="Arial" w:eastAsia="Arial" w:hAnsi="Arial"/>
                <w:sz w:val="29"/>
                <w:szCs w:val="29"/>
                <w:color w:val="auto"/>
                <w:vertAlign w:val="subscript"/>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​29,685</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​30,114</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​15,057</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r>
      <w:tr>
        <w:trPr>
          <w:trHeight w:val="256"/>
        </w:trPr>
        <w:tc>
          <w:tcPr>
            <w:tcW w:w="780" w:type="dxa"/>
            <w:vAlign w:val="bottom"/>
            <w:tcBorders>
              <w:right w:val="single" w:sz="8" w:color="3C5896"/>
            </w:tcBorders>
          </w:tcPr>
          <w:p>
            <w:pPr>
              <w:spacing w:after="0"/>
              <w:rPr>
                <w:sz w:val="22"/>
                <w:szCs w:val="22"/>
                <w:color w:val="auto"/>
              </w:rPr>
            </w:pPr>
          </w:p>
        </w:tc>
        <w:tc>
          <w:tcPr>
            <w:tcW w:w="2780" w:type="dxa"/>
            <w:vAlign w:val="bottom"/>
            <w:gridSpan w:val="2"/>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Patrick R. Moore</w:t>
            </w:r>
          </w:p>
        </w:tc>
        <w:tc>
          <w:tcPr>
            <w:tcW w:w="480" w:type="dxa"/>
            <w:vAlign w:val="bottom"/>
            <w:gridSpan w:val="4"/>
          </w:tcPr>
          <w:p>
            <w:pPr>
              <w:ind w:left="2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r>
              <w:rPr>
                <w:rFonts w:ascii="Arial" w:cs="Arial" w:eastAsia="Arial" w:hAnsi="Arial"/>
                <w:sz w:val="29"/>
                <w:szCs w:val="29"/>
                <w:color w:val="auto"/>
                <w:highlight w:val="lightGray"/>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highlight w:val="lightGray"/>
              </w:rPr>
              <w:t>700,000</w:t>
            </w:r>
          </w:p>
        </w:tc>
        <w:tc>
          <w:tcPr>
            <w:tcW w:w="80" w:type="dxa"/>
            <w:vAlign w:val="bottom"/>
          </w:tcPr>
          <w:p>
            <w:pPr>
              <w:ind w:left="20"/>
              <w:spacing w:after="0"/>
              <w:rPr>
                <w:sz w:val="20"/>
                <w:szCs w:val="20"/>
                <w:color w:val="auto"/>
              </w:rPr>
            </w:pPr>
            <w:r>
              <w:rPr>
                <w:rFonts w:ascii="Arial" w:cs="Arial" w:eastAsia="Arial" w:hAnsi="Arial"/>
                <w:sz w:val="18"/>
                <w:szCs w:val="18"/>
                <w:color w:val="auto"/>
                <w:highlight w:val="lightGray"/>
              </w:rPr>
              <w:t>​</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 7,557</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7,666</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3,833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r>
      <w:tr>
        <w:trPr>
          <w:trHeight w:val="256"/>
        </w:trPr>
        <w:tc>
          <w:tcPr>
            <w:tcW w:w="780" w:type="dxa"/>
            <w:vAlign w:val="bottom"/>
            <w:tcBorders>
              <w:right w:val="single" w:sz="8" w:color="3C5896"/>
            </w:tcBorders>
          </w:tcPr>
          <w:p>
            <w:pPr>
              <w:spacing w:after="0"/>
              <w:rPr>
                <w:sz w:val="22"/>
                <w:szCs w:val="22"/>
                <w:color w:val="auto"/>
              </w:rPr>
            </w:pPr>
          </w:p>
        </w:tc>
        <w:tc>
          <w:tcPr>
            <w:tcW w:w="2780" w:type="dxa"/>
            <w:vAlign w:val="bottom"/>
            <w:gridSpan w:val="2"/>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Roger Francis</w:t>
            </w:r>
          </w:p>
        </w:tc>
        <w:tc>
          <w:tcPr>
            <w:tcW w:w="480" w:type="dxa"/>
            <w:vAlign w:val="bottom"/>
            <w:gridSpan w:val="4"/>
          </w:tcPr>
          <w:p>
            <w:pPr>
              <w:ind w:left="2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700,000</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 6,685</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6,717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3,359</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r>
      <w:tr>
        <w:trPr>
          <w:trHeight w:val="256"/>
        </w:trPr>
        <w:tc>
          <w:tcPr>
            <w:tcW w:w="780" w:type="dxa"/>
            <w:vAlign w:val="bottom"/>
            <w:tcBorders>
              <w:right w:val="single" w:sz="8" w:color="3C5896"/>
            </w:tcBorders>
          </w:tcPr>
          <w:p>
            <w:pPr>
              <w:spacing w:after="0"/>
              <w:rPr>
                <w:sz w:val="22"/>
                <w:szCs w:val="22"/>
                <w:color w:val="auto"/>
              </w:rPr>
            </w:pPr>
          </w:p>
        </w:tc>
        <w:tc>
          <w:tcPr>
            <w:tcW w:w="2780" w:type="dxa"/>
            <w:vAlign w:val="bottom"/>
            <w:gridSpan w:val="2"/>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Jared Brandman</w:t>
            </w:r>
          </w:p>
        </w:tc>
        <w:tc>
          <w:tcPr>
            <w:tcW w:w="480" w:type="dxa"/>
            <w:vAlign w:val="bottom"/>
            <w:gridSpan w:val="4"/>
          </w:tcPr>
          <w:p>
            <w:pPr>
              <w:ind w:left="2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16"/>
                <w:szCs w:val="16"/>
                <w:color w:val="auto"/>
                <w:highlight w:val="lightGray"/>
              </w:rPr>
              <w:t>​​</w:t>
            </w:r>
            <w:r>
              <w:rPr>
                <w:rFonts w:ascii="Arial" w:cs="Arial" w:eastAsia="Arial" w:hAnsi="Arial"/>
                <w:sz w:val="29"/>
                <w:szCs w:val="29"/>
                <w:color w:val="auto"/>
                <w:highlight w:val="lightGray"/>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highlight w:val="lightGray"/>
              </w:rPr>
              <w:t>350,000</w:t>
            </w:r>
          </w:p>
        </w:tc>
        <w:tc>
          <w:tcPr>
            <w:tcW w:w="80" w:type="dxa"/>
            <w:vAlign w:val="bottom"/>
          </w:tcPr>
          <w:p>
            <w:pPr>
              <w:ind w:left="20"/>
              <w:spacing w:after="0"/>
              <w:rPr>
                <w:sz w:val="20"/>
                <w:szCs w:val="20"/>
                <w:color w:val="auto"/>
              </w:rPr>
            </w:pPr>
            <w:r>
              <w:rPr>
                <w:rFonts w:ascii="Arial" w:cs="Arial" w:eastAsia="Arial" w:hAnsi="Arial"/>
                <w:sz w:val="18"/>
                <w:szCs w:val="18"/>
                <w:color w:val="auto"/>
                <w:highlight w:val="lightGray"/>
              </w:rPr>
              <w:t>​</w:t>
            </w:r>
          </w:p>
        </w:tc>
        <w:tc>
          <w:tcPr>
            <w:tcW w:w="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 3,779</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3,833</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1,917</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r>
      <w:tr>
        <w:trPr>
          <w:trHeight w:val="243"/>
        </w:trPr>
        <w:tc>
          <w:tcPr>
            <w:tcW w:w="780" w:type="dxa"/>
            <w:vAlign w:val="bottom"/>
            <w:tcBorders>
              <w:right w:val="single" w:sz="8" w:color="3C5896"/>
            </w:tcBorders>
          </w:tcPr>
          <w:p>
            <w:pPr>
              <w:spacing w:after="0"/>
              <w:rPr>
                <w:sz w:val="21"/>
                <w:szCs w:val="21"/>
                <w:color w:val="auto"/>
              </w:rPr>
            </w:pPr>
          </w:p>
        </w:tc>
        <w:tc>
          <w:tcPr>
            <w:tcW w:w="2780" w:type="dxa"/>
            <w:vAlign w:val="bottom"/>
            <w:tcBorders>
              <w:bottom w:val="single" w:sz="8" w:color="3C5896"/>
            </w:tcBorders>
            <w:gridSpan w:val="2"/>
          </w:tcPr>
          <w:p>
            <w:pPr>
              <w:ind w:left="20"/>
              <w:spacing w:after="0"/>
              <w:rPr>
                <w:sz w:val="20"/>
                <w:szCs w:val="20"/>
                <w:color w:val="auto"/>
              </w:rPr>
            </w:pPr>
            <w:r>
              <w:rPr>
                <w:rFonts w:ascii="Arial" w:cs="Arial" w:eastAsia="Arial" w:hAnsi="Arial"/>
                <w:sz w:val="18"/>
                <w:szCs w:val="18"/>
                <w:color w:val="auto"/>
              </w:rPr>
              <w:t>​Bill Clark</w:t>
            </w:r>
          </w:p>
        </w:tc>
        <w:tc>
          <w:tcPr>
            <w:tcW w:w="480" w:type="dxa"/>
            <w:vAlign w:val="bottom"/>
            <w:tcBorders>
              <w:bottom w:val="single" w:sz="8" w:color="3C5896"/>
            </w:tcBorders>
            <w:gridSpan w:val="4"/>
          </w:tcPr>
          <w:p>
            <w:pPr>
              <w:ind w:lef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tcBorders>
              <w:bottom w:val="single" w:sz="8" w:color="3C5896"/>
            </w:tcBorders>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3C5896"/>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3,779</w:t>
            </w:r>
          </w:p>
        </w:tc>
        <w:tc>
          <w:tcPr>
            <w:tcW w:w="180" w:type="dxa"/>
            <w:vAlign w:val="bottom"/>
            <w:tcBorders>
              <w:bottom w:val="single" w:sz="8" w:color="3C5896"/>
            </w:tcBorders>
            <w:gridSpan w:val="3"/>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3C5896"/>
            </w:tcBorders>
          </w:tcPr>
          <w:p>
            <w:pPr>
              <w:jc w:val="center"/>
              <w:spacing w:after="0"/>
              <w:rPr>
                <w:sz w:val="20"/>
                <w:szCs w:val="20"/>
                <w:color w:val="auto"/>
              </w:rPr>
            </w:pPr>
            <w:r>
              <w:rPr>
                <w:rFonts w:ascii="Arial" w:cs="Arial" w:eastAsia="Arial" w:hAnsi="Arial"/>
                <w:sz w:val="18"/>
                <w:szCs w:val="18"/>
                <w:color w:val="auto"/>
              </w:rPr>
              <w:t>​ 3,833</w:t>
            </w:r>
          </w:p>
        </w:tc>
        <w:tc>
          <w:tcPr>
            <w:tcW w:w="220" w:type="dxa"/>
            <w:vAlign w:val="bottom"/>
            <w:tcBorders>
              <w:bottom w:val="single" w:sz="8" w:color="3C5896"/>
            </w:tcBorders>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3C5896"/>
            </w:tcBorders>
          </w:tcPr>
          <w:p>
            <w:pPr>
              <w:jc w:val="center"/>
              <w:spacing w:after="0"/>
              <w:rPr>
                <w:sz w:val="20"/>
                <w:szCs w:val="20"/>
                <w:color w:val="auto"/>
              </w:rPr>
            </w:pPr>
            <w:r>
              <w:rPr>
                <w:rFonts w:ascii="Arial" w:cs="Arial" w:eastAsia="Arial" w:hAnsi="Arial"/>
                <w:sz w:val="18"/>
                <w:szCs w:val="18"/>
                <w:color w:val="auto"/>
              </w:rPr>
              <w:t>​ 1,917</w:t>
            </w:r>
          </w:p>
        </w:tc>
        <w:tc>
          <w:tcPr>
            <w:tcW w:w="10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r>
      <w:tr>
        <w:trPr>
          <w:trHeight w:val="513"/>
        </w:trPr>
        <w:tc>
          <w:tcPr>
            <w:tcW w:w="7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b w:val="1"/>
                <w:bCs w:val="1"/>
                <w:color w:val="auto"/>
              </w:rPr>
              <w:t>34</w:t>
            </w:r>
          </w:p>
        </w:tc>
        <w:tc>
          <w:tcPr>
            <w:tcW w:w="2480" w:type="dxa"/>
            <w:vAlign w:val="bottom"/>
          </w:tcPr>
          <w:p>
            <w:pPr>
              <w:ind w:left="600"/>
              <w:spacing w:after="0"/>
              <w:rPr>
                <w:sz w:val="20"/>
                <w:szCs w:val="20"/>
                <w:color w:val="auto"/>
              </w:rPr>
            </w:pPr>
            <w:r>
              <w:rPr>
                <w:rFonts w:ascii="Arial" w:cs="Arial" w:eastAsia="Arial" w:hAnsi="Arial"/>
                <w:sz w:val="16"/>
                <w:szCs w:val="16"/>
                <w:color w:val="auto"/>
              </w:rPr>
              <w:t>2022 Proxy Statement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0"/>
        </w:trPr>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-1422400</wp:posOffset>
            </wp:positionV>
            <wp:extent cx="5829300" cy="8140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9300" cy="81407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-479425</wp:posOffset>
            </wp:positionV>
            <wp:extent cx="300355"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0355" cy="24003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i w:val="1"/>
          <w:iCs w:val="1"/>
          <w:color w:val="auto"/>
        </w:rPr>
        <w:t>Stock Option Awards</w:t>
      </w:r>
      <w:r>
        <w:rPr>
          <w:rFonts w:ascii="Arial" w:cs="Arial" w:eastAsia="Arial" w:hAnsi="Arial"/>
          <w:sz w:val="18"/>
          <w:szCs w:val="18"/>
          <w:color w:val="auto"/>
        </w:rPr>
        <w:t>. The options granted in fiscal 2021 vest in three equal annual installments, with one-third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number of shares underlying the options vesting on each of the first, second, and third anniversaries of March 5, 2021, subject to the executive’s continued employment through the applicable vesting date.</w:t>
      </w:r>
    </w:p>
    <w:p>
      <w:pPr>
        <w:spacing w:after="0" w:line="63"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i w:val="1"/>
          <w:iCs w:val="1"/>
          <w:color w:val="auto"/>
        </w:rPr>
        <w:t>RSU Awards</w:t>
      </w:r>
      <w:r>
        <w:rPr>
          <w:rFonts w:ascii="Arial" w:cs="Arial" w:eastAsia="Arial" w:hAnsi="Arial"/>
          <w:sz w:val="18"/>
          <w:szCs w:val="18"/>
          <w:color w:val="auto"/>
        </w:rPr>
        <w:t>. The RSUs granted in fiscal 2021 to Messrs. Fahs, Moore, Brandman, and Clark will vest in three</w:t>
      </w:r>
      <w:r>
        <w:rPr>
          <w:rFonts w:ascii="Arial" w:cs="Arial" w:eastAsia="Arial" w:hAnsi="Arial"/>
          <w:sz w:val="18"/>
          <w:szCs w:val="18"/>
          <w:i w:val="1"/>
          <w:iCs w:val="1"/>
          <w:color w:val="auto"/>
        </w:rPr>
        <w:t xml:space="preserve"> </w:t>
      </w:r>
      <w:r>
        <w:rPr>
          <w:rFonts w:ascii="Arial" w:cs="Arial" w:eastAsia="Arial" w:hAnsi="Arial"/>
          <w:sz w:val="18"/>
          <w:szCs w:val="18"/>
          <w:color w:val="auto"/>
        </w:rPr>
        <w:t>equal annual installments, with one-third of the total number of shares underlying the RSUs vesting on each of the first, second, and third anniversaries of March 5, 2021, subject to the executive’s continued employment through the applicable vesting period.</w:t>
      </w:r>
    </w:p>
    <w:p>
      <w:pPr>
        <w:spacing w:after="0" w:line="68"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The RSUs granted in fiscal 2021 to Mr. Francis will vest over two years, with 66% of the shares underlying the RSUs vesting on the first anniversary of May 3, 2021 and the remaining 34% of the shares underlying the RSUs vesting on the second anniversary of May 3, 2021, subject to Mr. Francis’s continued employment through the applicable vesting period as per his onboarding agreement.</w:t>
      </w:r>
    </w:p>
    <w:p>
      <w:pPr>
        <w:spacing w:after="0" w:line="68"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i w:val="1"/>
          <w:iCs w:val="1"/>
          <w:color w:val="auto"/>
        </w:rPr>
        <w:t>PSU Awards</w:t>
      </w:r>
      <w:r>
        <w:rPr>
          <w:rFonts w:ascii="Arial" w:cs="Arial" w:eastAsia="Arial" w:hAnsi="Arial"/>
          <w:sz w:val="18"/>
          <w:szCs w:val="18"/>
          <w:color w:val="auto"/>
        </w:rPr>
        <w:t>. PSU awards are earned over a three-year performance period and, for the 2021 PSU awards,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conditioned on the Company’s achievement of certain Adjusted Operating Income and Adjusted ROIC growth targets, as set forth in the PSU award agreement. 75% of the target PSUs shall be subject to performance goals relating to Adjusted Operating Income (the “AOI PSUs”), and 25% of the target PSUs shall be subject to performance goals relating to ROIC (the “ROIC PSUs”). Each of these performance metrics will be measured independently. Vesting is based on an achievement factor which, in each case, ranges from 50% payout for threshold performance, 100% for target performance, and 200% for maximum performance. To the extent that performance falls between the applicable threshold, target or maximum levels, payouts will be determined using linear interpolation.</w:t>
      </w:r>
    </w:p>
    <w:p>
      <w:pPr>
        <w:spacing w:after="0" w:line="7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The PSU awards granted in fiscal 2021 will be settled after the end of the respective three-year performance period, which began on the first day of our 2021 fiscal year and ends on the last day of our 2023 fiscal year. For each metric, the compensation committee believes that the goals set are appropriately challenging, yet reasonably attainable. The actual goals are not being disclosed before the end of the performance period because we believe such disclosure would be competitively harmful. As a note, the 2020 PSUs remain subject to an Adjusted EBITDA performance measure.</w:t>
      </w:r>
    </w:p>
    <w:p>
      <w:pPr>
        <w:spacing w:after="0" w:line="74"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PSUs granted in 2019 (based on the three-year 2019-2021 performance period), vested and were payable in February 2022. The compensation committee certified the level of achievement of the performance criteria for the 2019 PSUs based on the Company’s achievement of certain annual Adjusted EBITDA growth targets (set at the beginning of the three-year performance period) over the performance period, as set forth in the PSU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81280</wp:posOffset>
            </wp:positionV>
            <wp:extent cx="4869180" cy="22713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6918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Accordingly, based on the Company’s actual Adjusted EBITDA growth rate during the three-year performance period ending January 1, 2022, the vesting percentage of the PSU awards granted in fiscal 2019 to our NEOs, and which vested on February 24, 2022, was 154.87% of the target shares underlying those awards.</w:t>
      </w:r>
    </w:p>
    <w:p>
      <w:pPr>
        <w:spacing w:after="0" w:line="200" w:lineRule="exact"/>
        <w:rPr>
          <w:sz w:val="20"/>
          <w:szCs w:val="20"/>
          <w:color w:val="auto"/>
        </w:rPr>
      </w:pPr>
    </w:p>
    <w:p>
      <w:pPr>
        <w:spacing w:after="0" w:line="21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3429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163195"/>
                    </a:xfrm>
                    <a:prstGeom prst="rect">
                      <a:avLst/>
                    </a:prstGeom>
                    <a:noFill/>
                  </pic:spPr>
                </pic:pic>
              </a:graphicData>
            </a:graphic>
          </wp:anchor>
        </w:drawing>
      </w:r>
    </w:p>
    <w:p>
      <w:pPr>
        <w:spacing w:after="0" w:line="224" w:lineRule="exact"/>
        <w:rPr>
          <w:sz w:val="20"/>
          <w:szCs w:val="20"/>
          <w:color w:val="auto"/>
        </w:rPr>
      </w:pPr>
    </w:p>
    <w:tbl>
      <w:tblPr>
        <w:tblLayout w:type="fixed"/>
        <w:tblInd w:w="76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164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5120" w:type="dxa"/>
            <w:vAlign w:val="bottom"/>
            <w:gridSpan w:val="2"/>
            <w:shd w:val="clear" w:color="auto" w:fill="3C5896"/>
          </w:tcPr>
          <w:p>
            <w:pPr>
              <w:jc w:val="right"/>
              <w:ind w:right="610"/>
              <w:spacing w:after="0"/>
              <w:rPr>
                <w:sz w:val="20"/>
                <w:szCs w:val="20"/>
                <w:color w:val="auto"/>
              </w:rPr>
            </w:pPr>
            <w:r>
              <w:rPr>
                <w:rFonts w:ascii="Arial" w:cs="Arial" w:eastAsia="Arial" w:hAnsi="Arial"/>
                <w:sz w:val="18"/>
                <w:szCs w:val="18"/>
                <w:b w:val="1"/>
                <w:bCs w:val="1"/>
                <w:color w:val="FFFFFF"/>
              </w:rPr>
              <w:t>Vesting of PSU Awards (2019 LTIP)</w:t>
            </w:r>
          </w:p>
        </w:tc>
        <w:tc>
          <w:tcPr>
            <w:tcW w:w="220" w:type="dxa"/>
            <w:vAlign w:val="bottom"/>
            <w:shd w:val="clear" w:color="auto" w:fill="3C5896"/>
          </w:tcPr>
          <w:p>
            <w:pPr>
              <w:spacing w:after="0"/>
              <w:rPr>
                <w:sz w:val="22"/>
                <w:szCs w:val="22"/>
                <w:color w:val="auto"/>
              </w:rPr>
            </w:pPr>
          </w:p>
        </w:tc>
        <w:tc>
          <w:tcPr>
            <w:tcW w:w="920" w:type="dxa"/>
            <w:vAlign w:val="bottom"/>
            <w:shd w:val="clear" w:color="auto" w:fill="3C5896"/>
          </w:tcPr>
          <w:p>
            <w:pPr>
              <w:spacing w:after="0"/>
              <w:rPr>
                <w:sz w:val="22"/>
                <w:szCs w:val="22"/>
                <w:color w:val="auto"/>
              </w:rPr>
            </w:pPr>
          </w:p>
        </w:tc>
        <w:tc>
          <w:tcPr>
            <w:tcW w:w="20" w:type="dxa"/>
            <w:vAlign w:val="bottom"/>
            <w:shd w:val="clear" w:color="auto" w:fill="3C5896"/>
          </w:tcPr>
          <w:p>
            <w:pPr>
              <w:spacing w:after="0"/>
              <w:rPr>
                <w:sz w:val="22"/>
                <w:szCs w:val="22"/>
                <w:color w:val="auto"/>
              </w:rPr>
            </w:pPr>
          </w:p>
        </w:tc>
        <w:tc>
          <w:tcPr>
            <w:tcW w:w="120" w:type="dxa"/>
            <w:vAlign w:val="bottom"/>
            <w:shd w:val="clear" w:color="auto" w:fill="3C5896"/>
          </w:tcPr>
          <w:p>
            <w:pPr>
              <w:spacing w:after="0"/>
              <w:rPr>
                <w:sz w:val="22"/>
                <w:szCs w:val="22"/>
                <w:color w:val="auto"/>
              </w:rPr>
            </w:pPr>
          </w:p>
        </w:tc>
        <w:tc>
          <w:tcPr>
            <w:tcW w:w="980" w:type="dxa"/>
            <w:vAlign w:val="bottom"/>
            <w:vMerge w:val="restart"/>
            <w:shd w:val="clear" w:color="auto" w:fill="3C5896"/>
          </w:tcPr>
          <w:p>
            <w:pPr>
              <w:jc w:val="center"/>
              <w:spacing w:after="0"/>
              <w:rPr>
                <w:sz w:val="20"/>
                <w:szCs w:val="20"/>
                <w:color w:val="auto"/>
              </w:rPr>
            </w:pPr>
            <w:r>
              <w:rPr>
                <w:rFonts w:ascii="Arial" w:cs="Arial" w:eastAsia="Arial" w:hAnsi="Arial"/>
                <w:sz w:val="18"/>
                <w:szCs w:val="18"/>
                <w:b w:val="1"/>
                <w:bCs w:val="1"/>
                <w:color w:val="FFFFFF"/>
                <w:w w:val="96"/>
              </w:rPr>
              <w:t>Number</w:t>
            </w:r>
          </w:p>
        </w:tc>
        <w:tc>
          <w:tcPr>
            <w:tcW w:w="160" w:type="dxa"/>
            <w:vAlign w:val="bottom"/>
            <w:shd w:val="clear" w:color="auto" w:fill="3C5896"/>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184"/>
        </w:trPr>
        <w:tc>
          <w:tcPr>
            <w:tcW w:w="20" w:type="dxa"/>
            <w:vAlign w:val="bottom"/>
            <w:shd w:val="clear" w:color="auto" w:fill="3C5896"/>
          </w:tcPr>
          <w:p>
            <w:pPr>
              <w:spacing w:after="0"/>
              <w:rPr>
                <w:sz w:val="15"/>
                <w:szCs w:val="15"/>
                <w:color w:val="auto"/>
              </w:rPr>
            </w:pPr>
          </w:p>
        </w:tc>
        <w:tc>
          <w:tcPr>
            <w:tcW w:w="16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3C5896"/>
          </w:tcPr>
          <w:p>
            <w:pPr>
              <w:spacing w:after="0"/>
              <w:rPr>
                <w:sz w:val="15"/>
                <w:szCs w:val="15"/>
                <w:color w:val="auto"/>
              </w:rPr>
            </w:pPr>
          </w:p>
        </w:tc>
        <w:tc>
          <w:tcPr>
            <w:tcW w:w="980" w:type="dxa"/>
            <w:vAlign w:val="bottom"/>
            <w:vMerge w:val="continue"/>
            <w:shd w:val="clear" w:color="auto" w:fill="3C5896"/>
          </w:tcPr>
          <w:p>
            <w:pPr>
              <w:spacing w:after="0"/>
              <w:rPr>
                <w:sz w:val="15"/>
                <w:szCs w:val="15"/>
                <w:color w:val="auto"/>
              </w:rPr>
            </w:pPr>
          </w:p>
        </w:tc>
        <w:tc>
          <w:tcPr>
            <w:tcW w:w="160" w:type="dxa"/>
            <w:vAlign w:val="bottom"/>
            <w:shd w:val="clear" w:color="auto" w:fill="3C589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3C5896"/>
          </w:tcPr>
          <w:p>
            <w:pPr>
              <w:spacing w:after="0"/>
              <w:rPr>
                <w:sz w:val="16"/>
                <w:szCs w:val="16"/>
                <w:color w:val="auto"/>
              </w:rPr>
            </w:pPr>
          </w:p>
        </w:tc>
        <w:tc>
          <w:tcPr>
            <w:tcW w:w="16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b w:val="1"/>
                <w:bCs w:val="1"/>
                <w:color w:val="FFFFFF"/>
              </w:rPr>
              <w:t>Number</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3C5896"/>
          </w:tcPr>
          <w:p>
            <w:pPr>
              <w:spacing w:after="0"/>
              <w:rPr>
                <w:sz w:val="16"/>
                <w:szCs w:val="16"/>
                <w:color w:val="auto"/>
              </w:rPr>
            </w:pPr>
          </w:p>
        </w:tc>
        <w:tc>
          <w:tcPr>
            <w:tcW w:w="980" w:type="dxa"/>
            <w:vAlign w:val="bottom"/>
            <w:shd w:val="clear" w:color="auto" w:fill="3C5896"/>
          </w:tcPr>
          <w:p>
            <w:pPr>
              <w:jc w:val="center"/>
              <w:spacing w:after="0" w:line="189" w:lineRule="exact"/>
              <w:rPr>
                <w:sz w:val="20"/>
                <w:szCs w:val="20"/>
                <w:color w:val="auto"/>
              </w:rPr>
            </w:pPr>
            <w:r>
              <w:rPr>
                <w:rFonts w:ascii="Arial" w:cs="Arial" w:eastAsia="Arial" w:hAnsi="Arial"/>
                <w:sz w:val="18"/>
                <w:szCs w:val="18"/>
                <w:b w:val="1"/>
                <w:bCs w:val="1"/>
                <w:color w:val="FFFFFF"/>
                <w:w w:val="99"/>
              </w:rPr>
              <w:t>of Shares</w:t>
            </w:r>
          </w:p>
        </w:tc>
        <w:tc>
          <w:tcPr>
            <w:tcW w:w="160" w:type="dxa"/>
            <w:vAlign w:val="bottom"/>
            <w:shd w:val="clear" w:color="auto" w:fill="3C589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3C5896"/>
          </w:tcPr>
          <w:p>
            <w:pPr>
              <w:spacing w:after="0"/>
              <w:rPr>
                <w:sz w:val="17"/>
                <w:szCs w:val="17"/>
                <w:color w:val="auto"/>
              </w:rPr>
            </w:pPr>
          </w:p>
        </w:tc>
        <w:tc>
          <w:tcPr>
            <w:tcW w:w="16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FFFFFF"/>
              </w:rPr>
              <w:t>of Target</w:t>
            </w:r>
          </w:p>
        </w:tc>
        <w:tc>
          <w:tcPr>
            <w:tcW w:w="220" w:type="dxa"/>
            <w:vAlign w:val="bottom"/>
          </w:tcPr>
          <w:p>
            <w:pPr>
              <w:spacing w:after="0"/>
              <w:rPr>
                <w:sz w:val="17"/>
                <w:szCs w:val="17"/>
                <w:color w:val="auto"/>
              </w:rPr>
            </w:pPr>
          </w:p>
        </w:tc>
        <w:tc>
          <w:tcPr>
            <w:tcW w:w="9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FFFFFF"/>
              </w:rPr>
              <w:t>Vesting</w:t>
            </w:r>
          </w:p>
        </w:tc>
        <w:tc>
          <w:tcPr>
            <w:tcW w:w="20" w:type="dxa"/>
            <w:vAlign w:val="bottom"/>
          </w:tcPr>
          <w:p>
            <w:pPr>
              <w:spacing w:after="0"/>
              <w:rPr>
                <w:sz w:val="17"/>
                <w:szCs w:val="17"/>
                <w:color w:val="auto"/>
              </w:rPr>
            </w:pPr>
          </w:p>
        </w:tc>
        <w:tc>
          <w:tcPr>
            <w:tcW w:w="120" w:type="dxa"/>
            <w:vAlign w:val="bottom"/>
            <w:shd w:val="clear" w:color="auto" w:fill="3C5896"/>
          </w:tcPr>
          <w:p>
            <w:pPr>
              <w:spacing w:after="0"/>
              <w:rPr>
                <w:sz w:val="17"/>
                <w:szCs w:val="17"/>
                <w:color w:val="auto"/>
              </w:rPr>
            </w:pPr>
          </w:p>
        </w:tc>
        <w:tc>
          <w:tcPr>
            <w:tcW w:w="980" w:type="dxa"/>
            <w:vAlign w:val="bottom"/>
            <w:shd w:val="clear" w:color="auto" w:fill="3C5896"/>
          </w:tcPr>
          <w:p>
            <w:pPr>
              <w:jc w:val="center"/>
              <w:spacing w:after="0" w:line="202" w:lineRule="exact"/>
              <w:rPr>
                <w:sz w:val="20"/>
                <w:szCs w:val="20"/>
                <w:color w:val="auto"/>
              </w:rPr>
            </w:pPr>
            <w:r>
              <w:rPr>
                <w:rFonts w:ascii="Arial" w:cs="Arial" w:eastAsia="Arial" w:hAnsi="Arial"/>
                <w:sz w:val="18"/>
                <w:szCs w:val="18"/>
                <w:b w:val="1"/>
                <w:bCs w:val="1"/>
                <w:color w:val="FFFFFF"/>
                <w:w w:val="98"/>
              </w:rPr>
              <w:t>delivered</w:t>
            </w:r>
          </w:p>
        </w:tc>
        <w:tc>
          <w:tcPr>
            <w:tcW w:w="160" w:type="dxa"/>
            <w:vAlign w:val="bottom"/>
            <w:shd w:val="clear" w:color="auto" w:fill="3C5896"/>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3C5896"/>
          </w:tcPr>
          <w:p>
            <w:pPr>
              <w:spacing w:after="0"/>
              <w:rPr>
                <w:sz w:val="20"/>
                <w:szCs w:val="20"/>
                <w:color w:val="auto"/>
              </w:rPr>
            </w:pPr>
          </w:p>
        </w:tc>
        <w:tc>
          <w:tcPr>
            <w:tcW w:w="1640" w:type="dxa"/>
            <w:vAlign w:val="bottom"/>
          </w:tcPr>
          <w:p>
            <w:pPr>
              <w:ind w:left="20"/>
              <w:spacing w:after="0"/>
              <w:rPr>
                <w:sz w:val="20"/>
                <w:szCs w:val="20"/>
                <w:color w:val="auto"/>
              </w:rPr>
            </w:pPr>
            <w:r>
              <w:rPr>
                <w:rFonts w:ascii="Arial" w:cs="Arial" w:eastAsia="Arial" w:hAnsi="Arial"/>
                <w:sz w:val="18"/>
                <w:szCs w:val="18"/>
                <w:b w:val="1"/>
                <w:bCs w:val="1"/>
                <w:color w:val="FFFFFF"/>
              </w:rPr>
              <w:t>​</w:t>
            </w:r>
          </w:p>
        </w:tc>
        <w:tc>
          <w:tcPr>
            <w:tcW w:w="3320" w:type="dxa"/>
            <w:vAlign w:val="bottom"/>
          </w:tcPr>
          <w:p>
            <w:pPr>
              <w:ind w:left="260"/>
              <w:spacing w:after="0"/>
              <w:rPr>
                <w:sz w:val="20"/>
                <w:szCs w:val="20"/>
                <w:color w:val="auto"/>
              </w:rPr>
            </w:pPr>
            <w:r>
              <w:rPr>
                <w:rFonts w:ascii="Arial" w:cs="Arial" w:eastAsia="Arial" w:hAnsi="Arial"/>
                <w:sz w:val="18"/>
                <w:szCs w:val="18"/>
                <w:b w:val="1"/>
                <w:bCs w:val="1"/>
                <w:color w:val="FFFFFF"/>
              </w:rPr>
              <w:t>Named Executive Officer</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FFFFFF"/>
              </w:rPr>
              <w:t>​​ Shares</w:t>
            </w: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FFFFFF"/>
              </w:rPr>
              <w:t>​​Percentage</w:t>
            </w:r>
          </w:p>
        </w:tc>
        <w:tc>
          <w:tcPr>
            <w:tcW w:w="20" w:type="dxa"/>
            <w:vAlign w:val="bottom"/>
          </w:tcPr>
          <w:p>
            <w:pPr>
              <w:spacing w:after="0"/>
              <w:rPr>
                <w:sz w:val="20"/>
                <w:szCs w:val="20"/>
                <w:color w:val="auto"/>
              </w:rPr>
            </w:pPr>
          </w:p>
        </w:tc>
        <w:tc>
          <w:tcPr>
            <w:tcW w:w="1260" w:type="dxa"/>
            <w:vAlign w:val="bottom"/>
            <w:gridSpan w:val="3"/>
            <w:shd w:val="clear" w:color="auto" w:fill="3C5896"/>
          </w:tcPr>
          <w:p>
            <w:pPr>
              <w:jc w:val="right"/>
              <w:spacing w:after="0"/>
              <w:rPr>
                <w:sz w:val="20"/>
                <w:szCs w:val="20"/>
                <w:color w:val="auto"/>
              </w:rPr>
            </w:pPr>
            <w:r>
              <w:rPr>
                <w:rFonts w:ascii="Arial" w:cs="Arial" w:eastAsia="Arial" w:hAnsi="Arial"/>
                <w:sz w:val="18"/>
                <w:szCs w:val="18"/>
                <w:b w:val="1"/>
                <w:bCs w:val="1"/>
                <w:color w:val="FFFFFF"/>
              </w:rPr>
              <w:t>​​upon Vesting ​</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​L. Reade Fahs</w:t>
            </w:r>
          </w:p>
        </w:tc>
        <w:tc>
          <w:tcPr>
            <w:tcW w:w="332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 ​31,970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154.87% ​​​</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49,512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3C5896"/>
          </w:tcPr>
          <w:p>
            <w:pPr>
              <w:spacing w:after="0"/>
              <w:rPr>
                <w:sz w:val="18"/>
                <w:szCs w:val="18"/>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​Patrick R. Moore</w:t>
            </w:r>
          </w:p>
        </w:tc>
        <w:tc>
          <w:tcPr>
            <w:tcW w:w="332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w:t>
            </w:r>
            <w:r>
              <w:rPr>
                <w:rFonts w:ascii="Arial" w:cs="Arial" w:eastAsia="Arial" w:hAnsi="Arial"/>
                <w:sz w:val="18"/>
                <w:szCs w:val="18"/>
                <w:color w:val="auto"/>
              </w:rPr>
              <w:t xml:space="preserve"> </w:t>
            </w:r>
            <w:r>
              <w:rPr>
                <w:rFonts w:ascii="Arial" w:cs="Arial" w:eastAsia="Arial" w:hAnsi="Arial"/>
                <w:sz w:val="18"/>
                <w:szCs w:val="18"/>
                <w:color w:val="auto"/>
                <w:highlight w:val="lightGray"/>
              </w:rPr>
              <w:t>​</w:t>
            </w:r>
            <w:r>
              <w:rPr>
                <w:rFonts w:ascii="Arial" w:cs="Arial" w:eastAsia="Arial" w:hAnsi="Arial"/>
                <w:sz w:val="18"/>
                <w:szCs w:val="18"/>
                <w:color w:val="auto"/>
              </w:rPr>
              <w:t xml:space="preserve"> </w:t>
            </w:r>
            <w:r>
              <w:rPr>
                <w:rFonts w:ascii="Arial" w:cs="Arial" w:eastAsia="Arial" w:hAnsi="Arial"/>
                <w:sz w:val="18"/>
                <w:szCs w:val="18"/>
                <w:color w:val="auto"/>
                <w:highlight w:val="lightGray"/>
              </w:rPr>
              <w:t>8,526</w:t>
            </w:r>
          </w:p>
        </w:tc>
        <w:tc>
          <w:tcPr>
            <w:tcW w:w="220" w:type="dxa"/>
            <w:vAlign w:val="bottom"/>
          </w:tcPr>
          <w:p>
            <w:pPr>
              <w:ind w:left="2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highlight w:val="lightGray"/>
              </w:rPr>
              <w:t>​</w:t>
            </w:r>
            <w:r>
              <w:rPr>
                <w:rFonts w:ascii="Arial" w:cs="Arial" w:eastAsia="Arial" w:hAnsi="Arial"/>
                <w:sz w:val="18"/>
                <w:szCs w:val="18"/>
                <w:color w:val="auto"/>
                <w:highlight w:val="lightGray"/>
              </w:rPr>
              <w:t>154.87% ​</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highlight w:val="lightGray"/>
              </w:rPr>
              <w:t>​</w:t>
            </w:r>
            <w:r>
              <w:rPr>
                <w:rFonts w:ascii="Arial" w:cs="Arial" w:eastAsia="Arial" w:hAnsi="Arial"/>
                <w:sz w:val="18"/>
                <w:szCs w:val="18"/>
                <w:color w:val="auto"/>
                <w:highlight w:val="lightGray"/>
              </w:rPr>
              <w:t>13,205</w:t>
            </w:r>
          </w:p>
        </w:tc>
        <w:tc>
          <w:tcPr>
            <w:tcW w:w="16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c>
          <w:tcPr>
            <w:tcW w:w="0" w:type="dxa"/>
            <w:vAlign w:val="bottom"/>
          </w:tcPr>
          <w:p>
            <w:pPr>
              <w:spacing w:after="0"/>
              <w:rPr>
                <w:sz w:val="1"/>
                <w:szCs w:val="1"/>
                <w:color w:val="auto"/>
              </w:rPr>
            </w:pPr>
          </w:p>
        </w:tc>
      </w:tr>
      <w:tr>
        <w:trPr>
          <w:trHeight w:val="278"/>
        </w:trPr>
        <w:tc>
          <w:tcPr>
            <w:tcW w:w="20" w:type="dxa"/>
            <w:vAlign w:val="bottom"/>
            <w:shd w:val="clear" w:color="auto" w:fill="3C5896"/>
          </w:tcPr>
          <w:p>
            <w:pPr>
              <w:spacing w:after="0"/>
              <w:rPr>
                <w:sz w:val="24"/>
                <w:szCs w:val="24"/>
                <w:color w:val="auto"/>
              </w:rPr>
            </w:pPr>
          </w:p>
        </w:tc>
        <w:tc>
          <w:tcPr>
            <w:tcW w:w="1640" w:type="dxa"/>
            <w:vAlign w:val="bottom"/>
          </w:tcPr>
          <w:p>
            <w:pPr>
              <w:ind w:left="20"/>
              <w:spacing w:after="0" w:line="278"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Roger Francis</w:t>
            </w:r>
            <w:r>
              <w:rPr>
                <w:rFonts w:ascii="Arial" w:cs="Arial" w:eastAsia="Arial" w:hAnsi="Arial"/>
                <w:sz w:val="21"/>
                <w:szCs w:val="21"/>
                <w:color w:val="auto"/>
                <w:vertAlign w:val="superscript"/>
              </w:rPr>
              <w:t>(1)</w:t>
            </w:r>
            <w:r>
              <w:rPr>
                <w:rFonts w:ascii="Arial" w:cs="Arial" w:eastAsia="Arial" w:hAnsi="Arial"/>
                <w:sz w:val="17"/>
                <w:szCs w:val="17"/>
                <w:color w:val="auto"/>
              </w:rPr>
              <w:t>​</w:t>
            </w:r>
          </w:p>
        </w:tc>
        <w:tc>
          <w:tcPr>
            <w:tcW w:w="3320" w:type="dxa"/>
            <w:vAlign w:val="bottom"/>
          </w:tcPr>
          <w:p>
            <w:pPr>
              <w:spacing w:after="0"/>
              <w:rPr>
                <w:sz w:val="24"/>
                <w:szCs w:val="24"/>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 ​  N/A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N/A  ​​​</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N/A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3C5896"/>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​Jared Brandman</w:t>
            </w:r>
          </w:p>
        </w:tc>
        <w:tc>
          <w:tcPr>
            <w:tcW w:w="332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w:t>
            </w:r>
            <w:r>
              <w:rPr>
                <w:rFonts w:ascii="Arial" w:cs="Arial" w:eastAsia="Arial" w:hAnsi="Arial"/>
                <w:sz w:val="18"/>
                <w:szCs w:val="18"/>
                <w:color w:val="auto"/>
              </w:rPr>
              <w:t xml:space="preserve"> </w:t>
            </w:r>
            <w:r>
              <w:rPr>
                <w:rFonts w:ascii="Arial" w:cs="Arial" w:eastAsia="Arial" w:hAnsi="Arial"/>
                <w:sz w:val="18"/>
                <w:szCs w:val="18"/>
                <w:color w:val="auto"/>
                <w:highlight w:val="lightGray"/>
              </w:rPr>
              <w:t>​</w:t>
            </w:r>
            <w:r>
              <w:rPr>
                <w:rFonts w:ascii="Arial" w:cs="Arial" w:eastAsia="Arial" w:hAnsi="Arial"/>
                <w:sz w:val="18"/>
                <w:szCs w:val="18"/>
                <w:color w:val="auto"/>
              </w:rPr>
              <w:t xml:space="preserve"> </w:t>
            </w:r>
            <w:r>
              <w:rPr>
                <w:rFonts w:ascii="Arial" w:cs="Arial" w:eastAsia="Arial" w:hAnsi="Arial"/>
                <w:sz w:val="18"/>
                <w:szCs w:val="18"/>
                <w:color w:val="auto"/>
                <w:highlight w:val="lightGray"/>
              </w:rPr>
              <w:t>3,553</w:t>
            </w:r>
          </w:p>
        </w:tc>
        <w:tc>
          <w:tcPr>
            <w:tcW w:w="220" w:type="dxa"/>
            <w:vAlign w:val="bottom"/>
          </w:tcPr>
          <w:p>
            <w:pPr>
              <w:ind w:left="2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highlight w:val="lightGray"/>
              </w:rPr>
              <w:t>​</w:t>
            </w:r>
            <w:r>
              <w:rPr>
                <w:rFonts w:ascii="Arial" w:cs="Arial" w:eastAsia="Arial" w:hAnsi="Arial"/>
                <w:sz w:val="18"/>
                <w:szCs w:val="18"/>
                <w:color w:val="auto"/>
                <w:highlight w:val="lightGray"/>
              </w:rPr>
              <w:t>154.87% ​</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highlight w:val="lightGray"/>
              </w:rPr>
              <w:t xml:space="preserve">​ </w:t>
            </w:r>
            <w:r>
              <w:rPr>
                <w:rFonts w:ascii="Arial" w:cs="Arial" w:eastAsia="Arial" w:hAnsi="Arial"/>
                <w:sz w:val="18"/>
                <w:szCs w:val="18"/>
                <w:color w:val="auto"/>
                <w:highlight w:val="lightGray"/>
              </w:rPr>
              <w:t>5,503</w:t>
            </w:r>
          </w:p>
        </w:tc>
        <w:tc>
          <w:tcPr>
            <w:tcW w:w="16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3C5896"/>
            </w:tcBorders>
            <w:shd w:val="clear" w:color="auto" w:fill="3C5896"/>
          </w:tcPr>
          <w:p>
            <w:pPr>
              <w:spacing w:after="0"/>
              <w:rPr>
                <w:sz w:val="19"/>
                <w:szCs w:val="19"/>
                <w:color w:val="auto"/>
              </w:rPr>
            </w:pPr>
          </w:p>
        </w:tc>
        <w:tc>
          <w:tcPr>
            <w:tcW w:w="1640" w:type="dxa"/>
            <w:vAlign w:val="bottom"/>
            <w:tcBorders>
              <w:bottom w:val="single" w:sz="8" w:color="3C5896"/>
            </w:tcBorders>
          </w:tcPr>
          <w:p>
            <w:pPr>
              <w:ind w:left="20"/>
              <w:spacing w:after="0"/>
              <w:rPr>
                <w:sz w:val="20"/>
                <w:szCs w:val="20"/>
                <w:color w:val="auto"/>
              </w:rPr>
            </w:pPr>
            <w:r>
              <w:rPr>
                <w:rFonts w:ascii="Arial" w:cs="Arial" w:eastAsia="Arial" w:hAnsi="Arial"/>
                <w:sz w:val="18"/>
                <w:szCs w:val="18"/>
                <w:color w:val="auto"/>
              </w:rPr>
              <w:t>​Bill Clark</w:t>
            </w:r>
          </w:p>
        </w:tc>
        <w:tc>
          <w:tcPr>
            <w:tcW w:w="3320" w:type="dxa"/>
            <w:vAlign w:val="bottom"/>
            <w:tcBorders>
              <w:bottom w:val="single" w:sz="8" w:color="3C5896"/>
            </w:tcBorders>
          </w:tcPr>
          <w:p>
            <w:pPr>
              <w:spacing w:after="0"/>
              <w:rPr>
                <w:sz w:val="19"/>
                <w:szCs w:val="19"/>
                <w:color w:val="auto"/>
              </w:rPr>
            </w:pPr>
          </w:p>
        </w:tc>
        <w:tc>
          <w:tcPr>
            <w:tcW w:w="1800" w:type="dxa"/>
            <w:vAlign w:val="bottom"/>
            <w:tcBorders>
              <w:bottom w:val="single" w:sz="8" w:color="3C5896"/>
            </w:tcBorders>
          </w:tcPr>
          <w:p>
            <w:pPr>
              <w:jc w:val="right"/>
              <w:ind w:right="10"/>
              <w:spacing w:after="0"/>
              <w:rPr>
                <w:sz w:val="20"/>
                <w:szCs w:val="20"/>
                <w:color w:val="auto"/>
              </w:rPr>
            </w:pPr>
            <w:r>
              <w:rPr>
                <w:rFonts w:ascii="Arial" w:cs="Arial" w:eastAsia="Arial" w:hAnsi="Arial"/>
                <w:sz w:val="18"/>
                <w:szCs w:val="18"/>
                <w:color w:val="auto"/>
              </w:rPr>
              <w:t>​​ ​ 8,779</w:t>
            </w:r>
          </w:p>
        </w:tc>
        <w:tc>
          <w:tcPr>
            <w:tcW w:w="220" w:type="dxa"/>
            <w:vAlign w:val="bottom"/>
            <w:tcBorders>
              <w:bottom w:val="single" w:sz="8" w:color="3C5896"/>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3C5896"/>
            </w:tcBorders>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154.87% ​​​</w:t>
            </w:r>
          </w:p>
        </w:tc>
        <w:tc>
          <w:tcPr>
            <w:tcW w:w="980" w:type="dxa"/>
            <w:vAlign w:val="bottom"/>
            <w:tcBorders>
              <w:bottom w:val="single" w:sz="8" w:color="3C5896"/>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13,597</w:t>
            </w:r>
          </w:p>
        </w:tc>
        <w:tc>
          <w:tcPr>
            <w:tcW w:w="16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-1268095</wp:posOffset>
            </wp:positionV>
            <wp:extent cx="5829300" cy="12687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0" cy="1268730"/>
                    </a:xfrm>
                    <a:prstGeom prst="rect">
                      <a:avLst/>
                    </a:prstGeom>
                    <a:noFill/>
                  </pic:spPr>
                </pic:pic>
              </a:graphicData>
            </a:graphic>
          </wp:anchor>
        </w:drawing>
      </w:r>
    </w:p>
    <w:p>
      <w:pPr>
        <w:spacing w:after="0" w:line="57" w:lineRule="exact"/>
        <w:rPr>
          <w:sz w:val="20"/>
          <w:szCs w:val="20"/>
          <w:color w:val="auto"/>
        </w:rPr>
      </w:pPr>
    </w:p>
    <w:p>
      <w:pPr>
        <w:ind w:left="1120" w:hanging="358"/>
        <w:spacing w:after="0"/>
        <w:tabs>
          <w:tab w:leader="none" w:pos="11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 Mr. Francis joined the Company in 2021, he did not receive a 2019 PSU award.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Changes for 2022</w:t>
      </w:r>
    </w:p>
    <w:p>
      <w:pPr>
        <w:spacing w:after="0" w:line="115"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color w:val="auto"/>
        </w:rPr>
        <w:t>For fiscal 2022, the compensation committee approved a different LTIP vehicle mix than in 2021, with 50% in PSUs and 50% in time-based RSUs. The 2022 PSUs will be based off the same two performance growth measures as the 2021 PSUs, Adjusted Operating Income and ROIC, which will be weighted 75% and 25%, respectively, for the three-year performance period. The compensation committee believes these changes provide an appropriate balance of performance-based and time-based incentive awards, consistent with the compensation philosophy and objectives described above.</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15" w:lineRule="exact"/>
        <w:rPr>
          <w:sz w:val="20"/>
          <w:szCs w:val="20"/>
          <w:color w:val="auto"/>
        </w:rPr>
      </w:pPr>
    </w:p>
    <w:p>
      <w:pPr>
        <w:jc w:val="both"/>
        <w:ind w:left="760"/>
        <w:spacing w:after="0" w:line="251" w:lineRule="auto"/>
        <w:rPr>
          <w:sz w:val="20"/>
          <w:szCs w:val="20"/>
          <w:color w:val="auto"/>
        </w:rPr>
      </w:pPr>
      <w:r>
        <w:rPr>
          <w:rFonts w:ascii="Arial" w:cs="Arial" w:eastAsia="Arial" w:hAnsi="Arial"/>
          <w:sz w:val="18"/>
          <w:szCs w:val="18"/>
          <w:color w:val="auto"/>
        </w:rPr>
        <w:t>The benefits and perquisites provided to our NEOs are not a material part of executive compensation and are largely limited to those offered to our employees generally, or that we have otherwise determined are necessary or appropriate to attract and retain talented executives. Our NEOs are eligible for specified benefits, such as group health, dental, disability and life insurance. These benefits are intended to provide competitive and adequate protection in case of sickness, and the NEOs participate in these plans on the same basis as all other employees.</w:t>
      </w:r>
    </w:p>
    <w:p>
      <w:pPr>
        <w:spacing w:after="0" w:line="65" w:lineRule="exact"/>
        <w:rPr>
          <w:sz w:val="20"/>
          <w:szCs w:val="20"/>
          <w:color w:val="auto"/>
        </w:rPr>
      </w:pPr>
    </w:p>
    <w:p>
      <w:pPr>
        <w:jc w:val="both"/>
        <w:ind w:left="760"/>
        <w:spacing w:after="0" w:line="248" w:lineRule="auto"/>
        <w:rPr>
          <w:sz w:val="20"/>
          <w:szCs w:val="20"/>
          <w:color w:val="auto"/>
        </w:rPr>
      </w:pPr>
      <w:r>
        <w:rPr>
          <w:rFonts w:ascii="Arial" w:cs="Arial" w:eastAsia="Arial" w:hAnsi="Arial"/>
          <w:sz w:val="18"/>
          <w:szCs w:val="18"/>
          <w:color w:val="auto"/>
        </w:rPr>
        <w:t>We provide specified perquisites to our NEOs when appropriate, including relocation as required. We also provide our executives, including our NEOs, with additional basic life insurance coverage and supplemental long-term disability and accidental death insurance. In addition, we provide our CEO with tax accounting services and a Young Presidents’ Organization (“YPO”) membership. The value of these perquisites and other personal benefits are reflected in the “All Other Compensation” column to the “Summary Compensation Table” and the accompanying footnotes below.</w:t>
      </w:r>
    </w:p>
    <w:p>
      <w:pPr>
        <w:spacing w:after="0" w:line="67" w:lineRule="exact"/>
        <w:rPr>
          <w:sz w:val="20"/>
          <w:szCs w:val="20"/>
          <w:color w:val="auto"/>
        </w:rPr>
      </w:pPr>
    </w:p>
    <w:p>
      <w:pPr>
        <w:jc w:val="both"/>
        <w:ind w:left="760"/>
        <w:spacing w:after="0" w:line="246" w:lineRule="auto"/>
        <w:rPr>
          <w:sz w:val="20"/>
          <w:szCs w:val="20"/>
          <w:color w:val="auto"/>
        </w:rPr>
      </w:pPr>
      <w:r>
        <w:rPr>
          <w:rFonts w:ascii="Arial" w:cs="Arial" w:eastAsia="Arial" w:hAnsi="Arial"/>
          <w:sz w:val="18"/>
          <w:szCs w:val="18"/>
          <w:i w:val="1"/>
          <w:iCs w:val="1"/>
          <w:color w:val="auto"/>
        </w:rPr>
        <w:t>401(k) Savings Plan</w:t>
      </w:r>
      <w:r>
        <w:rPr>
          <w:rFonts w:ascii="Arial" w:cs="Arial" w:eastAsia="Arial" w:hAnsi="Arial"/>
          <w:sz w:val="18"/>
          <w:szCs w:val="18"/>
          <w:color w:val="auto"/>
        </w:rPr>
        <w:t>. Our eligible U.S. employees, including our NEOs, participate in the National Vision, Inc. 401(k)</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Savings Plan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 In 2021, all eligible employees who participated in the 401(k) Plan were awarded an additional contribution of 16.6% of their contributions. In short, the Company matched up to 2% of their annual salary instead of 1.5% for all 2021 contributions.</w:t>
      </w:r>
    </w:p>
    <w:p>
      <w:pPr>
        <w:spacing w:after="0" w:line="67"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i w:val="1"/>
          <w:iCs w:val="1"/>
          <w:color w:val="auto"/>
        </w:rPr>
        <w:t>Associate Stock Purchase Plan</w:t>
      </w:r>
      <w:r>
        <w:rPr>
          <w:rFonts w:ascii="Arial" w:cs="Arial" w:eastAsia="Arial" w:hAnsi="Arial"/>
          <w:sz w:val="18"/>
          <w:szCs w:val="18"/>
          <w:color w:val="auto"/>
        </w:rPr>
        <w:t>. We have maintained an Associate Stock Purchase Plan (the “ASPP”) since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ASPP provides all our eligible U.S. employees, including our NEOs, the opportunity to purchase up to $25,000 in our common stock annually at a 10% discount to the market price of our stock.</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15" w:lineRule="exact"/>
        <w:rPr>
          <w:sz w:val="20"/>
          <w:szCs w:val="20"/>
          <w:color w:val="auto"/>
        </w:rPr>
      </w:pPr>
    </w:p>
    <w:p>
      <w:pPr>
        <w:jc w:val="both"/>
        <w:ind w:left="760"/>
        <w:spacing w:after="0" w:line="260" w:lineRule="auto"/>
        <w:rPr>
          <w:sz w:val="20"/>
          <w:szCs w:val="20"/>
          <w:color w:val="auto"/>
        </w:rPr>
      </w:pPr>
      <w:r>
        <w:rPr>
          <w:rFonts w:ascii="Arial" w:cs="Arial" w:eastAsia="Arial" w:hAnsi="Arial"/>
          <w:sz w:val="17"/>
          <w:szCs w:val="17"/>
          <w:color w:val="auto"/>
        </w:rPr>
        <w:t>The Company provides severance benefits to its executives in order to offer competitive total compensation packages and to be competitive in the Company’s executive attraction and retention efforts. On December 11, 2018, the Board of Directors adopted and approved the National Vision Holdings, Inc. Executive Severance Plan (the “Executive Severance Plan”), which replaced our prior severance plan. The Executive Severance Plan provides for severance payments and benefits to eligible executives, including our NEOs, upon a termination of employment by the Company without cause or by the executive for good reason (each as defined in the Executive Severance Plan), in each case, subject to the (i) executive’s execution and non-revocation of a release of claims in favor of the Company and (ii) continued compliance with the executive’s confidentiality, non-interference and invention assignment obligations to the Company. See “Potential Payments upon Termination or Change in Control,” which describes the payments to which each of the NEOs may be entitled under the Executive Severance Plan.</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36  </w:t>
      </w:r>
      <w:r>
        <w:rPr>
          <w:sz w:val="1"/>
          <w:szCs w:val="1"/>
          <w:color w:val="auto"/>
        </w:rPr>
        <w:drawing>
          <wp:inline distT="0" distB="0" distL="0" distR="0">
            <wp:extent cx="300355" cy="24003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Our NEOs are subject to specified restrictive covenants, including confidentiality and non-disparagement covenants and covenants related to non-competition and non-solicitation of our employees, consultants and independent contractors at all times during the NEO’s employment, and for specific periods following the termination of employment for any reason. The post-employment restricted time periods are as follows: Mr. Fahs for twenty-four months after termination; Messrs. Moore and Brandman for eighteen months after termination; and Messrs. Clark and Francis for twelve months after termination.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Our Board of Directors have adopted stock ownership guidelines (the “Guidelines”) applicable to our executive officers. These Guidelines align the interests of our management and directors with those of our stockholders. Such executive officers will be required to hold a specific level of equity ownership, as a multiple of annual base salary or annual cash retainer, as applicable, as follows:</w:t>
      </w:r>
    </w:p>
    <w:p>
      <w:pPr>
        <w:spacing w:after="0" w:line="68" w:lineRule="exact"/>
        <w:rPr>
          <w:sz w:val="20"/>
          <w:szCs w:val="20"/>
          <w:color w:val="auto"/>
        </w:rPr>
      </w:pPr>
    </w:p>
    <w:p>
      <w:pPr>
        <w:ind w:left="1340" w:hanging="218"/>
        <w:spacing w:after="0"/>
        <w:tabs>
          <w:tab w:leader="none" w:pos="1340" w:val="left"/>
        </w:tabs>
        <w:numPr>
          <w:ilvl w:val="0"/>
          <w:numId w:val="32"/>
        </w:numPr>
        <w:rPr>
          <w:rFonts w:ascii="Arial" w:cs="Arial" w:eastAsia="Arial" w:hAnsi="Arial"/>
          <w:sz w:val="18"/>
          <w:szCs w:val="18"/>
          <w:color w:val="3C5896"/>
        </w:rPr>
      </w:pPr>
      <w:r>
        <w:rPr>
          <w:rFonts w:ascii="Arial" w:cs="Arial" w:eastAsia="Arial" w:hAnsi="Arial"/>
          <w:sz w:val="18"/>
          <w:szCs w:val="18"/>
          <w:color w:val="auto"/>
        </w:rPr>
        <w:t>Chief Executive Officer: 6x annual base salary.</w:t>
      </w:r>
    </w:p>
    <w:p>
      <w:pPr>
        <w:spacing w:after="0" w:line="117" w:lineRule="exact"/>
        <w:rPr>
          <w:rFonts w:ascii="Arial" w:cs="Arial" w:eastAsia="Arial" w:hAnsi="Arial"/>
          <w:sz w:val="18"/>
          <w:szCs w:val="18"/>
          <w:color w:val="3C5896"/>
        </w:rPr>
      </w:pPr>
    </w:p>
    <w:p>
      <w:pPr>
        <w:ind w:left="1340" w:hanging="218"/>
        <w:spacing w:after="0"/>
        <w:tabs>
          <w:tab w:leader="none" w:pos="1340" w:val="left"/>
        </w:tabs>
        <w:numPr>
          <w:ilvl w:val="0"/>
          <w:numId w:val="32"/>
        </w:numPr>
        <w:rPr>
          <w:rFonts w:ascii="Arial" w:cs="Arial" w:eastAsia="Arial" w:hAnsi="Arial"/>
          <w:sz w:val="18"/>
          <w:szCs w:val="18"/>
          <w:color w:val="3C5896"/>
        </w:rPr>
      </w:pPr>
      <w:r>
        <w:rPr>
          <w:rFonts w:ascii="Arial" w:cs="Arial" w:eastAsia="Arial" w:hAnsi="Arial"/>
          <w:sz w:val="18"/>
          <w:szCs w:val="18"/>
          <w:color w:val="auto"/>
        </w:rPr>
        <w:t>Other Executive Officers: 3x annual base salary.</w:t>
      </w:r>
    </w:p>
    <w:p>
      <w:pPr>
        <w:spacing w:after="0" w:line="104"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There is no required time period within which an executive officer must attain the applicable stock ownership level under the Guidelines. However, until the applicable ownership level is achieved, executive officers must retain 50% of vested shares net of stock option exercise and tax withholding.</w:t>
      </w:r>
    </w:p>
    <w:p>
      <w:pPr>
        <w:spacing w:after="0" w:line="63"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As of the end of fiscal 2021, shares that counted toward these ownership guidelines included shares owned outright, shares held in the Company’s 401(k) Plan or other retirement plan, shares of time-based restricted stock (whether vested or unvested) and vested stock options issued prior to the Company’s IPO. The retention requirement for shares applies to all prior and future grants. As of January 1, 2022, Messrs. Fahs, Moore and Brandman have met or exceeded their current ownership requirements and the remaining executive officers are subject to the restrictions in the guidelines until their ownership requirements are met.</w:t>
      </w:r>
    </w:p>
    <w:p>
      <w:pPr>
        <w:spacing w:after="0" w:line="74"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In February 2022, the compensation committee amended the Guidelines to clarify that vested stock options issued prior to the Company’s IPO do not count towards the ownership guidelines.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Hedging and Pledging Policies</w:t>
      </w:r>
    </w:p>
    <w:p>
      <w:pPr>
        <w:spacing w:after="0" w:line="117"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 xml:space="preserve">Our NEOs are subject to our hedging and pledging policies as outlined in the Company’s Securities Trading Policy described on page </w:t>
      </w:r>
      <w:r>
        <w:rPr>
          <w:rFonts w:ascii="Arial" w:cs="Arial" w:eastAsia="Arial" w:hAnsi="Arial"/>
          <w:sz w:val="18"/>
          <w:szCs w:val="18"/>
          <w:u w:val="single" w:color="auto"/>
          <w:color w:val="0000EE"/>
        </w:rPr>
        <w:t>20.</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Risk Assessment</w:t>
      </w:r>
    </w:p>
    <w:p>
      <w:pPr>
        <w:spacing w:after="0" w:line="117"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The compensation committee, with the assistance of Meridian, reviewed our incentive programs to assess whether the programs encourage inappropriate risk-taking. Based on its review, the compensation committee concluded that risks arising from the company’s compensation plans, programs and policies, considered as a whole, including applicable risk-mitigation features, are not reasonably likely to have a material adverse effect on the company.</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Tax and Accounting Considerations</w:t>
      </w:r>
    </w:p>
    <w:p>
      <w:pPr>
        <w:spacing w:after="0" w:line="117"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intent of our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 Report</w:t>
      </w:r>
    </w:p>
    <w:p>
      <w:pPr>
        <w:spacing w:after="0" w:line="117"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compensation committee recommended to the Board of Directors that the Compensation Discussion and Analysis be included in this proxy statement and incorporated by reference in the Annual Report on Form 10-K for the fiscal year ended January 1, 2022 filed with the Securities and Exchange Commission.</w:t>
      </w:r>
    </w:p>
    <w:p>
      <w:pPr>
        <w:spacing w:after="0" w:line="71"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Compensation Committee</w:t>
      </w:r>
    </w:p>
    <w:p>
      <w:pPr>
        <w:spacing w:after="0" w:line="11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Thomas V. Taylor, Jr., Chair</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Heather Cianfrocco</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Randy Peeler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38  </w:t>
      </w:r>
      <w:r>
        <w:rPr>
          <w:sz w:val="1"/>
          <w:szCs w:val="1"/>
          <w:color w:val="auto"/>
        </w:rPr>
        <w:drawing>
          <wp:inline distT="0" distB="0" distL="0" distR="0">
            <wp:extent cx="300355" cy="24003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Tables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5"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NEOs for services rendered in all capacities for the fiscal years ended January 1, 2022, January 2, 2021, and 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68580</wp:posOffset>
            </wp:positionV>
            <wp:extent cx="5837555" cy="3068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37555" cy="306895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88" w:lineRule="exact"/>
        <w:rPr>
          <w:sz w:val="20"/>
          <w:szCs w:val="20"/>
          <w:color w:val="auto"/>
        </w:rPr>
      </w:pPr>
    </w:p>
    <w:tbl>
      <w:tblPr>
        <w:tblLayout w:type="fixed"/>
        <w:tblInd w:w="760" w:type="dxa"/>
        <w:tblCellMar>
          <w:top w:w="0" w:type="dxa"/>
          <w:left w:w="0" w:type="dxa"/>
          <w:bottom w:w="0" w:type="dxa"/>
          <w:right w:w="0" w:type="dxa"/>
        </w:tblCellMar>
      </w:tblPr>
      <w:tr>
        <w:trPr>
          <w:trHeight w:val="549"/>
        </w:trPr>
        <w:tc>
          <w:tcPr>
            <w:tcW w:w="20" w:type="dxa"/>
            <w:vAlign w:val="bottom"/>
            <w:tcBorders>
              <w:top w:val="single" w:sz="8" w:color="3C5896"/>
            </w:tcBorders>
            <w:shd w:val="clear" w:color="auto" w:fill="3C5896"/>
          </w:tcPr>
          <w:p>
            <w:pPr>
              <w:spacing w:after="0"/>
              <w:rPr>
                <w:sz w:val="24"/>
                <w:szCs w:val="24"/>
                <w:color w:val="auto"/>
              </w:rPr>
            </w:pPr>
          </w:p>
        </w:tc>
        <w:tc>
          <w:tcPr>
            <w:tcW w:w="80" w:type="dxa"/>
            <w:vAlign w:val="bottom"/>
            <w:tcBorders>
              <w:top w:val="single" w:sz="8" w:color="3C5896"/>
            </w:tcBorders>
            <w:shd w:val="clear" w:color="auto" w:fill="3C5896"/>
          </w:tcPr>
          <w:p>
            <w:pPr>
              <w:spacing w:after="0"/>
              <w:rPr>
                <w:sz w:val="24"/>
                <w:szCs w:val="24"/>
                <w:color w:val="auto"/>
              </w:rPr>
            </w:pPr>
          </w:p>
        </w:tc>
        <w:tc>
          <w:tcPr>
            <w:tcW w:w="1400" w:type="dxa"/>
            <w:vAlign w:val="bottom"/>
            <w:tcBorders>
              <w:top w:val="single" w:sz="8" w:color="3C5896"/>
              <w:right w:val="single" w:sz="8" w:color="3C5896"/>
            </w:tcBorders>
            <w:shd w:val="clear" w:color="auto" w:fill="3C5896"/>
          </w:tcPr>
          <w:p>
            <w:pPr>
              <w:spacing w:after="0"/>
              <w:rPr>
                <w:sz w:val="24"/>
                <w:szCs w:val="24"/>
                <w:color w:val="auto"/>
              </w:rPr>
            </w:pPr>
          </w:p>
        </w:tc>
        <w:tc>
          <w:tcPr>
            <w:tcW w:w="20" w:type="dxa"/>
            <w:vAlign w:val="bottom"/>
            <w:tcBorders>
              <w:top w:val="single" w:sz="8" w:color="3C5896"/>
            </w:tcBorders>
          </w:tcPr>
          <w:p>
            <w:pPr>
              <w:spacing w:after="0"/>
              <w:rPr>
                <w:sz w:val="24"/>
                <w:szCs w:val="24"/>
                <w:color w:val="auto"/>
              </w:rPr>
            </w:pPr>
          </w:p>
        </w:tc>
        <w:tc>
          <w:tcPr>
            <w:tcW w:w="60" w:type="dxa"/>
            <w:vAlign w:val="bottom"/>
            <w:tcBorders>
              <w:top w:val="single" w:sz="8" w:color="3C5896"/>
            </w:tcBorders>
          </w:tcPr>
          <w:p>
            <w:pPr>
              <w:spacing w:after="0"/>
              <w:rPr>
                <w:sz w:val="24"/>
                <w:szCs w:val="24"/>
                <w:color w:val="auto"/>
              </w:rPr>
            </w:pPr>
          </w:p>
        </w:tc>
        <w:tc>
          <w:tcPr>
            <w:tcW w:w="20" w:type="dxa"/>
            <w:vAlign w:val="bottom"/>
            <w:tcBorders>
              <w:top w:val="single" w:sz="8" w:color="3C5896"/>
            </w:tcBorders>
          </w:tcPr>
          <w:p>
            <w:pPr>
              <w:spacing w:after="0"/>
              <w:rPr>
                <w:sz w:val="24"/>
                <w:szCs w:val="24"/>
                <w:color w:val="auto"/>
              </w:rPr>
            </w:pPr>
          </w:p>
        </w:tc>
        <w:tc>
          <w:tcPr>
            <w:tcW w:w="400" w:type="dxa"/>
            <w:vAlign w:val="bottom"/>
            <w:tcBorders>
              <w:top w:val="single" w:sz="8" w:color="3C5896"/>
            </w:tcBorders>
          </w:tcPr>
          <w:p>
            <w:pPr>
              <w:spacing w:after="0"/>
              <w:rPr>
                <w:sz w:val="24"/>
                <w:szCs w:val="24"/>
                <w:color w:val="auto"/>
              </w:rPr>
            </w:pPr>
          </w:p>
        </w:tc>
        <w:tc>
          <w:tcPr>
            <w:tcW w:w="20" w:type="dxa"/>
            <w:vAlign w:val="bottom"/>
            <w:tcBorders>
              <w:top w:val="single" w:sz="8" w:color="3C5896"/>
            </w:tcBorders>
          </w:tcPr>
          <w:p>
            <w:pPr>
              <w:spacing w:after="0"/>
              <w:rPr>
                <w:sz w:val="24"/>
                <w:szCs w:val="24"/>
                <w:color w:val="auto"/>
              </w:rPr>
            </w:pPr>
          </w:p>
        </w:tc>
        <w:tc>
          <w:tcPr>
            <w:tcW w:w="80" w:type="dxa"/>
            <w:vAlign w:val="bottom"/>
            <w:tcBorders>
              <w:top w:val="single" w:sz="8" w:color="3C5896"/>
            </w:tcBorders>
          </w:tcPr>
          <w:p>
            <w:pPr>
              <w:spacing w:after="0"/>
              <w:rPr>
                <w:sz w:val="24"/>
                <w:szCs w:val="24"/>
                <w:color w:val="auto"/>
              </w:rPr>
            </w:pPr>
          </w:p>
        </w:tc>
        <w:tc>
          <w:tcPr>
            <w:tcW w:w="600" w:type="dxa"/>
            <w:vAlign w:val="bottom"/>
            <w:tcBorders>
              <w:top w:val="single" w:sz="8" w:color="3C5896"/>
            </w:tcBorders>
          </w:tcPr>
          <w:p>
            <w:pPr>
              <w:spacing w:after="0"/>
              <w:rPr>
                <w:sz w:val="24"/>
                <w:szCs w:val="24"/>
                <w:color w:val="auto"/>
              </w:rPr>
            </w:pPr>
          </w:p>
        </w:tc>
        <w:tc>
          <w:tcPr>
            <w:tcW w:w="20" w:type="dxa"/>
            <w:vAlign w:val="bottom"/>
            <w:tcBorders>
              <w:top w:val="single" w:sz="8" w:color="3C5896"/>
            </w:tcBorders>
          </w:tcPr>
          <w:p>
            <w:pPr>
              <w:spacing w:after="0"/>
              <w:rPr>
                <w:sz w:val="24"/>
                <w:szCs w:val="24"/>
                <w:color w:val="auto"/>
              </w:rPr>
            </w:pPr>
          </w:p>
        </w:tc>
        <w:tc>
          <w:tcPr>
            <w:tcW w:w="80" w:type="dxa"/>
            <w:vAlign w:val="bottom"/>
            <w:tcBorders>
              <w:top w:val="single" w:sz="8" w:color="3C5896"/>
            </w:tcBorders>
          </w:tcPr>
          <w:p>
            <w:pPr>
              <w:spacing w:after="0"/>
              <w:rPr>
                <w:sz w:val="24"/>
                <w:szCs w:val="24"/>
                <w:color w:val="auto"/>
              </w:rPr>
            </w:pPr>
          </w:p>
        </w:tc>
        <w:tc>
          <w:tcPr>
            <w:tcW w:w="40" w:type="dxa"/>
            <w:vAlign w:val="bottom"/>
            <w:tcBorders>
              <w:top w:val="single" w:sz="8" w:color="3C5896"/>
            </w:tcBorders>
          </w:tcPr>
          <w:p>
            <w:pPr>
              <w:spacing w:after="0"/>
              <w:rPr>
                <w:sz w:val="24"/>
                <w:szCs w:val="24"/>
                <w:color w:val="auto"/>
              </w:rPr>
            </w:pPr>
          </w:p>
        </w:tc>
        <w:tc>
          <w:tcPr>
            <w:tcW w:w="560" w:type="dxa"/>
            <w:vAlign w:val="bottom"/>
            <w:tcBorders>
              <w:top w:val="single" w:sz="8" w:color="3C5896"/>
            </w:tcBorders>
          </w:tcPr>
          <w:p>
            <w:pPr>
              <w:spacing w:after="0"/>
              <w:rPr>
                <w:sz w:val="24"/>
                <w:szCs w:val="24"/>
                <w:color w:val="auto"/>
              </w:rPr>
            </w:pPr>
          </w:p>
        </w:tc>
        <w:tc>
          <w:tcPr>
            <w:tcW w:w="20" w:type="dxa"/>
            <w:vAlign w:val="bottom"/>
            <w:tcBorders>
              <w:top w:val="single" w:sz="8" w:color="3C5896"/>
            </w:tcBorders>
          </w:tcPr>
          <w:p>
            <w:pPr>
              <w:spacing w:after="0"/>
              <w:rPr>
                <w:sz w:val="24"/>
                <w:szCs w:val="24"/>
                <w:color w:val="auto"/>
              </w:rPr>
            </w:pPr>
          </w:p>
        </w:tc>
        <w:tc>
          <w:tcPr>
            <w:tcW w:w="80" w:type="dxa"/>
            <w:vAlign w:val="bottom"/>
            <w:tcBorders>
              <w:top w:val="single" w:sz="8" w:color="3C5896"/>
            </w:tcBorders>
          </w:tcPr>
          <w:p>
            <w:pPr>
              <w:spacing w:after="0"/>
              <w:rPr>
                <w:sz w:val="24"/>
                <w:szCs w:val="24"/>
                <w:color w:val="auto"/>
              </w:rPr>
            </w:pPr>
          </w:p>
        </w:tc>
        <w:tc>
          <w:tcPr>
            <w:tcW w:w="640" w:type="dxa"/>
            <w:vAlign w:val="bottom"/>
            <w:tcBorders>
              <w:top w:val="single" w:sz="8" w:color="3C5896"/>
            </w:tcBorders>
            <w:vMerge w:val="restart"/>
          </w:tcPr>
          <w:p>
            <w:pPr>
              <w:jc w:val="center"/>
              <w:ind w:right="72"/>
              <w:spacing w:after="0"/>
              <w:rPr>
                <w:sz w:val="20"/>
                <w:szCs w:val="20"/>
                <w:color w:val="auto"/>
              </w:rPr>
            </w:pPr>
            <w:r>
              <w:rPr>
                <w:rFonts w:ascii="Arial" w:cs="Arial" w:eastAsia="Arial" w:hAnsi="Arial"/>
                <w:sz w:val="13"/>
                <w:szCs w:val="13"/>
                <w:b w:val="1"/>
                <w:bCs w:val="1"/>
                <w:color w:val="FFFFFF"/>
                <w:w w:val="95"/>
              </w:rPr>
              <w:t>Stock</w:t>
            </w:r>
          </w:p>
        </w:tc>
        <w:tc>
          <w:tcPr>
            <w:tcW w:w="20" w:type="dxa"/>
            <w:vAlign w:val="bottom"/>
            <w:tcBorders>
              <w:top w:val="single" w:sz="8" w:color="3C5896"/>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3C5896"/>
            </w:tcBorders>
          </w:tcPr>
          <w:p>
            <w:pPr>
              <w:spacing w:after="0"/>
              <w:rPr>
                <w:sz w:val="24"/>
                <w:szCs w:val="24"/>
                <w:color w:val="auto"/>
              </w:rPr>
            </w:pPr>
          </w:p>
        </w:tc>
        <w:tc>
          <w:tcPr>
            <w:tcW w:w="60" w:type="dxa"/>
            <w:vAlign w:val="bottom"/>
            <w:tcBorders>
              <w:top w:val="single" w:sz="8" w:color="3C5896"/>
            </w:tcBorders>
          </w:tcPr>
          <w:p>
            <w:pPr>
              <w:spacing w:after="0"/>
              <w:rPr>
                <w:sz w:val="24"/>
                <w:szCs w:val="24"/>
                <w:color w:val="auto"/>
              </w:rPr>
            </w:pPr>
          </w:p>
        </w:tc>
        <w:tc>
          <w:tcPr>
            <w:tcW w:w="640" w:type="dxa"/>
            <w:vAlign w:val="bottom"/>
            <w:tcBorders>
              <w:top w:val="single" w:sz="8" w:color="3C5896"/>
            </w:tcBorders>
            <w:vMerge w:val="restart"/>
          </w:tcPr>
          <w:p>
            <w:pPr>
              <w:jc w:val="center"/>
              <w:ind w:right="92"/>
              <w:spacing w:after="0"/>
              <w:rPr>
                <w:sz w:val="20"/>
                <w:szCs w:val="20"/>
                <w:color w:val="auto"/>
              </w:rPr>
            </w:pPr>
            <w:r>
              <w:rPr>
                <w:rFonts w:ascii="Arial" w:cs="Arial" w:eastAsia="Arial" w:hAnsi="Arial"/>
                <w:sz w:val="13"/>
                <w:szCs w:val="13"/>
                <w:b w:val="1"/>
                <w:bCs w:val="1"/>
                <w:color w:val="FFFFFF"/>
                <w:w w:val="95"/>
              </w:rPr>
              <w:t>Option</w:t>
            </w:r>
          </w:p>
        </w:tc>
        <w:tc>
          <w:tcPr>
            <w:tcW w:w="20" w:type="dxa"/>
            <w:vAlign w:val="bottom"/>
            <w:tcBorders>
              <w:top w:val="single" w:sz="8" w:color="3C5896"/>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5"/>
              </w:rPr>
              <w:t>Non-Equity</w:t>
            </w:r>
          </w:p>
        </w:tc>
        <w:tc>
          <w:tcPr>
            <w:tcW w:w="0" w:type="dxa"/>
            <w:vAlign w:val="bottom"/>
          </w:tcPr>
          <w:p>
            <w:pPr>
              <w:spacing w:after="0"/>
              <w:rPr>
                <w:sz w:val="1"/>
                <w:szCs w:val="1"/>
                <w:color w:val="auto"/>
              </w:rPr>
            </w:pPr>
          </w:p>
        </w:tc>
      </w:tr>
      <w:tr>
        <w:trPr>
          <w:trHeight w:val="126"/>
        </w:trPr>
        <w:tc>
          <w:tcPr>
            <w:tcW w:w="20" w:type="dxa"/>
            <w:vAlign w:val="bottom"/>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400" w:type="dxa"/>
            <w:vAlign w:val="bottom"/>
            <w:tcBorders>
              <w:right w:val="single" w:sz="8" w:color="3C5896"/>
            </w:tcBorders>
            <w:vMerge w:val="restart"/>
            <w:shd w:val="clear" w:color="auto" w:fill="3C5896"/>
          </w:tcPr>
          <w:p>
            <w:pPr>
              <w:ind w:left="60"/>
              <w:spacing w:after="0"/>
              <w:rPr>
                <w:sz w:val="20"/>
                <w:szCs w:val="20"/>
                <w:color w:val="auto"/>
              </w:rPr>
            </w:pPr>
            <w:r>
              <w:rPr>
                <w:rFonts w:ascii="Arial" w:cs="Arial" w:eastAsia="Arial" w:hAnsi="Arial"/>
                <w:sz w:val="13"/>
                <w:szCs w:val="13"/>
                <w:b w:val="1"/>
                <w:bCs w:val="1"/>
                <w:color w:val="FFFFFF"/>
              </w:rPr>
              <w:t>Name and Principal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Salary</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FFFFFF"/>
                <w:w w:val="93"/>
              </w:rPr>
              <w:t>Bonus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FFFFFF"/>
                <w:w w:val="96"/>
              </w:rPr>
              <w:t>Incentive Plan</w:t>
            </w:r>
          </w:p>
        </w:tc>
        <w:tc>
          <w:tcPr>
            <w:tcW w:w="0" w:type="dxa"/>
            <w:vAlign w:val="bottom"/>
          </w:tcPr>
          <w:p>
            <w:pPr>
              <w:spacing w:after="0"/>
              <w:rPr>
                <w:sz w:val="1"/>
                <w:szCs w:val="1"/>
                <w:color w:val="auto"/>
              </w:rPr>
            </w:pPr>
          </w:p>
        </w:tc>
      </w:tr>
      <w:tr>
        <w:trPr>
          <w:trHeight w:val="122"/>
        </w:trPr>
        <w:tc>
          <w:tcPr>
            <w:tcW w:w="20" w:type="dxa"/>
            <w:vAlign w:val="bottom"/>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400" w:type="dxa"/>
            <w:vAlign w:val="bottom"/>
            <w:tcBorders>
              <w:right w:val="single" w:sz="8" w:color="3C5896"/>
            </w:tcBorders>
            <w:vMerge w:val="continue"/>
            <w:shd w:val="clear" w:color="auto" w:fill="3C5896"/>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72"/>
              <w:spacing w:after="0" w:line="122" w:lineRule="exact"/>
              <w:rPr>
                <w:sz w:val="20"/>
                <w:szCs w:val="20"/>
                <w:color w:val="auto"/>
              </w:rPr>
            </w:pPr>
            <w:r>
              <w:rPr>
                <w:rFonts w:ascii="Arial" w:cs="Arial" w:eastAsia="Arial" w:hAnsi="Arial"/>
                <w:sz w:val="13"/>
                <w:szCs w:val="13"/>
                <w:b w:val="1"/>
                <w:bCs w:val="1"/>
                <w:color w:val="FFFFFF"/>
                <w:w w:val="97"/>
              </w:rPr>
              <w:t>Awards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92"/>
              <w:spacing w:after="0" w:line="122" w:lineRule="exact"/>
              <w:rPr>
                <w:sz w:val="20"/>
                <w:szCs w:val="20"/>
                <w:color w:val="auto"/>
              </w:rPr>
            </w:pPr>
            <w:r>
              <w:rPr>
                <w:rFonts w:ascii="Arial" w:cs="Arial" w:eastAsia="Arial" w:hAnsi="Arial"/>
                <w:sz w:val="13"/>
                <w:szCs w:val="13"/>
                <w:b w:val="1"/>
                <w:bCs w:val="1"/>
                <w:color w:val="FFFFFF"/>
                <w:w w:val="93"/>
              </w:rPr>
              <w:t>Awards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0" w:type="dxa"/>
            <w:vAlign w:val="bottom"/>
          </w:tcPr>
          <w:p>
            <w:pPr>
              <w:spacing w:after="0"/>
              <w:rPr>
                <w:sz w:val="1"/>
                <w:szCs w:val="1"/>
                <w:color w:val="auto"/>
              </w:rPr>
            </w:pPr>
          </w:p>
        </w:tc>
      </w:tr>
      <w:tr>
        <w:trPr>
          <w:trHeight w:val="175"/>
        </w:trPr>
        <w:tc>
          <w:tcPr>
            <w:tcW w:w="20" w:type="dxa"/>
            <w:vAlign w:val="bottom"/>
            <w:shd w:val="clear" w:color="auto" w:fill="3C5896"/>
          </w:tcPr>
          <w:p>
            <w:pPr>
              <w:spacing w:after="0"/>
              <w:rPr>
                <w:sz w:val="15"/>
                <w:szCs w:val="15"/>
                <w:color w:val="auto"/>
              </w:rPr>
            </w:pPr>
          </w:p>
        </w:tc>
        <w:tc>
          <w:tcPr>
            <w:tcW w:w="80" w:type="dxa"/>
            <w:vAlign w:val="bottom"/>
            <w:shd w:val="clear" w:color="auto" w:fill="3C5896"/>
          </w:tcPr>
          <w:p>
            <w:pPr>
              <w:spacing w:after="0"/>
              <w:rPr>
                <w:sz w:val="20"/>
                <w:szCs w:val="20"/>
                <w:color w:val="auto"/>
              </w:rPr>
            </w:pPr>
            <w:r>
              <w:rPr>
                <w:rFonts w:ascii="Arial" w:cs="Arial" w:eastAsia="Arial" w:hAnsi="Arial"/>
                <w:sz w:val="13"/>
                <w:szCs w:val="13"/>
                <w:b w:val="1"/>
                <w:bCs w:val="1"/>
                <w:color w:val="FFFFFF"/>
              </w:rPr>
              <w:t>​</w:t>
            </w:r>
          </w:p>
        </w:tc>
        <w:tc>
          <w:tcPr>
            <w:tcW w:w="1400" w:type="dxa"/>
            <w:vAlign w:val="bottom"/>
            <w:tcBorders>
              <w:right w:val="single" w:sz="8" w:color="3C5896"/>
            </w:tcBorders>
            <w:shd w:val="clear" w:color="auto" w:fill="3C5896"/>
          </w:tcPr>
          <w:p>
            <w:pPr>
              <w:ind w:left="420"/>
              <w:spacing w:after="0"/>
              <w:rPr>
                <w:sz w:val="20"/>
                <w:szCs w:val="20"/>
                <w:color w:val="auto"/>
              </w:rPr>
            </w:pPr>
            <w:r>
              <w:rPr>
                <w:rFonts w:ascii="Arial" w:cs="Arial" w:eastAsia="Arial" w:hAnsi="Arial"/>
                <w:sz w:val="13"/>
                <w:szCs w:val="13"/>
                <w:b w:val="1"/>
                <w:bCs w:val="1"/>
                <w:color w:val="FFFFFF"/>
              </w:rPr>
              <w:t>Position</w:t>
            </w:r>
          </w:p>
        </w:tc>
        <w:tc>
          <w:tcPr>
            <w:tcW w:w="8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20" w:type="dxa"/>
            <w:vAlign w:val="bottom"/>
          </w:tcPr>
          <w:p>
            <w:pPr>
              <w:spacing w:after="0"/>
              <w:rPr>
                <w:sz w:val="15"/>
                <w:szCs w:val="15"/>
                <w:color w:val="auto"/>
              </w:rPr>
            </w:pPr>
          </w:p>
        </w:tc>
        <w:tc>
          <w:tcPr>
            <w:tcW w:w="400" w:type="dxa"/>
            <w:vAlign w:val="bottom"/>
          </w:tcPr>
          <w:p>
            <w:pPr>
              <w:jc w:val="right"/>
              <w:ind w:right="30"/>
              <w:spacing w:after="0"/>
              <w:rPr>
                <w:sz w:val="20"/>
                <w:szCs w:val="20"/>
                <w:color w:val="auto"/>
              </w:rPr>
            </w:pPr>
            <w:r>
              <w:rPr>
                <w:rFonts w:ascii="Arial" w:cs="Arial" w:eastAsia="Arial" w:hAnsi="Arial"/>
                <w:sz w:val="13"/>
                <w:szCs w:val="13"/>
                <w:b w:val="1"/>
                <w:bCs w:val="1"/>
                <w:color w:val="FFFFFF"/>
                <w:w w:val="99"/>
              </w:rPr>
              <w:t>Year</w:t>
            </w:r>
          </w:p>
        </w:tc>
        <w:tc>
          <w:tcPr>
            <w:tcW w:w="700" w:type="dxa"/>
            <w:vAlign w:val="bottom"/>
            <w:gridSpan w:val="3"/>
          </w:tcPr>
          <w:p>
            <w:pPr>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1"/>
                <w:szCs w:val="11"/>
                <w:b w:val="1"/>
                <w:bCs w:val="1"/>
                <w:color w:val="FFFFFF"/>
              </w:rPr>
              <w:t xml:space="preserve">   ($)</w:t>
            </w:r>
            <w:r>
              <w:rPr>
                <w:rFonts w:ascii="Arial" w:cs="Arial" w:eastAsia="Arial" w:hAnsi="Arial"/>
                <w:sz w:val="13"/>
                <w:szCs w:val="13"/>
                <w:b w:val="1"/>
                <w:bCs w:val="1"/>
                <w:color w:val="FFFFFF"/>
                <w:vertAlign w:val="superscript"/>
              </w:rPr>
              <w:t>(2)</w:t>
            </w:r>
          </w:p>
        </w:tc>
        <w:tc>
          <w:tcPr>
            <w:tcW w:w="100" w:type="dxa"/>
            <w:vAlign w:val="bottom"/>
            <w:gridSpan w:val="2"/>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5"/>
                <w:szCs w:val="15"/>
                <w:color w:val="auto"/>
              </w:rPr>
            </w:pPr>
          </w:p>
        </w:tc>
        <w:tc>
          <w:tcPr>
            <w:tcW w:w="560" w:type="dxa"/>
            <w:vAlign w:val="bottom"/>
          </w:tcPr>
          <w:p>
            <w:pPr>
              <w:jc w:val="right"/>
              <w:ind w:right="153"/>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(3)</w:t>
            </w:r>
          </w:p>
        </w:tc>
        <w:tc>
          <w:tcPr>
            <w:tcW w:w="100" w:type="dxa"/>
            <w:vAlign w:val="bottom"/>
            <w:gridSpan w:val="2"/>
          </w:tcPr>
          <w:p>
            <w:pPr>
              <w:spacing w:after="0"/>
              <w:rPr>
                <w:sz w:val="20"/>
                <w:szCs w:val="20"/>
                <w:color w:val="auto"/>
              </w:rPr>
            </w:pPr>
            <w:r>
              <w:rPr>
                <w:rFonts w:ascii="Arial" w:cs="Arial" w:eastAsia="Arial" w:hAnsi="Arial"/>
                <w:sz w:val="13"/>
                <w:szCs w:val="13"/>
                <w:b w:val="1"/>
                <w:bCs w:val="1"/>
                <w:color w:val="FFFFFF"/>
              </w:rPr>
              <w:t>​​</w:t>
            </w:r>
          </w:p>
        </w:tc>
        <w:tc>
          <w:tcPr>
            <w:tcW w:w="640" w:type="dxa"/>
            <w:vAlign w:val="bottom"/>
          </w:tcPr>
          <w:p>
            <w:pPr>
              <w:jc w:val="center"/>
              <w:ind w:right="32"/>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(4)</w:t>
            </w:r>
          </w:p>
        </w:tc>
        <w:tc>
          <w:tcPr>
            <w:tcW w:w="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5"/>
                <w:szCs w:val="15"/>
                <w:color w:val="auto"/>
              </w:rPr>
            </w:pPr>
          </w:p>
        </w:tc>
        <w:tc>
          <w:tcPr>
            <w:tcW w:w="640" w:type="dxa"/>
            <w:vAlign w:val="bottom"/>
          </w:tcPr>
          <w:p>
            <w:pPr>
              <w:jc w:val="center"/>
              <w:ind w:right="52"/>
              <w:spacing w:after="0" w:line="176" w:lineRule="exact"/>
              <w:rPr>
                <w:sz w:val="20"/>
                <w:szCs w:val="20"/>
                <w:color w:val="auto"/>
              </w:rPr>
            </w:pPr>
            <w:r>
              <w:rPr>
                <w:rFonts w:ascii="Arial" w:cs="Arial" w:eastAsia="Arial" w:hAnsi="Arial"/>
                <w:sz w:val="20"/>
                <w:szCs w:val="20"/>
                <w:b w:val="1"/>
                <w:bCs w:val="1"/>
                <w:color w:val="FFFFFF"/>
                <w:w w:val="96"/>
                <w:vertAlign w:val="subscript"/>
              </w:rPr>
              <w:t>($)</w:t>
            </w:r>
            <w:r>
              <w:rPr>
                <w:rFonts w:ascii="Arial" w:cs="Arial" w:eastAsia="Arial" w:hAnsi="Arial"/>
                <w:sz w:val="7"/>
                <w:szCs w:val="7"/>
                <w:b w:val="1"/>
                <w:bCs w:val="1"/>
                <w:color w:val="FFFFFF"/>
                <w:w w:val="96"/>
              </w:rPr>
              <w:t>(5)</w:t>
            </w:r>
          </w:p>
        </w:tc>
        <w:tc>
          <w:tcPr>
            <w:tcW w:w="1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111"/>
              <w:spacing w:after="0" w:line="176" w:lineRule="exact"/>
              <w:rPr>
                <w:sz w:val="20"/>
                <w:szCs w:val="20"/>
                <w:color w:val="auto"/>
              </w:rPr>
            </w:pPr>
            <w:r>
              <w:rPr>
                <w:rFonts w:ascii="Arial" w:cs="Arial" w:eastAsia="Arial" w:hAnsi="Arial"/>
                <w:sz w:val="20"/>
                <w:szCs w:val="20"/>
                <w:b w:val="1"/>
                <w:bCs w:val="1"/>
                <w:color w:val="FFFFFF"/>
                <w:w w:val="96"/>
                <w:vertAlign w:val="subscript"/>
              </w:rPr>
              <w:t>($)</w:t>
            </w:r>
            <w:r>
              <w:rPr>
                <w:rFonts w:ascii="Arial" w:cs="Arial" w:eastAsia="Arial" w:hAnsi="Arial"/>
                <w:sz w:val="7"/>
                <w:szCs w:val="7"/>
                <w:b w:val="1"/>
                <w:bCs w:val="1"/>
                <w:color w:val="FFFFFF"/>
                <w:w w:val="96"/>
              </w:rPr>
              <w:t>(6)</w:t>
            </w:r>
          </w:p>
        </w:tc>
        <w:tc>
          <w:tcPr>
            <w:tcW w:w="0" w:type="dxa"/>
            <w:vAlign w:val="bottom"/>
          </w:tcPr>
          <w:p>
            <w:pPr>
              <w:spacing w:after="0"/>
              <w:rPr>
                <w:sz w:val="1"/>
                <w:szCs w:val="1"/>
                <w:color w:val="auto"/>
              </w:rPr>
            </w:pPr>
          </w:p>
        </w:tc>
      </w:tr>
      <w:tr>
        <w:trPr>
          <w:trHeight w:val="20"/>
        </w:trPr>
        <w:tc>
          <w:tcPr>
            <w:tcW w:w="20" w:type="dxa"/>
            <w:vAlign w:val="bottom"/>
            <w:shd w:val="clear" w:color="auto" w:fill="3C5896"/>
          </w:tcPr>
          <w:p>
            <w:pPr>
              <w:spacing w:after="0" w:line="20" w:lineRule="exact"/>
              <w:rPr>
                <w:sz w:val="1"/>
                <w:szCs w:val="1"/>
                <w:color w:val="auto"/>
              </w:rPr>
            </w:pPr>
          </w:p>
        </w:tc>
        <w:tc>
          <w:tcPr>
            <w:tcW w:w="14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3"/>
            <w:vMerge w:val="restart"/>
          </w:tcPr>
          <w:p>
            <w:pPr>
              <w:jc w:val="right"/>
              <w:ind w:right="31"/>
              <w:spacing w:after="0"/>
              <w:rPr>
                <w:sz w:val="20"/>
                <w:szCs w:val="20"/>
                <w:color w:val="auto"/>
              </w:rPr>
            </w:pPr>
            <w:r>
              <w:rPr>
                <w:rFonts w:ascii="Arial" w:cs="Arial" w:eastAsia="Arial" w:hAnsi="Arial"/>
                <w:sz w:val="14"/>
                <w:szCs w:val="14"/>
                <w:color w:val="auto"/>
              </w:rPr>
              <w:t>​1,967,300</w:t>
            </w: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480" w:type="dxa"/>
            <w:vAlign w:val="bottom"/>
            <w:gridSpan w:val="2"/>
          </w:tcPr>
          <w:p>
            <w:pPr>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L. Reade Fahs</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4"/>
                <w:szCs w:val="14"/>
                <w:color w:val="auto"/>
              </w:rPr>
              <w:t>​2021</w:t>
            </w:r>
          </w:p>
        </w:tc>
        <w:tc>
          <w:tcPr>
            <w:tcW w:w="700" w:type="dxa"/>
            <w:vAlign w:val="bottom"/>
            <w:gridSpan w:val="3"/>
          </w:tcPr>
          <w:p>
            <w:pPr>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​975,386</w:t>
            </w:r>
          </w:p>
        </w:tc>
        <w:tc>
          <w:tcPr>
            <w:tcW w:w="140" w:type="dxa"/>
            <w:vAlign w:val="bottom"/>
            <w:gridSpan w:val="3"/>
          </w:tcPr>
          <w:p>
            <w:pPr>
              <w:spacing w:after="0" w:line="17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73"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​2,062,508</w:t>
            </w:r>
          </w:p>
        </w:tc>
        <w:tc>
          <w:tcPr>
            <w:tcW w:w="1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687,505</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Chief Executive</w:t>
            </w:r>
          </w:p>
        </w:tc>
        <w:tc>
          <w:tcPr>
            <w:tcW w:w="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4"/>
                <w:szCs w:val="14"/>
                <w:color w:val="auto"/>
              </w:rPr>
              <w:t>​2020</w:t>
            </w:r>
          </w:p>
        </w:tc>
        <w:tc>
          <w:tcPr>
            <w:tcW w:w="700" w:type="dxa"/>
            <w:vAlign w:val="bottom"/>
            <w:gridSpan w:val="3"/>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​743,827</w:t>
            </w:r>
          </w:p>
        </w:tc>
        <w:tc>
          <w:tcPr>
            <w:tcW w:w="700" w:type="dxa"/>
            <w:vAlign w:val="bottom"/>
            <w:gridSpan w:val="4"/>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 83,849</w:t>
            </w:r>
          </w:p>
        </w:tc>
        <w:tc>
          <w:tcPr>
            <w:tcW w:w="740" w:type="dxa"/>
            <w:vAlign w:val="bottom"/>
            <w:gridSpan w:val="3"/>
          </w:tcPr>
          <w:p>
            <w:pPr>
              <w:jc w:val="right"/>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​1,687,551</w:t>
            </w:r>
          </w:p>
        </w:tc>
        <w:tc>
          <w:tcPr>
            <w:tcW w:w="1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562,508</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871,151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Officer</w:t>
            </w: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4"/>
                <w:szCs w:val="14"/>
                <w:color w:val="auto"/>
              </w:rPr>
              <w:t>​2019</w:t>
            </w:r>
          </w:p>
        </w:tc>
        <w:tc>
          <w:tcPr>
            <w:tcW w:w="700" w:type="dxa"/>
            <w:vAlign w:val="bottom"/>
            <w:gridSpan w:val="3"/>
          </w:tcPr>
          <w:p>
            <w:pPr>
              <w:spacing w:after="0" w:line="233"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​919,211</w:t>
            </w:r>
          </w:p>
        </w:tc>
        <w:tc>
          <w:tcPr>
            <w:tcW w:w="140" w:type="dxa"/>
            <w:vAlign w:val="bottom"/>
            <w:gridSpan w:val="3"/>
          </w:tcPr>
          <w:p>
            <w:pPr>
              <w:spacing w:after="0" w:line="23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233"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​1,125,024</w:t>
            </w:r>
          </w:p>
        </w:tc>
        <w:tc>
          <w:tcPr>
            <w:tcW w:w="900" w:type="dxa"/>
            <w:vAlign w:val="bottom"/>
            <w:gridSpan w:val="7"/>
          </w:tcPr>
          <w:p>
            <w:pPr>
              <w:jc w:val="right"/>
              <w:ind w:right="40"/>
              <w:spacing w:after="0" w:line="233"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​1,125,001 </w:t>
            </w:r>
            <w:r>
              <w:rPr>
                <w:rFonts w:ascii="Arial" w:cs="Arial" w:eastAsia="Arial" w:hAnsi="Arial"/>
                <w:sz w:val="27"/>
                <w:szCs w:val="27"/>
                <w:color w:val="auto"/>
                <w:vertAlign w:val="superscript"/>
              </w:rPr>
              <w:t>​​​</w:t>
            </w:r>
          </w:p>
        </w:tc>
        <w:tc>
          <w:tcPr>
            <w:tcW w:w="900" w:type="dxa"/>
            <w:vAlign w:val="bottom"/>
            <w:gridSpan w:val="3"/>
          </w:tcPr>
          <w:p>
            <w:pPr>
              <w:jc w:val="right"/>
              <w:ind w:right="31"/>
              <w:spacing w:after="0"/>
              <w:rPr>
                <w:sz w:val="20"/>
                <w:szCs w:val="20"/>
                <w:color w:val="auto"/>
              </w:rPr>
            </w:pPr>
            <w:r>
              <w:rPr>
                <w:rFonts w:ascii="Arial" w:cs="Arial" w:eastAsia="Arial" w:hAnsi="Arial"/>
                <w:sz w:val="14"/>
                <w:szCs w:val="14"/>
                <w:color w:val="auto"/>
              </w:rPr>
              <w:t>​1,281,776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vMerge w:val="restart"/>
          </w:tcPr>
          <w:p>
            <w:pPr>
              <w:jc w:val="right"/>
              <w:ind w:right="10"/>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​2021</w:t>
            </w:r>
          </w:p>
        </w:tc>
        <w:tc>
          <w:tcPr>
            <w:tcW w:w="700" w:type="dxa"/>
            <w:vAlign w:val="bottom"/>
            <w:gridSpan w:val="3"/>
            <w:vMerge w:val="restart"/>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​510,673</w:t>
            </w:r>
          </w:p>
        </w:tc>
        <w:tc>
          <w:tcPr>
            <w:tcW w:w="140" w:type="dxa"/>
            <w:vAlign w:val="bottom"/>
            <w:gridSpan w:val="3"/>
            <w:vMerge w:val="restart"/>
          </w:tcPr>
          <w:p>
            <w:pPr>
              <w:spacing w:after="0" w:line="216"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gridSpan w:val="4"/>
            <w:vMerge w:val="restart"/>
          </w:tcPr>
          <w:p>
            <w:pPr>
              <w:jc w:val="right"/>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vMerge w:val="restart"/>
          </w:tcPr>
          <w:p>
            <w:pPr>
              <w:ind w:left="160"/>
              <w:spacing w:after="0" w:line="216"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tcBorders>
              <w:bottom w:val="single" w:sz="8" w:color="CCCCCC"/>
              <w:right w:val="single" w:sz="8" w:color="CCCCCC"/>
            </w:tcBorders>
            <w:gridSpan w:val="2"/>
            <w:shd w:val="clear" w:color="auto" w:fill="CCCCCC"/>
          </w:tcPr>
          <w:p>
            <w:pPr>
              <w:spacing w:after="0" w:line="193"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Patrick R. Moore</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140" w:type="dxa"/>
            <w:vAlign w:val="bottom"/>
            <w:gridSpan w:val="3"/>
            <w:vMerge w:val="continue"/>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CCCC"/>
            </w:tcBorders>
            <w:shd w:val="clear" w:color="auto" w:fill="CCCCCC"/>
          </w:tcPr>
          <w:p>
            <w:pPr>
              <w:jc w:val="right"/>
              <w:spacing w:after="0" w:line="193"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640" w:type="dxa"/>
            <w:vAlign w:val="bottom"/>
            <w:tcBorders>
              <w:bottom w:val="single" w:sz="8" w:color="CCCCCC"/>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525,044</w:t>
            </w:r>
          </w:p>
        </w:tc>
        <w:tc>
          <w:tcPr>
            <w:tcW w:w="140" w:type="dxa"/>
            <w:vAlign w:val="bottom"/>
            <w:gridSpan w:val="4"/>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175,020</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2"/>
            <w:vMerge w:val="continue"/>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669,500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400" w:type="dxa"/>
            <w:vAlign w:val="bottom"/>
            <w:tcBorders>
              <w:right w:val="single" w:sz="8" w:color="CCCCCC"/>
            </w:tcBorders>
            <w:shd w:val="clear" w:color="auto" w:fill="CCCCCC"/>
          </w:tcPr>
          <w:p>
            <w:pPr>
              <w:ind w:left="80"/>
              <w:spacing w:after="0" w:line="149" w:lineRule="exact"/>
              <w:rPr>
                <w:sz w:val="20"/>
                <w:szCs w:val="20"/>
                <w:color w:val="auto"/>
              </w:rPr>
            </w:pPr>
            <w:r>
              <w:rPr>
                <w:rFonts w:ascii="Arial" w:cs="Arial" w:eastAsia="Arial" w:hAnsi="Arial"/>
                <w:sz w:val="14"/>
                <w:szCs w:val="14"/>
                <w:color w:val="auto"/>
              </w:rPr>
              <w:t>Senior Vice</w:t>
            </w:r>
          </w:p>
        </w:tc>
        <w:tc>
          <w:tcPr>
            <w:tcW w:w="20" w:type="dxa"/>
            <w:vAlign w:val="bottom"/>
          </w:tcPr>
          <w:p>
            <w:pPr>
              <w:spacing w:after="0"/>
              <w:rPr>
                <w:sz w:val="12"/>
                <w:szCs w:val="12"/>
                <w:color w:val="auto"/>
              </w:rPr>
            </w:pPr>
          </w:p>
        </w:tc>
        <w:tc>
          <w:tcPr>
            <w:tcW w:w="80" w:type="dxa"/>
            <w:vAlign w:val="bottom"/>
            <w:gridSpan w:val="2"/>
            <w:shd w:val="clear" w:color="auto" w:fill="CCCCCC"/>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CCCC"/>
            </w:tcBorders>
            <w:shd w:val="clear" w:color="auto" w:fill="CCCCCC"/>
          </w:tcPr>
          <w:p>
            <w:pPr>
              <w:jc w:val="right"/>
              <w:ind w:right="10"/>
              <w:spacing w:after="0" w:line="149" w:lineRule="exact"/>
              <w:rPr>
                <w:sz w:val="20"/>
                <w:szCs w:val="20"/>
                <w:color w:val="auto"/>
              </w:rPr>
            </w:pPr>
            <w:r>
              <w:rPr>
                <w:rFonts w:ascii="Arial" w:cs="Arial" w:eastAsia="Arial" w:hAnsi="Arial"/>
                <w:sz w:val="14"/>
                <w:szCs w:val="14"/>
                <w:color w:val="auto"/>
                <w:w w:val="96"/>
              </w:rPr>
              <w:t>​2020</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line="149" w:lineRule="exact"/>
              <w:rPr>
                <w:sz w:val="20"/>
                <w:szCs w:val="20"/>
                <w:color w:val="auto"/>
              </w:rPr>
            </w:pPr>
            <w:r>
              <w:rPr>
                <w:rFonts w:ascii="Arial" w:cs="Arial" w:eastAsia="Arial" w:hAnsi="Arial"/>
                <w:sz w:val="14"/>
                <w:szCs w:val="14"/>
                <w:color w:val="auto"/>
              </w:rPr>
              <w:t>​447,115</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 28,550</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highlight w:val="lightGray"/>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highlight w:val="lightGray"/>
              </w:rPr>
              <w:t>750,023</w:t>
            </w:r>
          </w:p>
        </w:tc>
        <w:tc>
          <w:tcPr>
            <w:tcW w:w="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r>
              <w:rPr>
                <w:rFonts w:ascii="Arial" w:cs="Arial" w:eastAsia="Arial" w:hAnsi="Arial"/>
                <w:sz w:val="14"/>
                <w:szCs w:val="14"/>
                <w:color w:val="auto"/>
                <w:highlight w:val="lightGray"/>
              </w:rPr>
              <w:t>​</w:t>
            </w: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highlight w:val="lightGray"/>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highlight w:val="lightGray"/>
              </w:rPr>
              <w:t>250,007</w:t>
            </w:r>
          </w:p>
        </w:tc>
        <w:tc>
          <w:tcPr>
            <w:tcW w:w="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r>
              <w:rPr>
                <w:rFonts w:ascii="Arial" w:cs="Arial" w:eastAsia="Arial" w:hAnsi="Arial"/>
                <w:sz w:val="14"/>
                <w:szCs w:val="14"/>
                <w:color w:val="auto"/>
                <w:highlight w:val="lightGray"/>
              </w:rPr>
              <w:t>​</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highlight w:val="lightGray"/>
              </w:rPr>
              <w:t>​</w:t>
            </w:r>
          </w:p>
        </w:tc>
        <w:tc>
          <w:tcPr>
            <w:tcW w:w="660" w:type="dxa"/>
            <w:vAlign w:val="bottom"/>
          </w:tcPr>
          <w:p>
            <w:pPr>
              <w:jc w:val="right"/>
              <w:ind w:right="31"/>
              <w:spacing w:after="0" w:line="149" w:lineRule="exact"/>
              <w:rPr>
                <w:sz w:val="20"/>
                <w:szCs w:val="20"/>
                <w:color w:val="auto"/>
              </w:rPr>
            </w:pPr>
            <w:r>
              <w:rPr>
                <w:rFonts w:ascii="Arial" w:cs="Arial" w:eastAsia="Arial" w:hAnsi="Arial"/>
                <w:sz w:val="14"/>
                <w:szCs w:val="14"/>
                <w:color w:val="auto"/>
                <w:highlight w:val="lightGray"/>
              </w:rPr>
              <w:t>296,450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shd w:val="clear" w:color="auto" w:fill="CCCCCC"/>
          </w:tcPr>
          <w:p>
            <w:pPr>
              <w:spacing w:after="0"/>
              <w:rPr>
                <w:sz w:val="4"/>
                <w:szCs w:val="4"/>
                <w:color w:val="auto"/>
              </w:rPr>
            </w:pPr>
          </w:p>
        </w:tc>
        <w:tc>
          <w:tcPr>
            <w:tcW w:w="1400" w:type="dxa"/>
            <w:vAlign w:val="bottom"/>
            <w:tcBorders>
              <w:right w:val="single" w:sz="8" w:color="CCCCCC"/>
            </w:tcBorders>
            <w:vMerge w:val="restart"/>
            <w:shd w:val="clear" w:color="auto" w:fill="CCCCCC"/>
          </w:tcPr>
          <w:p>
            <w:pPr>
              <w:ind w:left="80"/>
              <w:spacing w:after="0" w:line="135" w:lineRule="exact"/>
              <w:rPr>
                <w:sz w:val="20"/>
                <w:szCs w:val="20"/>
                <w:color w:val="auto"/>
              </w:rPr>
            </w:pPr>
            <w:r>
              <w:rPr>
                <w:rFonts w:ascii="Arial" w:cs="Arial" w:eastAsia="Arial" w:hAnsi="Arial"/>
                <w:sz w:val="14"/>
                <w:szCs w:val="14"/>
                <w:color w:val="auto"/>
              </w:rPr>
              <w:t>President and Chief</w:t>
            </w:r>
          </w:p>
        </w:tc>
        <w:tc>
          <w:tcPr>
            <w:tcW w:w="20" w:type="dxa"/>
            <w:vAlign w:val="bottom"/>
          </w:tcPr>
          <w:p>
            <w:pPr>
              <w:spacing w:after="0"/>
              <w:rPr>
                <w:sz w:val="4"/>
                <w:szCs w:val="4"/>
                <w:color w:val="auto"/>
              </w:rPr>
            </w:pPr>
          </w:p>
        </w:tc>
        <w:tc>
          <w:tcPr>
            <w:tcW w:w="60" w:type="dxa"/>
            <w:vAlign w:val="bottom"/>
            <w:vMerge w:val="restart"/>
            <w:shd w:val="clear" w:color="auto" w:fill="CCCCCC"/>
          </w:tcPr>
          <w:p>
            <w:pPr>
              <w:jc w:val="right"/>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4"/>
                <w:szCs w:val="4"/>
                <w:color w:val="auto"/>
              </w:rPr>
            </w:pPr>
          </w:p>
        </w:tc>
        <w:tc>
          <w:tcPr>
            <w:tcW w:w="400" w:type="dxa"/>
            <w:vAlign w:val="bottom"/>
            <w:tcBorders>
              <w:right w:val="single" w:sz="8" w:color="CCCCCC"/>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w w:val="96"/>
              </w:rPr>
              <w:t>​2019</w:t>
            </w:r>
          </w:p>
        </w:tc>
        <w:tc>
          <w:tcPr>
            <w:tcW w:w="100" w:type="dxa"/>
            <w:vAlign w:val="bottom"/>
            <w:gridSpan w:val="2"/>
            <w:vMerge w:val="restart"/>
          </w:tcPr>
          <w:p>
            <w:pPr>
              <w:spacing w:after="0" w:line="13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4"/>
                <w:szCs w:val="4"/>
                <w:color w:val="auto"/>
              </w:rPr>
            </w:pPr>
          </w:p>
        </w:tc>
        <w:tc>
          <w:tcPr>
            <w:tcW w:w="100" w:type="dxa"/>
            <w:vAlign w:val="bottom"/>
            <w:gridSpan w:val="2"/>
            <w:vMerge w:val="restart"/>
          </w:tcPr>
          <w:p>
            <w:pPr>
              <w:spacing w:after="0" w:line="13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gridSpan w:val="2"/>
            <w:vMerge w:val="restart"/>
          </w:tcPr>
          <w:p>
            <w:pPr>
              <w:spacing w:after="0" w:line="135"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4"/>
                <w:szCs w:val="4"/>
                <w:color w:val="auto"/>
              </w:rPr>
            </w:pPr>
          </w:p>
        </w:tc>
        <w:tc>
          <w:tcPr>
            <w:tcW w:w="80" w:type="dxa"/>
            <w:vAlign w:val="bottom"/>
            <w:gridSpan w:val="3"/>
            <w:vMerge w:val="restart"/>
          </w:tcPr>
          <w:p>
            <w:pPr>
              <w:jc w:val="right"/>
              <w:ind w:right="20"/>
              <w:spacing w:after="0" w:line="135"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4"/>
                <w:szCs w:val="4"/>
                <w:color w:val="auto"/>
              </w:rPr>
            </w:pPr>
          </w:p>
        </w:tc>
        <w:tc>
          <w:tcPr>
            <w:tcW w:w="120" w:type="dxa"/>
            <w:vAlign w:val="bottom"/>
            <w:gridSpan w:val="2"/>
            <w:vMerge w:val="restart"/>
          </w:tcPr>
          <w:p>
            <w:pPr>
              <w:jc w:val="right"/>
              <w:ind w:right="4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4"/>
                <w:szCs w:val="4"/>
                <w:color w:val="auto"/>
              </w:rPr>
            </w:pPr>
          </w:p>
        </w:tc>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shd w:val="clear" w:color="auto" w:fill="CCCCCC"/>
          </w:tcPr>
          <w:p>
            <w:pPr>
              <w:spacing w:after="0"/>
              <w:rPr>
                <w:sz w:val="7"/>
                <w:szCs w:val="7"/>
                <w:color w:val="auto"/>
              </w:rPr>
            </w:pPr>
          </w:p>
        </w:tc>
        <w:tc>
          <w:tcPr>
            <w:tcW w:w="1400" w:type="dxa"/>
            <w:vAlign w:val="bottom"/>
            <w:tcBorders>
              <w:right w:val="single" w:sz="8" w:color="CCCCCC"/>
            </w:tcBorders>
            <w:vMerge w:val="continue"/>
            <w:shd w:val="clear" w:color="auto" w:fill="CCCCCC"/>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vMerge w:val="continue"/>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400" w:type="dxa"/>
            <w:vAlign w:val="bottom"/>
            <w:tcBorders>
              <w:right w:val="single" w:sz="8" w:color="CCCCCC"/>
            </w:tcBorders>
            <w:vMerge w:val="continue"/>
            <w:shd w:val="clear" w:color="auto" w:fill="CCCCCC"/>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60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4"/>
                <w:szCs w:val="14"/>
                <w:color w:val="auto"/>
              </w:rPr>
              <w:t>​444,231</w:t>
            </w:r>
          </w:p>
        </w:tc>
        <w:tc>
          <w:tcPr>
            <w:tcW w:w="100" w:type="dxa"/>
            <w:vAlign w:val="bottom"/>
            <w:gridSpan w:val="2"/>
            <w:vMerge w:val="continue"/>
          </w:tcPr>
          <w:p>
            <w:pPr>
              <w:spacing w:after="0"/>
              <w:rPr>
                <w:sz w:val="7"/>
                <w:szCs w:val="7"/>
                <w:color w:val="auto"/>
              </w:rPr>
            </w:pPr>
          </w:p>
        </w:tc>
        <w:tc>
          <w:tcPr>
            <w:tcW w:w="40" w:type="dxa"/>
            <w:vAlign w:val="bottom"/>
            <w:vMerge w:val="restart"/>
            <w:shd w:val="clear" w:color="auto" w:fill="CCCCCC"/>
          </w:tcPr>
          <w:p>
            <w:pPr>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CCCC"/>
            </w:tcBorders>
            <w:vMerge w:val="restart"/>
            <w:shd w:val="clear" w:color="auto" w:fill="CCCCCC"/>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gridSpan w:val="2"/>
            <w:vMerge w:val="continue"/>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600,031</w:t>
            </w:r>
          </w:p>
        </w:tc>
        <w:tc>
          <w:tcPr>
            <w:tcW w:w="8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300,014</w:t>
            </w:r>
          </w:p>
        </w:tc>
        <w:tc>
          <w:tcPr>
            <w:tcW w:w="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60" w:type="dxa"/>
            <w:vAlign w:val="bottom"/>
            <w:vMerge w:val="restart"/>
          </w:tcPr>
          <w:p>
            <w:pPr>
              <w:jc w:val="right"/>
              <w:ind w:right="31"/>
              <w:spacing w:after="0"/>
              <w:rPr>
                <w:sz w:val="20"/>
                <w:szCs w:val="20"/>
                <w:color w:val="auto"/>
              </w:rPr>
            </w:pPr>
            <w:r>
              <w:rPr>
                <w:rFonts w:ascii="Arial" w:cs="Arial" w:eastAsia="Arial" w:hAnsi="Arial"/>
                <w:sz w:val="14"/>
                <w:szCs w:val="14"/>
                <w:color w:val="auto"/>
              </w:rPr>
              <w:t>371,669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400" w:type="dxa"/>
            <w:vAlign w:val="bottom"/>
            <w:tcBorders>
              <w:right w:val="single" w:sz="8" w:color="CCCCCC"/>
            </w:tcBorders>
            <w:vMerge w:val="restart"/>
            <w:shd w:val="clear" w:color="auto" w:fill="CCCCCC"/>
          </w:tcPr>
          <w:p>
            <w:pPr>
              <w:ind w:left="80"/>
              <w:spacing w:after="0"/>
              <w:rPr>
                <w:sz w:val="20"/>
                <w:szCs w:val="20"/>
                <w:color w:val="auto"/>
              </w:rPr>
            </w:pPr>
            <w:r>
              <w:rPr>
                <w:rFonts w:ascii="Arial" w:cs="Arial" w:eastAsia="Arial" w:hAnsi="Arial"/>
                <w:sz w:val="14"/>
                <w:szCs w:val="14"/>
                <w:color w:val="auto"/>
              </w:rPr>
              <w:t>Financial Officer</w:t>
            </w:r>
          </w:p>
        </w:tc>
        <w:tc>
          <w:tcPr>
            <w:tcW w:w="20" w:type="dxa"/>
            <w:vAlign w:val="bottom"/>
          </w:tcPr>
          <w:p>
            <w:pPr>
              <w:spacing w:after="0"/>
              <w:rPr>
                <w:sz w:val="14"/>
                <w:szCs w:val="14"/>
                <w:color w:val="auto"/>
              </w:rPr>
            </w:pPr>
          </w:p>
        </w:tc>
        <w:tc>
          <w:tcPr>
            <w:tcW w:w="6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c>
          <w:tcPr>
            <w:tcW w:w="400" w:type="dxa"/>
            <w:vAlign w:val="bottom"/>
            <w:tcBorders>
              <w:right w:val="single" w:sz="8" w:color="CCCCCC"/>
            </w:tcBorders>
            <w:vMerge w:val="continue"/>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CCCCCC"/>
            </w:tcBorders>
            <w:vMerge w:val="continue"/>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continue"/>
            <w:shd w:val="clear" w:color="auto" w:fill="CCCCCC"/>
          </w:tcPr>
          <w:p>
            <w:pPr>
              <w:spacing w:after="0"/>
              <w:rPr>
                <w:sz w:val="14"/>
                <w:szCs w:val="14"/>
                <w:color w:val="auto"/>
              </w:rPr>
            </w:pPr>
          </w:p>
        </w:tc>
        <w:tc>
          <w:tcPr>
            <w:tcW w:w="560" w:type="dxa"/>
            <w:vAlign w:val="bottom"/>
            <w:tcBorders>
              <w:right w:val="single" w:sz="8" w:color="CCCCCC"/>
            </w:tcBorders>
            <w:vMerge w:val="continue"/>
            <w:shd w:val="clear" w:color="auto" w:fill="CCCCCC"/>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CCCCCC"/>
            </w:tcBorders>
            <w:shd w:val="clear" w:color="auto" w:fill="CCCCCC"/>
          </w:tcPr>
          <w:p>
            <w:pPr>
              <w:spacing w:after="0"/>
              <w:rPr>
                <w:sz w:val="4"/>
                <w:szCs w:val="4"/>
                <w:color w:val="auto"/>
              </w:rPr>
            </w:pPr>
          </w:p>
        </w:tc>
        <w:tc>
          <w:tcPr>
            <w:tcW w:w="1400" w:type="dxa"/>
            <w:vAlign w:val="bottom"/>
            <w:tcBorders>
              <w:bottom w:val="single" w:sz="8" w:color="CCCCCC"/>
              <w:right w:val="single" w:sz="8" w:color="CCCCCC"/>
            </w:tcBorders>
            <w:vMerge w:val="continue"/>
            <w:shd w:val="clear" w:color="auto" w:fill="CCCCCC"/>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CCCCCC"/>
            </w:tcBorders>
            <w:shd w:val="clear" w:color="auto" w:fill="CCCCCC"/>
          </w:tcPr>
          <w:p>
            <w:pPr>
              <w:spacing w:after="0"/>
              <w:rPr>
                <w:sz w:val="4"/>
                <w:szCs w:val="4"/>
                <w:color w:val="auto"/>
              </w:rPr>
            </w:pPr>
          </w:p>
        </w:tc>
        <w:tc>
          <w:tcPr>
            <w:tcW w:w="20" w:type="dxa"/>
            <w:vAlign w:val="bottom"/>
            <w:tcBorders>
              <w:bottom w:val="single" w:sz="8" w:color="CCCCCC"/>
            </w:tcBorders>
            <w:shd w:val="clear" w:color="auto" w:fill="CCCCCC"/>
          </w:tcPr>
          <w:p>
            <w:pPr>
              <w:spacing w:after="0"/>
              <w:rPr>
                <w:sz w:val="4"/>
                <w:szCs w:val="4"/>
                <w:color w:val="auto"/>
              </w:rPr>
            </w:pPr>
          </w:p>
        </w:tc>
        <w:tc>
          <w:tcPr>
            <w:tcW w:w="400" w:type="dxa"/>
            <w:vAlign w:val="bottom"/>
            <w:tcBorders>
              <w:bottom w:val="single" w:sz="8" w:color="CCCCCC"/>
              <w:right w:val="single" w:sz="8" w:color="CCCCCC"/>
            </w:tcBorders>
            <w:shd w:val="clear" w:color="auto" w:fill="CCCCCC"/>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CCCCCC"/>
              <w:right w:val="single" w:sz="8" w:color="CCCCCC"/>
            </w:tcBorders>
            <w:shd w:val="clear" w:color="auto" w:fill="CCCCCC"/>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CCCCCC"/>
            </w:tcBorders>
            <w:shd w:val="clear" w:color="auto" w:fill="CCCCCC"/>
          </w:tcPr>
          <w:p>
            <w:pPr>
              <w:spacing w:after="0"/>
              <w:rPr>
                <w:sz w:val="4"/>
                <w:szCs w:val="4"/>
                <w:color w:val="auto"/>
              </w:rPr>
            </w:pPr>
          </w:p>
        </w:tc>
        <w:tc>
          <w:tcPr>
            <w:tcW w:w="560" w:type="dxa"/>
            <w:vAlign w:val="bottom"/>
            <w:tcBorders>
              <w:bottom w:val="single" w:sz="8" w:color="CCCCCC"/>
              <w:right w:val="single" w:sz="8" w:color="CCCCCC"/>
            </w:tcBorders>
            <w:shd w:val="clear" w:color="auto" w:fill="CCCCCC"/>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80" w:type="dxa"/>
            <w:vAlign w:val="bottom"/>
            <w:gridSpan w:val="2"/>
          </w:tcPr>
          <w:p>
            <w:pPr>
              <w:spacing w:after="0" w:line="194" w:lineRule="exact"/>
              <w:rPr>
                <w:sz w:val="20"/>
                <w:szCs w:val="20"/>
                <w:color w:val="auto"/>
              </w:rPr>
            </w:pPr>
            <w:r>
              <w:rPr>
                <w:rFonts w:ascii="Arial" w:cs="Arial" w:eastAsia="Arial" w:hAnsi="Arial"/>
                <w:sz w:val="14"/>
                <w:szCs w:val="14"/>
                <w:color w:val="auto"/>
              </w:rPr>
              <w:t>​Roger Francis</w:t>
            </w:r>
            <w:r>
              <w:rPr>
                <w:rFonts w:ascii="Arial" w:cs="Arial" w:eastAsia="Arial" w:hAnsi="Arial"/>
                <w:sz w:val="17"/>
                <w:szCs w:val="17"/>
                <w:color w:val="auto"/>
                <w:vertAlign w:val="superscript"/>
              </w:rPr>
              <w:t>(1)</w:t>
            </w:r>
          </w:p>
        </w:tc>
        <w:tc>
          <w:tcPr>
            <w:tcW w:w="500" w:type="dxa"/>
            <w:vAlign w:val="bottom"/>
            <w:gridSpan w:val="4"/>
          </w:tcPr>
          <w:p>
            <w:pPr>
              <w:jc w:val="right"/>
              <w:ind w:right="1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2021</w:t>
            </w:r>
          </w:p>
        </w:tc>
        <w:tc>
          <w:tcPr>
            <w:tcW w:w="700" w:type="dxa"/>
            <w:vAlign w:val="bottom"/>
            <w:gridSpan w:val="3"/>
          </w:tcPr>
          <w:p>
            <w:pPr>
              <w:spacing w:after="0"/>
              <w:rPr>
                <w:sz w:val="20"/>
                <w:szCs w:val="20"/>
                <w:color w:val="auto"/>
              </w:rPr>
            </w:pPr>
            <w:r>
              <w:rPr>
                <w:rFonts w:ascii="Arial" w:cs="Arial" w:eastAsia="Arial" w:hAnsi="Arial"/>
                <w:sz w:val="14"/>
                <w:szCs w:val="14"/>
                <w:color w:val="auto"/>
              </w:rPr>
              <w:t>​​ ​285,577</w:t>
            </w:r>
          </w:p>
        </w:tc>
        <w:tc>
          <w:tcPr>
            <w:tcW w:w="700" w:type="dxa"/>
            <w:vAlign w:val="bottom"/>
            <w:gridSpan w:val="4"/>
          </w:tcPr>
          <w:p>
            <w:pPr>
              <w:spacing w:after="0"/>
              <w:rPr>
                <w:sz w:val="20"/>
                <w:szCs w:val="20"/>
                <w:color w:val="auto"/>
              </w:rPr>
            </w:pPr>
            <w:r>
              <w:rPr>
                <w:rFonts w:ascii="Arial" w:cs="Arial" w:eastAsia="Arial" w:hAnsi="Arial"/>
                <w:sz w:val="14"/>
                <w:szCs w:val="14"/>
                <w:color w:val="auto"/>
              </w:rPr>
              <w:t>​​ ​145,307</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780" w:type="dxa"/>
            <w:vAlign w:val="bottom"/>
            <w:gridSpan w:val="5"/>
          </w:tcPr>
          <w:p>
            <w:pPr>
              <w:jc w:val="right"/>
              <w:spacing w:after="0"/>
              <w:rPr>
                <w:sz w:val="20"/>
                <w:szCs w:val="20"/>
                <w:color w:val="auto"/>
              </w:rPr>
            </w:pPr>
            <w:r>
              <w:rPr>
                <w:rFonts w:ascii="Arial" w:cs="Arial" w:eastAsia="Arial" w:hAnsi="Arial"/>
                <w:sz w:val="14"/>
                <w:szCs w:val="14"/>
                <w:color w:val="auto"/>
              </w:rPr>
              <w:t>525,060​​​</w:t>
            </w: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175,013</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Senior Vice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President, Chief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Stores Officer</w:t>
            </w:r>
          </w:p>
        </w:tc>
        <w:tc>
          <w:tcPr>
            <w:tcW w:w="500" w:type="dxa"/>
            <w:vAlign w:val="bottom"/>
            <w:gridSpan w:val="4"/>
            <w:vMerge w:val="restart"/>
          </w:tcPr>
          <w:p>
            <w:pPr>
              <w:jc w:val="right"/>
              <w:ind w:right="10"/>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​2021</w:t>
            </w:r>
          </w:p>
        </w:tc>
        <w:tc>
          <w:tcPr>
            <w:tcW w:w="700" w:type="dxa"/>
            <w:vAlign w:val="bottom"/>
            <w:gridSpan w:val="3"/>
            <w:vMerge w:val="restart"/>
          </w:tcPr>
          <w:p>
            <w:pPr>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​374,904</w:t>
            </w:r>
          </w:p>
        </w:tc>
        <w:tc>
          <w:tcPr>
            <w:tcW w:w="140" w:type="dxa"/>
            <w:vAlign w:val="bottom"/>
            <w:gridSpan w:val="3"/>
            <w:vMerge w:val="restart"/>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tcBorders>
              <w:bottom w:val="single" w:sz="8" w:color="CCCCCC"/>
              <w:right w:val="single" w:sz="8" w:color="CCCCCC"/>
            </w:tcBorders>
            <w:gridSpan w:val="2"/>
            <w:shd w:val="clear" w:color="auto" w:fill="CCCCCC"/>
          </w:tcPr>
          <w:p>
            <w:pP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Jared Brandman</w:t>
            </w:r>
            <w:r>
              <w:rPr>
                <w:rFonts w:ascii="Arial" w:cs="Arial" w:eastAsia="Arial" w:hAnsi="Arial"/>
                <w:sz w:val="15"/>
                <w:szCs w:val="15"/>
                <w:color w:val="auto"/>
                <w:vertAlign w:val="superscript"/>
              </w:rPr>
              <w:t>(1)</w:t>
            </w:r>
          </w:p>
        </w:tc>
        <w:tc>
          <w:tcPr>
            <w:tcW w:w="500" w:type="dxa"/>
            <w:vAlign w:val="bottom"/>
            <w:gridSpan w:val="4"/>
            <w:vMerge w:val="continue"/>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140" w:type="dxa"/>
            <w:vAlign w:val="bottom"/>
            <w:gridSpan w:val="3"/>
            <w:vMerge w:val="continue"/>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CCCC"/>
            </w:tcBorders>
            <w:shd w:val="clear" w:color="auto" w:fill="CCCCCC"/>
          </w:tcPr>
          <w:p>
            <w:pPr>
              <w:jc w:val="right"/>
              <w:spacing w:after="0" w:line="211"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640" w:type="dxa"/>
            <w:vAlign w:val="bottom"/>
            <w:tcBorders>
              <w:bottom w:val="single" w:sz="8" w:color="CCCCCC"/>
              <w:right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262,545</w:t>
            </w:r>
          </w:p>
        </w:tc>
        <w:tc>
          <w:tcPr>
            <w:tcW w:w="140" w:type="dxa"/>
            <w:vAlign w:val="bottom"/>
            <w:gridSpan w:val="4"/>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87,522</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2"/>
            <w:vMerge w:val="continue"/>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385,000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shd w:val="clear" w:color="auto" w:fill="CCCCCC"/>
          </w:tcPr>
          <w:p>
            <w:pPr>
              <w:spacing w:after="0"/>
              <w:rPr>
                <w:sz w:val="14"/>
                <w:szCs w:val="14"/>
                <w:color w:val="auto"/>
              </w:rPr>
            </w:pPr>
          </w:p>
        </w:tc>
        <w:tc>
          <w:tcPr>
            <w:tcW w:w="1400" w:type="dxa"/>
            <w:vAlign w:val="bottom"/>
            <w:tcBorders>
              <w:right w:val="single" w:sz="8" w:color="CCCCCC"/>
            </w:tcBorders>
            <w:shd w:val="clear" w:color="auto" w:fill="CCCCCC"/>
          </w:tcPr>
          <w:p>
            <w:pPr>
              <w:ind w:left="80"/>
              <w:spacing w:after="0"/>
              <w:rPr>
                <w:sz w:val="20"/>
                <w:szCs w:val="20"/>
                <w:color w:val="auto"/>
              </w:rPr>
            </w:pPr>
            <w:r>
              <w:rPr>
                <w:rFonts w:ascii="Arial" w:cs="Arial" w:eastAsia="Arial" w:hAnsi="Arial"/>
                <w:sz w:val="14"/>
                <w:szCs w:val="14"/>
                <w:color w:val="auto"/>
              </w:rPr>
              <w:t>Senior Vice</w:t>
            </w:r>
          </w:p>
        </w:tc>
        <w:tc>
          <w:tcPr>
            <w:tcW w:w="20" w:type="dxa"/>
            <w:vAlign w:val="bottom"/>
          </w:tcPr>
          <w:p>
            <w:pPr>
              <w:spacing w:after="0"/>
              <w:rPr>
                <w:sz w:val="14"/>
                <w:szCs w:val="14"/>
                <w:color w:val="auto"/>
              </w:rPr>
            </w:pPr>
          </w:p>
        </w:tc>
        <w:tc>
          <w:tcPr>
            <w:tcW w:w="80" w:type="dxa"/>
            <w:vAlign w:val="bottom"/>
            <w:gridSpan w:val="2"/>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CCCCCC"/>
            </w:tcBorders>
            <w:shd w:val="clear" w:color="auto" w:fill="CCCCCC"/>
          </w:tcPr>
          <w:p>
            <w:pPr>
              <w:jc w:val="right"/>
              <w:ind w:right="10"/>
              <w:spacing w:after="0"/>
              <w:rPr>
                <w:sz w:val="20"/>
                <w:szCs w:val="20"/>
                <w:color w:val="auto"/>
              </w:rPr>
            </w:pPr>
            <w:r>
              <w:rPr>
                <w:rFonts w:ascii="Arial" w:cs="Arial" w:eastAsia="Arial" w:hAnsi="Arial"/>
                <w:sz w:val="14"/>
                <w:szCs w:val="14"/>
                <w:color w:val="auto"/>
                <w:w w:val="96"/>
              </w:rPr>
              <w:t>​2020</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0"/>
                <w:szCs w:val="20"/>
                <w:color w:val="auto"/>
              </w:rPr>
            </w:pPr>
            <w:r>
              <w:rPr>
                <w:rFonts w:ascii="Arial" w:cs="Arial" w:eastAsia="Arial" w:hAnsi="Arial"/>
                <w:sz w:val="14"/>
                <w:szCs w:val="14"/>
                <w:color w:val="auto"/>
              </w:rPr>
              <w:t>​328,462</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3"/>
              <w:spacing w:after="0"/>
              <w:rPr>
                <w:sz w:val="20"/>
                <w:szCs w:val="20"/>
                <w:color w:val="auto"/>
              </w:rPr>
            </w:pPr>
            <w:r>
              <w:rPr>
                <w:rFonts w:ascii="Arial" w:cs="Arial" w:eastAsia="Arial" w:hAnsi="Arial"/>
                <w:sz w:val="14"/>
                <w:szCs w:val="14"/>
                <w:color w:val="auto"/>
              </w:rPr>
              <w:t>​ 15,365</w:t>
            </w: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80" w:type="dxa"/>
            <w:vAlign w:val="bottom"/>
          </w:tcPr>
          <w:p>
            <w:pPr>
              <w:jc w:val="right"/>
              <w:spacing w:after="0"/>
              <w:rPr>
                <w:sz w:val="20"/>
                <w:szCs w:val="20"/>
                <w:color w:val="auto"/>
              </w:rPr>
            </w:pPr>
            <w:r>
              <w:rPr>
                <w:rFonts w:ascii="Arial" w:cs="Arial" w:eastAsia="Arial" w:hAnsi="Arial"/>
                <w:sz w:val="14"/>
                <w:szCs w:val="14"/>
                <w:color w:val="auto"/>
                <w:highlight w:val="lightGray"/>
              </w:rPr>
              <w:t>​​</w:t>
            </w:r>
          </w:p>
        </w:tc>
        <w:tc>
          <w:tcPr>
            <w:tcW w:w="640" w:type="dxa"/>
            <w:vAlign w:val="bottom"/>
          </w:tcPr>
          <w:p>
            <w:pPr>
              <w:jc w:val="right"/>
              <w:spacing w:after="0"/>
              <w:rPr>
                <w:sz w:val="20"/>
                <w:szCs w:val="20"/>
                <w:color w:val="auto"/>
              </w:rPr>
            </w:pPr>
            <w:r>
              <w:rPr>
                <w:rFonts w:ascii="Arial" w:cs="Arial" w:eastAsia="Arial" w:hAnsi="Arial"/>
                <w:sz w:val="14"/>
                <w:szCs w:val="14"/>
                <w:color w:val="auto"/>
                <w:highlight w:val="lightGray"/>
              </w:rPr>
              <w:t>187,506</w:t>
            </w:r>
          </w:p>
        </w:tc>
        <w:tc>
          <w:tcPr>
            <w:tcW w:w="80" w:type="dxa"/>
            <w:vAlign w:val="bottom"/>
            <w:gridSpan w:val="3"/>
          </w:tcPr>
          <w:p>
            <w:pPr>
              <w:jc w:val="right"/>
              <w:ind w:right="2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r>
              <w:rPr>
                <w:rFonts w:ascii="Arial" w:cs="Arial" w:eastAsia="Arial" w:hAnsi="Arial"/>
                <w:sz w:val="14"/>
                <w:szCs w:val="14"/>
                <w:color w:val="auto"/>
                <w:highlight w:val="lightGray"/>
              </w:rPr>
              <w:t>​</w:t>
            </w:r>
          </w:p>
        </w:tc>
        <w:tc>
          <w:tcPr>
            <w:tcW w:w="60" w:type="dxa"/>
            <w:vAlign w:val="bottom"/>
          </w:tcPr>
          <w:p>
            <w:pPr>
              <w:jc w:val="right"/>
              <w:spacing w:after="0"/>
              <w:rPr>
                <w:sz w:val="20"/>
                <w:szCs w:val="20"/>
                <w:color w:val="auto"/>
              </w:rPr>
            </w:pPr>
            <w:r>
              <w:rPr>
                <w:rFonts w:ascii="Arial" w:cs="Arial" w:eastAsia="Arial" w:hAnsi="Arial"/>
                <w:sz w:val="14"/>
                <w:szCs w:val="14"/>
                <w:color w:val="auto"/>
                <w:highlight w:val="lightGray"/>
              </w:rPr>
              <w:t>​</w:t>
            </w:r>
          </w:p>
        </w:tc>
        <w:tc>
          <w:tcPr>
            <w:tcW w:w="640" w:type="dxa"/>
            <w:vAlign w:val="bottom"/>
          </w:tcPr>
          <w:p>
            <w:pPr>
              <w:jc w:val="right"/>
              <w:spacing w:after="0"/>
              <w:rPr>
                <w:sz w:val="20"/>
                <w:szCs w:val="20"/>
                <w:color w:val="auto"/>
              </w:rPr>
            </w:pPr>
            <w:r>
              <w:rPr>
                <w:rFonts w:ascii="Arial" w:cs="Arial" w:eastAsia="Arial" w:hAnsi="Arial"/>
                <w:sz w:val="14"/>
                <w:szCs w:val="14"/>
                <w:color w:val="auto"/>
                <w:highlight w:val="lightGray"/>
              </w:rPr>
              <w:t>62,509</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r>
              <w:rPr>
                <w:rFonts w:ascii="Arial" w:cs="Arial" w:eastAsia="Arial" w:hAnsi="Arial"/>
                <w:sz w:val="14"/>
                <w:szCs w:val="14"/>
                <w:color w:val="auto"/>
                <w:highlight w:val="lightGray"/>
              </w:rPr>
              <w:t>​</w:t>
            </w:r>
          </w:p>
        </w:tc>
        <w:tc>
          <w:tcPr>
            <w:tcW w:w="1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highlight w:val="lightGray"/>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highlight w:val="lightGray"/>
              </w:rPr>
              <w:t>159,635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shd w:val="clear" w:color="auto" w:fill="CCCCCC"/>
          </w:tcPr>
          <w:p>
            <w:pPr>
              <w:spacing w:after="0"/>
              <w:rPr>
                <w:sz w:val="3"/>
                <w:szCs w:val="3"/>
                <w:color w:val="auto"/>
              </w:rPr>
            </w:pPr>
          </w:p>
        </w:tc>
        <w:tc>
          <w:tcPr>
            <w:tcW w:w="1400" w:type="dxa"/>
            <w:vAlign w:val="bottom"/>
            <w:tcBorders>
              <w:right w:val="single" w:sz="8" w:color="CCCCCC"/>
            </w:tcBorders>
            <w:vMerge w:val="restart"/>
            <w:shd w:val="clear" w:color="auto" w:fill="CCCCCC"/>
          </w:tcPr>
          <w:p>
            <w:pPr>
              <w:ind w:left="80"/>
              <w:spacing w:after="0"/>
              <w:rPr>
                <w:sz w:val="20"/>
                <w:szCs w:val="20"/>
                <w:color w:val="auto"/>
              </w:rPr>
            </w:pPr>
            <w:r>
              <w:rPr>
                <w:rFonts w:ascii="Arial" w:cs="Arial" w:eastAsia="Arial" w:hAnsi="Arial"/>
                <w:sz w:val="14"/>
                <w:szCs w:val="14"/>
                <w:color w:val="auto"/>
              </w:rPr>
              <w:t>President, General</w:t>
            </w:r>
          </w:p>
        </w:tc>
        <w:tc>
          <w:tcPr>
            <w:tcW w:w="20" w:type="dxa"/>
            <w:vAlign w:val="bottom"/>
          </w:tcPr>
          <w:p>
            <w:pPr>
              <w:spacing w:after="0"/>
              <w:rPr>
                <w:sz w:val="3"/>
                <w:szCs w:val="3"/>
                <w:color w:val="auto"/>
              </w:rPr>
            </w:pPr>
          </w:p>
        </w:tc>
        <w:tc>
          <w:tcPr>
            <w:tcW w:w="80" w:type="dxa"/>
            <w:vAlign w:val="bottom"/>
            <w:gridSpan w:val="2"/>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CCCCCC"/>
            </w:tcBorders>
            <w:vMerge w:val="restart"/>
            <w:shd w:val="clear" w:color="auto" w:fill="CCCCCC"/>
          </w:tcPr>
          <w:p>
            <w:pPr>
              <w:jc w:val="right"/>
              <w:ind w:right="10"/>
              <w:spacing w:after="0"/>
              <w:rPr>
                <w:sz w:val="20"/>
                <w:szCs w:val="20"/>
                <w:color w:val="auto"/>
              </w:rPr>
            </w:pPr>
            <w:r>
              <w:rPr>
                <w:rFonts w:ascii="Arial" w:cs="Arial" w:eastAsia="Arial" w:hAnsi="Arial"/>
                <w:sz w:val="14"/>
                <w:szCs w:val="14"/>
                <w:color w:val="auto"/>
                <w:w w:val="96"/>
              </w:rPr>
              <w:t>​2019</w:t>
            </w: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3"/>
                <w:szCs w:val="3"/>
                <w:color w:val="auto"/>
              </w:rPr>
            </w:pP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425,031</w:t>
            </w:r>
          </w:p>
        </w:tc>
        <w:tc>
          <w:tcPr>
            <w:tcW w:w="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125,008</w:t>
            </w: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3"/>
                <w:szCs w:val="3"/>
                <w:color w:val="auto"/>
              </w:rPr>
            </w:pPr>
          </w:p>
        </w:tc>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31"/>
              <w:spacing w:after="0"/>
              <w:rPr>
                <w:sz w:val="20"/>
                <w:szCs w:val="20"/>
                <w:color w:val="auto"/>
              </w:rPr>
            </w:pPr>
            <w:r>
              <w:rPr>
                <w:rFonts w:ascii="Arial" w:cs="Arial" w:eastAsia="Arial" w:hAnsi="Arial"/>
                <w:sz w:val="14"/>
                <w:szCs w:val="14"/>
                <w:color w:val="auto"/>
              </w:rPr>
              <w:t>208,409</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shd w:val="clear" w:color="auto" w:fill="CCCCCC"/>
          </w:tcPr>
          <w:p>
            <w:pPr>
              <w:spacing w:after="0"/>
              <w:rPr>
                <w:sz w:val="12"/>
                <w:szCs w:val="12"/>
                <w:color w:val="auto"/>
              </w:rPr>
            </w:pPr>
          </w:p>
        </w:tc>
        <w:tc>
          <w:tcPr>
            <w:tcW w:w="1400" w:type="dxa"/>
            <w:vAlign w:val="bottom"/>
            <w:tcBorders>
              <w:right w:val="single" w:sz="8" w:color="CCCCCC"/>
            </w:tcBorders>
            <w:vMerge w:val="continue"/>
            <w:shd w:val="clear" w:color="auto" w:fill="CCCCCC"/>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vMerge w:val="continue"/>
            <w:shd w:val="clear" w:color="auto" w:fill="CCCCCC"/>
          </w:tcPr>
          <w:p>
            <w:pPr>
              <w:spacing w:after="0"/>
              <w:rPr>
                <w:sz w:val="12"/>
                <w:szCs w:val="12"/>
                <w:color w:val="auto"/>
              </w:rPr>
            </w:pPr>
          </w:p>
        </w:tc>
        <w:tc>
          <w:tcPr>
            <w:tcW w:w="400" w:type="dxa"/>
            <w:vAlign w:val="bottom"/>
            <w:tcBorders>
              <w:right w:val="single" w:sz="8" w:color="CCCCCC"/>
            </w:tcBorders>
            <w:vMerge w:val="continue"/>
            <w:shd w:val="clear" w:color="auto" w:fill="CCCCCC"/>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600" w:type="dxa"/>
            <w:vAlign w:val="bottom"/>
            <w:tcBorders>
              <w:right w:val="single" w:sz="8" w:color="CCCCCC"/>
            </w:tcBorders>
            <w:shd w:val="clear" w:color="auto" w:fill="CCCCCC"/>
          </w:tcPr>
          <w:p>
            <w:pPr>
              <w:spacing w:after="0" w:line="149" w:lineRule="exact"/>
              <w:rPr>
                <w:sz w:val="20"/>
                <w:szCs w:val="20"/>
                <w:color w:val="auto"/>
              </w:rPr>
            </w:pPr>
            <w:r>
              <w:rPr>
                <w:rFonts w:ascii="Arial" w:cs="Arial" w:eastAsia="Arial" w:hAnsi="Arial"/>
                <w:sz w:val="14"/>
                <w:szCs w:val="14"/>
                <w:color w:val="auto"/>
              </w:rPr>
              <w:t>​298,915</w:t>
            </w:r>
          </w:p>
        </w:tc>
        <w:tc>
          <w:tcPr>
            <w:tcW w:w="100" w:type="dxa"/>
            <w:vAlign w:val="bottom"/>
            <w:gridSpan w:val="2"/>
            <w:vMerge w:val="continue"/>
          </w:tcPr>
          <w:p>
            <w:pPr>
              <w:spacing w:after="0"/>
              <w:rPr>
                <w:sz w:val="12"/>
                <w:szCs w:val="12"/>
                <w:color w:val="auto"/>
              </w:rPr>
            </w:pPr>
          </w:p>
        </w:tc>
        <w:tc>
          <w:tcPr>
            <w:tcW w:w="40" w:type="dxa"/>
            <w:vAlign w:val="bottom"/>
            <w:shd w:val="clear" w:color="auto" w:fill="CCCCCC"/>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CCCC"/>
            </w:tcBorders>
            <w:shd w:val="clear" w:color="auto" w:fill="CCCCCC"/>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gridSpan w:val="3"/>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shd w:val="clear" w:color="auto" w:fill="CCCCCC"/>
          </w:tcPr>
          <w:p>
            <w:pPr>
              <w:spacing w:after="0"/>
              <w:rPr>
                <w:sz w:val="13"/>
                <w:szCs w:val="13"/>
                <w:color w:val="auto"/>
              </w:rPr>
            </w:pPr>
          </w:p>
        </w:tc>
        <w:tc>
          <w:tcPr>
            <w:tcW w:w="1400" w:type="dxa"/>
            <w:vAlign w:val="bottom"/>
            <w:tcBorders>
              <w:right w:val="single" w:sz="8" w:color="CCCCCC"/>
            </w:tcBorders>
            <w:shd w:val="clear" w:color="auto" w:fill="CCCCCC"/>
          </w:tcPr>
          <w:p>
            <w:pPr>
              <w:ind w:left="80"/>
              <w:spacing w:after="0" w:line="153" w:lineRule="exact"/>
              <w:rPr>
                <w:sz w:val="20"/>
                <w:szCs w:val="20"/>
                <w:color w:val="auto"/>
              </w:rPr>
            </w:pPr>
            <w:r>
              <w:rPr>
                <w:rFonts w:ascii="Arial" w:cs="Arial" w:eastAsia="Arial" w:hAnsi="Arial"/>
                <w:sz w:val="14"/>
                <w:szCs w:val="14"/>
                <w:color w:val="auto"/>
              </w:rPr>
              <w:t>Counsel and</w:t>
            </w:r>
          </w:p>
        </w:tc>
        <w:tc>
          <w:tcPr>
            <w:tcW w:w="20" w:type="dxa"/>
            <w:vAlign w:val="bottom"/>
          </w:tcPr>
          <w:p>
            <w:pPr>
              <w:spacing w:after="0"/>
              <w:rPr>
                <w:sz w:val="13"/>
                <w:szCs w:val="13"/>
                <w:color w:val="auto"/>
              </w:rPr>
            </w:pPr>
          </w:p>
        </w:tc>
        <w:tc>
          <w:tcPr>
            <w:tcW w:w="60" w:type="dxa"/>
            <w:vAlign w:val="bottom"/>
            <w:shd w:val="clear" w:color="auto" w:fill="CCCCCC"/>
          </w:tcPr>
          <w:p>
            <w:pPr>
              <w:spacing w:after="0"/>
              <w:rPr>
                <w:sz w:val="13"/>
                <w:szCs w:val="13"/>
                <w:color w:val="auto"/>
              </w:rPr>
            </w:pPr>
          </w:p>
        </w:tc>
        <w:tc>
          <w:tcPr>
            <w:tcW w:w="20" w:type="dxa"/>
            <w:vAlign w:val="bottom"/>
            <w:shd w:val="clear" w:color="auto" w:fill="CCCCCC"/>
          </w:tcPr>
          <w:p>
            <w:pPr>
              <w:spacing w:after="0"/>
              <w:rPr>
                <w:sz w:val="13"/>
                <w:szCs w:val="13"/>
                <w:color w:val="auto"/>
              </w:rPr>
            </w:pPr>
          </w:p>
        </w:tc>
        <w:tc>
          <w:tcPr>
            <w:tcW w:w="400" w:type="dxa"/>
            <w:vAlign w:val="bottom"/>
            <w:tcBorders>
              <w:right w:val="single" w:sz="8" w:color="CCCCCC"/>
            </w:tcBorders>
            <w:shd w:val="clear" w:color="auto" w:fill="CCCCCC"/>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CCCCCC"/>
            </w:tcBorders>
            <w:shd w:val="clear" w:color="auto" w:fill="CCCCCC"/>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shd w:val="clear" w:color="auto" w:fill="CCCCCC"/>
          </w:tcPr>
          <w:p>
            <w:pPr>
              <w:spacing w:after="0"/>
              <w:rPr>
                <w:sz w:val="13"/>
                <w:szCs w:val="13"/>
                <w:color w:val="auto"/>
              </w:rPr>
            </w:pPr>
          </w:p>
        </w:tc>
        <w:tc>
          <w:tcPr>
            <w:tcW w:w="560" w:type="dxa"/>
            <w:vAlign w:val="bottom"/>
            <w:tcBorders>
              <w:right w:val="single" w:sz="8" w:color="CCCCCC"/>
            </w:tcBorders>
            <w:shd w:val="clear" w:color="auto" w:fill="CCCCCC"/>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shd w:val="clear" w:color="auto" w:fill="CCCCCC"/>
          </w:tcPr>
          <w:p>
            <w:pPr>
              <w:spacing w:after="0"/>
              <w:rPr>
                <w:sz w:val="16"/>
                <w:szCs w:val="16"/>
                <w:color w:val="auto"/>
              </w:rPr>
            </w:pPr>
          </w:p>
        </w:tc>
        <w:tc>
          <w:tcPr>
            <w:tcW w:w="1400" w:type="dxa"/>
            <w:vAlign w:val="bottom"/>
            <w:tcBorders>
              <w:right w:val="single" w:sz="8" w:color="CCCCCC"/>
            </w:tcBorders>
            <w:shd w:val="clear" w:color="auto" w:fill="CCCCCC"/>
          </w:tcPr>
          <w:p>
            <w:pPr>
              <w:ind w:left="80"/>
              <w:spacing w:after="0"/>
              <w:rPr>
                <w:sz w:val="20"/>
                <w:szCs w:val="20"/>
                <w:color w:val="auto"/>
              </w:rPr>
            </w:pPr>
            <w:r>
              <w:rPr>
                <w:rFonts w:ascii="Arial" w:cs="Arial" w:eastAsia="Arial" w:hAnsi="Arial"/>
                <w:sz w:val="14"/>
                <w:szCs w:val="14"/>
                <w:color w:val="auto"/>
              </w:rPr>
              <w:t>Secretary</w:t>
            </w:r>
          </w:p>
        </w:tc>
        <w:tc>
          <w:tcPr>
            <w:tcW w:w="20" w:type="dxa"/>
            <w:vAlign w:val="bottom"/>
          </w:tcPr>
          <w:p>
            <w:pPr>
              <w:spacing w:after="0"/>
              <w:rPr>
                <w:sz w:val="16"/>
                <w:szCs w:val="16"/>
                <w:color w:val="auto"/>
              </w:rPr>
            </w:pPr>
          </w:p>
        </w:tc>
        <w:tc>
          <w:tcPr>
            <w:tcW w:w="60" w:type="dxa"/>
            <w:vAlign w:val="bottom"/>
            <w:shd w:val="clear" w:color="auto" w:fill="CCCCCC"/>
          </w:tcPr>
          <w:p>
            <w:pPr>
              <w:spacing w:after="0"/>
              <w:rPr>
                <w:sz w:val="16"/>
                <w:szCs w:val="16"/>
                <w:color w:val="auto"/>
              </w:rPr>
            </w:pPr>
          </w:p>
        </w:tc>
        <w:tc>
          <w:tcPr>
            <w:tcW w:w="20" w:type="dxa"/>
            <w:vAlign w:val="bottom"/>
            <w:shd w:val="clear" w:color="auto" w:fill="CCCCCC"/>
          </w:tcPr>
          <w:p>
            <w:pPr>
              <w:spacing w:after="0"/>
              <w:rPr>
                <w:sz w:val="16"/>
                <w:szCs w:val="16"/>
                <w:color w:val="auto"/>
              </w:rPr>
            </w:pPr>
          </w:p>
        </w:tc>
        <w:tc>
          <w:tcPr>
            <w:tcW w:w="400" w:type="dxa"/>
            <w:vAlign w:val="bottom"/>
            <w:tcBorders>
              <w:right w:val="single" w:sz="8" w:color="CCCCCC"/>
            </w:tcBorders>
            <w:shd w:val="clear" w:color="auto" w:fill="CCCCCC"/>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right w:val="single" w:sz="8" w:color="CCCCCC"/>
            </w:tcBorders>
            <w:shd w:val="clear" w:color="auto" w:fill="CCCCCC"/>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shd w:val="clear" w:color="auto" w:fill="CCCCCC"/>
          </w:tcPr>
          <w:p>
            <w:pPr>
              <w:spacing w:after="0"/>
              <w:rPr>
                <w:sz w:val="16"/>
                <w:szCs w:val="16"/>
                <w:color w:val="auto"/>
              </w:rPr>
            </w:pPr>
          </w:p>
        </w:tc>
        <w:tc>
          <w:tcPr>
            <w:tcW w:w="560" w:type="dxa"/>
            <w:vAlign w:val="bottom"/>
            <w:tcBorders>
              <w:right w:val="single" w:sz="8" w:color="CCCCCC"/>
            </w:tcBorders>
            <w:shd w:val="clear" w:color="auto" w:fill="CCCCCC"/>
          </w:tcPr>
          <w:p>
            <w:pPr>
              <w:spacing w:after="0"/>
              <w:rPr>
                <w:sz w:val="16"/>
                <w:szCs w:val="16"/>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40" w:type="dxa"/>
            <w:vAlign w:val="bottom"/>
          </w:tcPr>
          <w:p>
            <w:pPr>
              <w:spacing w:after="0"/>
              <w:rPr>
                <w:sz w:val="16"/>
                <w:szCs w:val="16"/>
                <w:color w:val="auto"/>
              </w:rPr>
            </w:pPr>
          </w:p>
        </w:tc>
        <w:tc>
          <w:tcPr>
            <w:tcW w:w="14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80" w:type="dxa"/>
            <w:vAlign w:val="bottom"/>
            <w:gridSpan w:val="2"/>
          </w:tcPr>
          <w:p>
            <w:pP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Bill Clark</w:t>
            </w:r>
            <w:r>
              <w:rPr>
                <w:rFonts w:ascii="Arial" w:cs="Arial" w:eastAsia="Arial" w:hAnsi="Arial"/>
                <w:sz w:val="15"/>
                <w:szCs w:val="15"/>
                <w:color w:val="auto"/>
                <w:vertAlign w:val="superscript"/>
              </w:rPr>
              <w:t>(1)</w:t>
            </w:r>
          </w:p>
        </w:tc>
        <w:tc>
          <w:tcPr>
            <w:tcW w:w="500" w:type="dxa"/>
            <w:vAlign w:val="bottom"/>
            <w:gridSpan w:val="4"/>
          </w:tcPr>
          <w:p>
            <w:pPr>
              <w:jc w:val="right"/>
              <w:ind w:right="10"/>
              <w:spacing w:after="0" w:line="207"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​2021</w:t>
            </w:r>
          </w:p>
        </w:tc>
        <w:tc>
          <w:tcPr>
            <w:tcW w:w="700" w:type="dxa"/>
            <w:vAlign w:val="bottom"/>
            <w:gridSpan w:val="3"/>
          </w:tcPr>
          <w:p>
            <w:pP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​357,471</w:t>
            </w:r>
          </w:p>
        </w:tc>
        <w:tc>
          <w:tcPr>
            <w:tcW w:w="140" w:type="dxa"/>
            <w:vAlign w:val="bottom"/>
            <w:gridSpan w:val="3"/>
          </w:tcPr>
          <w:p>
            <w:pPr>
              <w:spacing w:after="0" w:line="207"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 w:type="dxa"/>
            <w:vAlign w:val="bottom"/>
            <w:gridSpan w:val="2"/>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262,545</w:t>
            </w:r>
          </w:p>
        </w:tc>
        <w:tc>
          <w:tcPr>
            <w:tcW w:w="140" w:type="dxa"/>
            <w:vAlign w:val="bottom"/>
            <w:gridSpan w:val="4"/>
            <w:vMerge w:val="continue"/>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87,522</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2"/>
            <w:vMerge w:val="continue"/>
          </w:tcPr>
          <w:p>
            <w:pPr>
              <w:spacing w:after="0"/>
              <w:rPr>
                <w:sz w:val="17"/>
                <w:szCs w:val="17"/>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360,500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Senior Vice</w:t>
            </w:r>
          </w:p>
        </w:tc>
        <w:tc>
          <w:tcPr>
            <w:tcW w:w="20" w:type="dxa"/>
            <w:vAlign w:val="bottom"/>
          </w:tcPr>
          <w:p>
            <w:pPr>
              <w:spacing w:after="0"/>
              <w:rPr>
                <w:sz w:val="16"/>
                <w:szCs w:val="16"/>
                <w:color w:val="auto"/>
              </w:rPr>
            </w:pPr>
          </w:p>
        </w:tc>
        <w:tc>
          <w:tcPr>
            <w:tcW w:w="480" w:type="dxa"/>
            <w:vAlign w:val="bottom"/>
            <w:gridSpan w:val="3"/>
          </w:tcPr>
          <w:p>
            <w:pPr>
              <w:jc w:val="right"/>
              <w:ind w:right="1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​2020</w:t>
            </w:r>
          </w:p>
        </w:tc>
        <w:tc>
          <w:tcPr>
            <w:tcW w:w="700" w:type="dxa"/>
            <w:vAlign w:val="bottom"/>
            <w:gridSpan w:val="3"/>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​315,385</w:t>
            </w:r>
          </w:p>
        </w:tc>
        <w:tc>
          <w:tcPr>
            <w:tcW w:w="700" w:type="dxa"/>
            <w:vAlign w:val="bottom"/>
            <w:gridSpan w:val="4"/>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 15,365</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240,049</w:t>
            </w:r>
          </w:p>
        </w:tc>
        <w:tc>
          <w:tcPr>
            <w:tcW w:w="1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80,004</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159,635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President, Chief</w:t>
            </w:r>
          </w:p>
        </w:tc>
        <w:tc>
          <w:tcPr>
            <w:tcW w:w="20" w:type="dxa"/>
            <w:vAlign w:val="bottom"/>
          </w:tcPr>
          <w:p>
            <w:pPr>
              <w:spacing w:after="0"/>
              <w:rPr>
                <w:sz w:val="16"/>
                <w:szCs w:val="16"/>
                <w:color w:val="auto"/>
              </w:rPr>
            </w:pPr>
          </w:p>
        </w:tc>
        <w:tc>
          <w:tcPr>
            <w:tcW w:w="480" w:type="dxa"/>
            <w:vAlign w:val="bottom"/>
            <w:gridSpan w:val="3"/>
          </w:tcPr>
          <w:p>
            <w:pPr>
              <w:jc w:val="right"/>
              <w:ind w:right="10"/>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​2019</w:t>
            </w:r>
          </w:p>
        </w:tc>
        <w:tc>
          <w:tcPr>
            <w:tcW w:w="700" w:type="dxa"/>
            <w:vAlign w:val="bottom"/>
            <w:gridSpan w:val="3"/>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​171,077</w:t>
            </w:r>
          </w:p>
        </w:tc>
        <w:tc>
          <w:tcPr>
            <w:tcW w:w="700" w:type="dxa"/>
            <w:vAlign w:val="bottom"/>
            <w:gridSpan w:val="4"/>
          </w:tcPr>
          <w:p>
            <w:pPr>
              <w:spacing w:after="0" w:line="185"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 50,000</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550,027</w:t>
            </w:r>
          </w:p>
        </w:tc>
        <w:tc>
          <w:tcPr>
            <w:tcW w:w="1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250,005</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119,278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People Officer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
              <w:spacing w:after="0"/>
              <w:rPr>
                <w:sz w:val="20"/>
                <w:szCs w:val="20"/>
                <w:color w:val="auto"/>
              </w:rPr>
            </w:pPr>
            <w:r>
              <w:rPr>
                <w:rFonts w:ascii="Arial" w:cs="Arial" w:eastAsia="Arial" w:hAnsi="Arial"/>
                <w:sz w:val="13"/>
                <w:szCs w:val="13"/>
                <w:b w:val="1"/>
                <w:bCs w:val="1"/>
                <w:color w:val="FFFFFF"/>
                <w:w w:val="95"/>
              </w:rPr>
              <w:t>Change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48"/>
              <w:spacing w:after="0" w:line="126" w:lineRule="exact"/>
              <w:rPr>
                <w:sz w:val="20"/>
                <w:szCs w:val="20"/>
                <w:color w:val="auto"/>
              </w:rPr>
            </w:pPr>
            <w:r>
              <w:rPr>
                <w:rFonts w:ascii="Arial" w:cs="Arial" w:eastAsia="Arial" w:hAnsi="Arial"/>
                <w:sz w:val="13"/>
                <w:szCs w:val="13"/>
                <w:b w:val="1"/>
                <w:bCs w:val="1"/>
                <w:color w:val="FFFFFF"/>
                <w:w w:val="96"/>
              </w:rPr>
              <w:t>Pension Value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1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FFFFFF"/>
                <w:w w:val="96"/>
              </w:rPr>
              <w:t>and Nonqualified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8"/>
              <w:spacing w:after="0" w:line="131" w:lineRule="exact"/>
              <w:rPr>
                <w:sz w:val="20"/>
                <w:szCs w:val="20"/>
                <w:color w:val="auto"/>
              </w:rPr>
            </w:pPr>
            <w:r>
              <w:rPr>
                <w:rFonts w:ascii="Arial" w:cs="Arial" w:eastAsia="Arial" w:hAnsi="Arial"/>
                <w:sz w:val="13"/>
                <w:szCs w:val="13"/>
                <w:b w:val="1"/>
                <w:bCs w:val="1"/>
                <w:color w:val="FFFFFF"/>
                <w:w w:val="97"/>
              </w:rPr>
              <w:t>Deferred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8"/>
              <w:spacing w:after="0" w:line="126" w:lineRule="exact"/>
              <w:rPr>
                <w:sz w:val="20"/>
                <w:szCs w:val="20"/>
                <w:color w:val="auto"/>
              </w:rPr>
            </w:pPr>
            <w:r>
              <w:rPr>
                <w:rFonts w:ascii="Arial" w:cs="Arial" w:eastAsia="Arial" w:hAnsi="Arial"/>
                <w:sz w:val="13"/>
                <w:szCs w:val="13"/>
                <w:b w:val="1"/>
                <w:bCs w:val="1"/>
                <w:color w:val="FFFFFF"/>
                <w:w w:val="97"/>
              </w:rPr>
              <w:t>Compensation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6"/>
              </w:rPr>
              <w:t>Total</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48"/>
              <w:spacing w:after="0" w:line="122" w:lineRule="exact"/>
              <w:rPr>
                <w:sz w:val="20"/>
                <w:szCs w:val="20"/>
                <w:color w:val="auto"/>
              </w:rPr>
            </w:pPr>
            <w:r>
              <w:rPr>
                <w:rFonts w:ascii="Arial" w:cs="Arial" w:eastAsia="Arial" w:hAnsi="Arial"/>
                <w:sz w:val="13"/>
                <w:szCs w:val="13"/>
                <w:b w:val="1"/>
                <w:bCs w:val="1"/>
                <w:color w:val="FFFFFF"/>
                <w:w w:val="96"/>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FFFFFF"/>
                <w:w w:val="97"/>
              </w:rPr>
              <w:t>Compensation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1060" w:type="dxa"/>
            <w:vAlign w:val="bottom"/>
            <w:gridSpan w:val="2"/>
          </w:tcPr>
          <w:p>
            <w:pPr>
              <w:ind w:left="420"/>
              <w:spacing w:after="0"/>
              <w:rPr>
                <w:sz w:val="20"/>
                <w:szCs w:val="20"/>
                <w:color w:val="auto"/>
              </w:rPr>
            </w:pPr>
            <w:r>
              <w:rPr>
                <w:rFonts w:ascii="Arial" w:cs="Arial" w:eastAsia="Arial" w:hAnsi="Arial"/>
                <w:sz w:val="13"/>
                <w:szCs w:val="13"/>
                <w:b w:val="1"/>
                <w:bCs w:val="1"/>
                <w:color w:val="FFFFFF"/>
              </w:rPr>
              <w:t>($)</w:t>
            </w:r>
          </w:p>
        </w:tc>
        <w:tc>
          <w:tcPr>
            <w:tcW w:w="1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FFFFFF"/>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53"/>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(7)</w:t>
            </w:r>
          </w:p>
        </w:tc>
        <w:tc>
          <w:tcPr>
            <w:tcW w:w="80" w:type="dxa"/>
            <w:vAlign w:val="bottom"/>
          </w:tcPr>
          <w:p>
            <w:pPr>
              <w:spacing w:after="0"/>
              <w:rPr>
                <w:sz w:val="15"/>
                <w:szCs w:val="15"/>
                <w:color w:val="auto"/>
              </w:rPr>
            </w:pPr>
          </w:p>
        </w:tc>
        <w:tc>
          <w:tcPr>
            <w:tcW w:w="140" w:type="dxa"/>
            <w:vAlign w:val="bottom"/>
            <w:gridSpan w:val="3"/>
          </w:tcPr>
          <w:p>
            <w:pPr>
              <w:spacing w:after="0"/>
              <w:rPr>
                <w:sz w:val="20"/>
                <w:szCs w:val="20"/>
                <w:color w:val="auto"/>
              </w:rPr>
            </w:pPr>
            <w:r>
              <w:rPr>
                <w:rFonts w:ascii="Arial" w:cs="Arial" w:eastAsia="Arial" w:hAnsi="Arial"/>
                <w:sz w:val="13"/>
                <w:szCs w:val="13"/>
                <w:b w:val="1"/>
                <w:bCs w:val="1"/>
                <w:color w:val="FFFFFF"/>
              </w:rPr>
              <w:t>​​</w:t>
            </w:r>
          </w:p>
        </w:tc>
        <w:tc>
          <w:tcPr>
            <w:tcW w:w="480" w:type="dxa"/>
            <w:vAlign w:val="bottom"/>
          </w:tcPr>
          <w:p>
            <w:pPr>
              <w:jc w:val="right"/>
              <w:ind w:right="97"/>
              <w:spacing w:after="0"/>
              <w:rPr>
                <w:sz w:val="20"/>
                <w:szCs w:val="20"/>
                <w:color w:val="auto"/>
              </w:rPr>
            </w:pPr>
            <w:r>
              <w:rPr>
                <w:rFonts w:ascii="Arial" w:cs="Arial" w:eastAsia="Arial" w:hAnsi="Arial"/>
                <w:sz w:val="13"/>
                <w:szCs w:val="13"/>
                <w:b w:val="1"/>
                <w:bCs w:val="1"/>
                <w:color w:val="FFFFFF"/>
              </w:rPr>
              <w:t>($)</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4"/>
                <w:szCs w:val="14"/>
                <w:color w:val="auto"/>
              </w:rPr>
              <w:t>​ 35,791</w:t>
            </w:r>
          </w:p>
        </w:tc>
        <w:tc>
          <w:tcPr>
            <w:tcW w:w="80" w:type="dxa"/>
            <w:vAlign w:val="bottom"/>
          </w:tcPr>
          <w:p>
            <w:pPr>
              <w:spacing w:after="0"/>
              <w:rPr>
                <w:sz w:val="16"/>
                <w:szCs w:val="16"/>
                <w:color w:val="auto"/>
              </w:rPr>
            </w:pPr>
          </w:p>
        </w:tc>
        <w:tc>
          <w:tcPr>
            <w:tcW w:w="780" w:type="dxa"/>
            <w:vAlign w:val="bottom"/>
            <w:gridSpan w:val="6"/>
          </w:tcPr>
          <w:p>
            <w:pPr>
              <w:jc w:val="right"/>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​5,728,490</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203"/>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4"/>
                <w:szCs w:val="14"/>
                <w:color w:val="auto"/>
              </w:rPr>
              <w:t>​ 27,442</w:t>
            </w:r>
          </w:p>
        </w:tc>
        <w:tc>
          <w:tcPr>
            <w:tcW w:w="80" w:type="dxa"/>
            <w:vAlign w:val="bottom"/>
          </w:tcPr>
          <w:p>
            <w:pPr>
              <w:spacing w:after="0"/>
              <w:rPr>
                <w:sz w:val="17"/>
                <w:szCs w:val="17"/>
                <w:color w:val="auto"/>
              </w:rPr>
            </w:pPr>
          </w:p>
        </w:tc>
        <w:tc>
          <w:tcPr>
            <w:tcW w:w="780" w:type="dxa"/>
            <w:vAlign w:val="bottom"/>
            <w:gridSpan w:val="6"/>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​3,976,328</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3"/>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4"/>
                <w:szCs w:val="14"/>
                <w:color w:val="auto"/>
              </w:rPr>
              <w:t>​ 36,815</w:t>
            </w:r>
          </w:p>
        </w:tc>
        <w:tc>
          <w:tcPr>
            <w:tcW w:w="80" w:type="dxa"/>
            <w:vAlign w:val="bottom"/>
          </w:tcPr>
          <w:p>
            <w:pPr>
              <w:spacing w:after="0"/>
              <w:rPr>
                <w:sz w:val="17"/>
                <w:szCs w:val="17"/>
                <w:color w:val="auto"/>
              </w:rPr>
            </w:pPr>
          </w:p>
        </w:tc>
        <w:tc>
          <w:tcPr>
            <w:tcW w:w="780" w:type="dxa"/>
            <w:vAlign w:val="bottom"/>
            <w:gridSpan w:val="6"/>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​4,487,827</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29"/>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4"/>
                <w:szCs w:val="14"/>
                <w:color w:val="auto"/>
              </w:rPr>
              <w:t>​ 11,437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5"/>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highlight w:val="lightGray"/>
              </w:rPr>
              <w:t>​1,891,674</w:t>
            </w:r>
            <w:r>
              <w:rPr>
                <w:rFonts w:ascii="Arial" w:cs="Arial" w:eastAsia="Arial" w:hAnsi="Arial"/>
                <w:sz w:val="26"/>
                <w:szCs w:val="26"/>
                <w:color w:val="auto"/>
                <w:highlight w:val="lightGray"/>
                <w:vertAlign w:val="superscript"/>
              </w:rPr>
              <w:t>​</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3"/>
        </w:trPr>
        <w:tc>
          <w:tcPr>
            <w:tcW w:w="120" w:type="dxa"/>
            <w:vAlign w:val="bottom"/>
            <w:gridSpan w:val="2"/>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7,287</w:t>
            </w:r>
          </w:p>
        </w:tc>
        <w:tc>
          <w:tcPr>
            <w:tcW w:w="860" w:type="dxa"/>
            <w:vAlign w:val="bottom"/>
            <w:gridSpan w:val="7"/>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23"/>
                <w:szCs w:val="23"/>
                <w:color w:val="auto"/>
                <w:highlight w:val="lightGray"/>
                <w:vertAlign w:val="superscript"/>
              </w:rPr>
              <w:t>​</w:t>
            </w:r>
            <w:r>
              <w:rPr>
                <w:rFonts w:ascii="Arial" w:cs="Arial" w:eastAsia="Arial" w:hAnsi="Arial"/>
                <w:sz w:val="13"/>
                <w:szCs w:val="13"/>
                <w:color w:val="auto"/>
                <w:highlight w:val="lightGray"/>
              </w:rPr>
              <w:t>​1,779,432</w:t>
            </w:r>
            <w:r>
              <w:rPr>
                <w:rFonts w:ascii="Arial" w:cs="Arial" w:eastAsia="Arial" w:hAnsi="Arial"/>
                <w:sz w:val="23"/>
                <w:szCs w:val="23"/>
                <w:color w:val="auto"/>
                <w:highlight w:val="lightGray"/>
                <w:vertAlign w:val="superscript"/>
              </w:rPr>
              <w:t>​</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3"/>
        </w:trPr>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14"/>
                <w:szCs w:val="14"/>
                <w:color w:val="auto"/>
              </w:rPr>
              <w:t>​1,724,098</w:t>
            </w:r>
            <w:r>
              <w:rPr>
                <w:rFonts w:ascii="Arial" w:cs="Arial" w:eastAsia="Arial" w:hAnsi="Arial"/>
                <w:sz w:val="28"/>
                <w:szCs w:val="28"/>
                <w:color w:val="auto"/>
                <w:vertAlign w:val="superscript"/>
              </w:rPr>
              <w:t>​​</w:t>
            </w:r>
          </w:p>
        </w:tc>
        <w:tc>
          <w:tcPr>
            <w:tcW w:w="0" w:type="dxa"/>
            <w:vAlign w:val="bottom"/>
          </w:tcPr>
          <w:p>
            <w:pPr>
              <w:spacing w:after="0" w:line="20" w:lineRule="exact"/>
              <w:rPr>
                <w:sz w:val="1"/>
                <w:szCs w:val="1"/>
                <w:color w:val="auto"/>
              </w:rPr>
            </w:pPr>
          </w:p>
        </w:tc>
      </w:tr>
      <w:tr>
        <w:trPr>
          <w:trHeight w:val="311"/>
        </w:trPr>
        <w:tc>
          <w:tcPr>
            <w:tcW w:w="1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shd w:val="clear" w:color="auto" w:fill="CCCCCC"/>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CCCC"/>
          </w:tcPr>
          <w:p>
            <w:pPr>
              <w:jc w:val="right"/>
              <w:ind w:right="153"/>
              <w:spacing w:after="0"/>
              <w:rPr>
                <w:sz w:val="20"/>
                <w:szCs w:val="20"/>
                <w:color w:val="auto"/>
              </w:rPr>
            </w:pPr>
            <w:r>
              <w:rPr>
                <w:rFonts w:ascii="Arial" w:cs="Arial" w:eastAsia="Arial" w:hAnsi="Arial"/>
                <w:sz w:val="14"/>
                <w:szCs w:val="14"/>
                <w:color w:val="auto"/>
              </w:rPr>
              <w:t>8,153</w:t>
            </w:r>
          </w:p>
        </w:tc>
        <w:tc>
          <w:tcPr>
            <w:tcW w:w="80" w:type="dxa"/>
            <w:vAlign w:val="bottom"/>
            <w:shd w:val="clear" w:color="auto" w:fill="CCCCCC"/>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4"/>
                <w:szCs w:val="14"/>
                <w:color w:val="auto"/>
              </w:rPr>
              <w:t>​190,981</w:t>
            </w:r>
          </w:p>
        </w:tc>
        <w:tc>
          <w:tcPr>
            <w:tcW w:w="860" w:type="dxa"/>
            <w:vAlign w:val="bottom"/>
            <w:gridSpan w:val="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1,771,938​​</w:t>
            </w:r>
          </w:p>
        </w:tc>
        <w:tc>
          <w:tcPr>
            <w:tcW w:w="0" w:type="dxa"/>
            <w:vAlign w:val="bottom"/>
          </w:tcPr>
          <w:p>
            <w:pPr>
              <w:spacing w:after="0"/>
              <w:rPr>
                <w:sz w:val="1"/>
                <w:szCs w:val="1"/>
                <w:color w:val="auto"/>
              </w:rPr>
            </w:pPr>
          </w:p>
        </w:tc>
      </w:tr>
      <w:tr>
        <w:trPr>
          <w:trHeight w:val="746"/>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4"/>
                <w:szCs w:val="14"/>
                <w:color w:val="auto"/>
              </w:rPr>
              <w:t>​ 11,724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highlight w:val="lightGray"/>
              </w:rPr>
              <w:t>​1,121,695</w:t>
            </w:r>
            <w:r>
              <w:rPr>
                <w:rFonts w:ascii="Arial" w:cs="Arial" w:eastAsia="Arial" w:hAnsi="Arial"/>
                <w:sz w:val="28"/>
                <w:szCs w:val="28"/>
                <w:color w:val="auto"/>
                <w:highlight w:val="lightGray"/>
                <w:vertAlign w:val="superscript"/>
              </w:rPr>
              <w:t>​</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3"/>
        </w:trPr>
        <w:tc>
          <w:tcPr>
            <w:tcW w:w="120" w:type="dxa"/>
            <w:vAlign w:val="bottom"/>
            <w:gridSpan w:val="2"/>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6,809</w:t>
            </w:r>
          </w:p>
        </w:tc>
        <w:tc>
          <w:tcPr>
            <w:tcW w:w="860" w:type="dxa"/>
            <w:vAlign w:val="bottom"/>
            <w:gridSpan w:val="7"/>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23"/>
                <w:szCs w:val="23"/>
                <w:color w:val="auto"/>
                <w:highlight w:val="lightGray"/>
                <w:vertAlign w:val="superscript"/>
              </w:rPr>
              <w:t>​</w:t>
            </w:r>
            <w:r>
              <w:rPr>
                <w:rFonts w:ascii="Arial" w:cs="Arial" w:eastAsia="Arial" w:hAnsi="Arial"/>
                <w:sz w:val="13"/>
                <w:szCs w:val="13"/>
                <w:color w:val="auto"/>
                <w:highlight w:val="lightGray"/>
              </w:rPr>
              <w:t>​ 760,286</w:t>
            </w:r>
            <w:r>
              <w:rPr>
                <w:rFonts w:ascii="Arial" w:cs="Arial" w:eastAsia="Arial" w:hAnsi="Arial"/>
                <w:sz w:val="23"/>
                <w:szCs w:val="23"/>
                <w:color w:val="auto"/>
                <w:highlight w:val="lightGray"/>
                <w:vertAlign w:val="superscript"/>
              </w:rPr>
              <w:t>​</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3"/>
        </w:trPr>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shd w:val="clear" w:color="auto" w:fill="CCCCCC"/>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CCCC"/>
          </w:tcPr>
          <w:p>
            <w:pPr>
              <w:jc w:val="right"/>
              <w:ind w:right="153"/>
              <w:spacing w:after="0"/>
              <w:rPr>
                <w:sz w:val="20"/>
                <w:szCs w:val="20"/>
                <w:color w:val="auto"/>
              </w:rPr>
            </w:pPr>
            <w:r>
              <w:rPr>
                <w:rFonts w:ascii="Arial" w:cs="Arial" w:eastAsia="Arial" w:hAnsi="Arial"/>
                <w:sz w:val="14"/>
                <w:szCs w:val="14"/>
                <w:color w:val="auto"/>
              </w:rPr>
              <w:t>5,550</w:t>
            </w:r>
          </w:p>
        </w:tc>
        <w:tc>
          <w:tcPr>
            <w:tcW w:w="80" w:type="dxa"/>
            <w:vAlign w:val="bottom"/>
            <w:shd w:val="clear" w:color="auto" w:fill="CCCCCC"/>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​1,062,913</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00"/>
        </w:trPr>
        <w:tc>
          <w:tcPr>
            <w:tcW w:w="120" w:type="dxa"/>
            <w:vAlign w:val="bottom"/>
            <w:gridSpan w:val="2"/>
          </w:tcPr>
          <w:p>
            <w:pPr>
              <w:spacing w:after="0"/>
              <w:rPr>
                <w:sz w:val="8"/>
                <w:szCs w:val="8"/>
                <w:color w:val="auto"/>
              </w:rPr>
            </w:pPr>
          </w:p>
        </w:tc>
        <w:tc>
          <w:tcPr>
            <w:tcW w:w="1060" w:type="dxa"/>
            <w:vAlign w:val="bottom"/>
            <w:gridSpan w:val="2"/>
            <w:vMerge w:val="restart"/>
          </w:tcPr>
          <w:p>
            <w:pPr>
              <w:ind w:left="420"/>
              <w:spacing w:after="0" w:line="306"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shd w:val="clear" w:color="auto" w:fill="CCCCCC"/>
          </w:tcPr>
          <w:p>
            <w:pPr>
              <w:spacing w:after="0"/>
              <w:rPr>
                <w:sz w:val="8"/>
                <w:szCs w:val="8"/>
                <w:color w:val="auto"/>
              </w:rPr>
            </w:pPr>
          </w:p>
        </w:tc>
        <w:tc>
          <w:tcPr>
            <w:tcW w:w="660" w:type="dxa"/>
            <w:vAlign w:val="bottom"/>
            <w:shd w:val="clear" w:color="auto" w:fill="CCCCCC"/>
          </w:tcPr>
          <w:p>
            <w:pPr>
              <w:spacing w:after="0"/>
              <w:rPr>
                <w:sz w:val="8"/>
                <w:szCs w:val="8"/>
                <w:color w:val="auto"/>
              </w:rPr>
            </w:pPr>
          </w:p>
        </w:tc>
        <w:tc>
          <w:tcPr>
            <w:tcW w:w="80" w:type="dxa"/>
            <w:vAlign w:val="bottom"/>
            <w:shd w:val="clear" w:color="auto" w:fill="CCCCCC"/>
          </w:tcPr>
          <w:p>
            <w:pPr>
              <w:spacing w:after="0"/>
              <w:rPr>
                <w:sz w:val="8"/>
                <w:szCs w:val="8"/>
                <w:color w:val="auto"/>
              </w:rPr>
            </w:pPr>
          </w:p>
        </w:tc>
        <w:tc>
          <w:tcPr>
            <w:tcW w:w="60" w:type="dxa"/>
            <w:vAlign w:val="bottom"/>
            <w:gridSpan w:val="2"/>
          </w:tcPr>
          <w:p>
            <w:pPr>
              <w:spacing w:after="0"/>
              <w:rPr>
                <w:sz w:val="8"/>
                <w:szCs w:val="8"/>
                <w:color w:val="auto"/>
              </w:rPr>
            </w:pPr>
          </w:p>
        </w:tc>
        <w:tc>
          <w:tcPr>
            <w:tcW w:w="72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continue"/>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8,522</w:t>
            </w:r>
          </w:p>
        </w:tc>
        <w:tc>
          <w:tcPr>
            <w:tcW w:w="860" w:type="dxa"/>
            <w:vAlign w:val="bottom"/>
            <w:gridSpan w:val="7"/>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​1,076,560</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3"/>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7,375</w:t>
            </w:r>
          </w:p>
        </w:tc>
        <w:tc>
          <w:tcPr>
            <w:tcW w:w="220" w:type="dxa"/>
            <w:vAlign w:val="bottom"/>
            <w:gridSpan w:val="4"/>
          </w:tcPr>
          <w:p>
            <w:pPr>
              <w:ind w:left="8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line="202" w:lineRule="exact"/>
              <w:rPr>
                <w:sz w:val="20"/>
                <w:szCs w:val="20"/>
                <w:color w:val="auto"/>
              </w:rPr>
            </w:pPr>
            <w:r>
              <w:rPr>
                <w:rFonts w:ascii="Arial" w:cs="Arial" w:eastAsia="Arial" w:hAnsi="Arial"/>
                <w:sz w:val="13"/>
                <w:szCs w:val="13"/>
                <w:color w:val="auto"/>
              </w:rPr>
              <w:t>817,813</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386"/>
        </w:trPr>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60" w:type="dxa"/>
            <w:vAlign w:val="bottom"/>
            <w:gridSpan w:val="2"/>
          </w:tcPr>
          <w:p>
            <w:pPr>
              <w:jc w:val="right"/>
              <w:ind w:right="153"/>
              <w:spacing w:after="0"/>
              <w:rPr>
                <w:sz w:val="20"/>
                <w:szCs w:val="20"/>
                <w:color w:val="auto"/>
              </w:rPr>
            </w:pPr>
            <w:r>
              <w:rPr>
                <w:rFonts w:ascii="Arial" w:cs="Arial" w:eastAsia="Arial" w:hAnsi="Arial"/>
                <w:sz w:val="14"/>
                <w:szCs w:val="14"/>
                <w:color w:val="auto"/>
              </w:rPr>
              <w:t>​162,646</w:t>
            </w:r>
          </w:p>
        </w:tc>
        <w:tc>
          <w:tcPr>
            <w:tcW w:w="860" w:type="dxa"/>
            <w:vAlign w:val="bottom"/>
            <w:gridSpan w:val="7"/>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​1,303,033</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2">
            <w:col w:w="6700" w:space="140"/>
            <w:col w:w="3120"/>
          </w:cols>
          <w:pgMar w:left="580" w:top="97" w:right="1359" w:bottom="1440" w:gutter="0" w:footer="0" w:header="0"/>
          <w:type w:val="continuous"/>
        </w:sectPr>
      </w:pPr>
    </w:p>
    <w:p>
      <w:pPr>
        <w:ind w:left="1120" w:hanging="358"/>
        <w:spacing w:after="0" w:line="283"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Mr. Francis joined the Company in May 2021, Mr. Brandman was appointed as an executive officer at the Company effective February 2019, and Mr. Clark joined the Company in June 2019.</w:t>
      </w:r>
    </w:p>
    <w:p>
      <w:pPr>
        <w:spacing w:after="0" w:line="25" w:lineRule="exact"/>
        <w:rPr>
          <w:rFonts w:ascii="Arial" w:cs="Arial" w:eastAsia="Arial" w:hAnsi="Arial"/>
          <w:sz w:val="15"/>
          <w:szCs w:val="15"/>
          <w:color w:val="auto"/>
        </w:rPr>
      </w:pPr>
    </w:p>
    <w:p>
      <w:pPr>
        <w:ind w:left="1120" w:hanging="358"/>
        <w:spacing w:after="0"/>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Salary column reflects salaries paid in the years indicated to each of the NEOs.</w:t>
      </w:r>
    </w:p>
    <w:p>
      <w:pPr>
        <w:spacing w:after="0" w:line="84"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Bonus column reflects the discretionary bonus amount approved by the compensation committee in connection with its approval of the 2020 STIP Award that brought the total annual bonus amount for each NEO with the Company at that time to be paid out at the 2020 Target STIP amount for executive officers. The 2019 amount for Mr. Clark represents his cash sign-on bonuses. The 2021 amount for Mr. Francis also represents his cash sign-on bonuses.</w:t>
      </w:r>
    </w:p>
    <w:p>
      <w:pPr>
        <w:spacing w:after="0" w:line="40" w:lineRule="exact"/>
        <w:rPr>
          <w:rFonts w:ascii="Arial" w:cs="Arial" w:eastAsia="Arial" w:hAnsi="Arial"/>
          <w:sz w:val="15"/>
          <w:szCs w:val="15"/>
          <w:color w:val="auto"/>
        </w:rPr>
      </w:pPr>
    </w:p>
    <w:p>
      <w:pPr>
        <w:jc w:val="both"/>
        <w:ind w:left="1120" w:hanging="358"/>
        <w:spacing w:after="0" w:line="258"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values in the Stock Awards column represent the aggregate grant date fair value for the stock awards granted in the applicable year, computed in accordance with FASB ASC Topic 718. These awards include PSUs, RSUs, one-time 2019 special retention RSU awards and 2019 sign-on awards of PSUs and RSUs. Awards with performance conditions are computed based on the probable outcome of the performance condition as of the grant date for the award. Information about the assumptions used to value these awards can be found in Note 5 “Stock Incentive Plans” in our 2021 Form 10-K. The amounts reported for these awards may not represent the amounts that the individuals will actually receive. The amounts received, if any, ultimately will depend on Company performance and the change in our stock price over time. For PSU awards granted to Messrs. Fahs, Moore, Francis, Brandman, and Clark, the maximum shares payable and the grant date value assuming maximum performance are 60,228 or $2,750,010; 15,332 or $700,060; 13,424 or $700,046; 7,666 or $350,030; and 7,666 or $350,030, respectively.</w:t>
      </w:r>
    </w:p>
    <w:p>
      <w:pPr>
        <w:spacing w:after="0" w:line="32" w:lineRule="exact"/>
        <w:rPr>
          <w:rFonts w:ascii="Arial" w:cs="Arial" w:eastAsia="Arial" w:hAnsi="Arial"/>
          <w:sz w:val="15"/>
          <w:szCs w:val="15"/>
          <w:color w:val="auto"/>
        </w:rPr>
      </w:pPr>
    </w:p>
    <w:p>
      <w:pPr>
        <w:jc w:val="both"/>
        <w:ind w:left="1120" w:hanging="358"/>
        <w:spacing w:after="0" w:line="269"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values in the Option Awards column represent the aggregate grant date fair value for the option awards granted in the applicable year, computed in accordance with FASB ASC Topic 718. The assumptions used to value these awards can be found in Note 5 “Stock Incentive Plans” in our 2021 Form 10-K. The amounts reported for these awards may not represent the amounts that the individuals will actually receive. The amounts received, if any, ultimately will depend on the change in our stock price over time.</w:t>
      </w:r>
    </w:p>
    <w:p>
      <w:pPr>
        <w:spacing w:after="0" w:line="36" w:lineRule="exact"/>
        <w:rPr>
          <w:rFonts w:ascii="Arial" w:cs="Arial" w:eastAsia="Arial" w:hAnsi="Arial"/>
          <w:sz w:val="15"/>
          <w:szCs w:val="15"/>
          <w:color w:val="auto"/>
        </w:rPr>
      </w:pPr>
    </w:p>
    <w:p>
      <w:pPr>
        <w:jc w:val="both"/>
        <w:ind w:left="1120" w:hanging="358"/>
        <w:spacing w:after="0" w:line="258"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Non-Equity Incentive Plan Compensation column reflects the cash incentive awards paid under the STIP for the applicable year. The Company pays these amounts, if any, in the month of March following the year in which they are earned. The cash incentive awards under the 2021 STIP were earned at 200% of target. Additional explanation of the non-equity incentive plan compensation for each NEO appears in “Annual Cash Incentive Program” in the Compensation Discussion and Analysis section above and below in the footnotes to the 2021 Grants of Plan-Based Awards table.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6" w:lineRule="exact"/>
        <w:rPr>
          <w:sz w:val="20"/>
          <w:szCs w:val="20"/>
          <w:color w:val="auto"/>
        </w:rPr>
      </w:pPr>
    </w:p>
    <w:p>
      <w:pPr>
        <w:ind w:left="1120" w:hanging="358"/>
        <w:spacing w:after="0"/>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All Other Compensation for 2021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107315</wp:posOffset>
            </wp:positionV>
            <wp:extent cx="3720465" cy="12172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720465" cy="1217295"/>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107315</wp:posOffset>
            </wp:positionV>
            <wp:extent cx="34290" cy="4972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97205"/>
                    </a:xfrm>
                    <a:prstGeom prst="rect">
                      <a:avLst/>
                    </a:prstGeom>
                    <a:noFill/>
                  </pic:spPr>
                </pic:pic>
              </a:graphicData>
            </a:graphic>
          </wp:anchor>
        </w:drawing>
      </w:r>
    </w:p>
    <w:p>
      <w:pPr>
        <w:spacing w:after="0" w:line="129" w:lineRule="exact"/>
        <w:rPr>
          <w:sz w:val="20"/>
          <w:szCs w:val="20"/>
          <w:color w:val="auto"/>
        </w:rPr>
      </w:pPr>
    </w:p>
    <w:tbl>
      <w:tblPr>
        <w:tblLayout w:type="fixed"/>
        <w:tblInd w:w="1120" w:type="dxa"/>
        <w:tblCellMar>
          <w:top w:w="0" w:type="dxa"/>
          <w:left w:w="0" w:type="dxa"/>
          <w:bottom w:w="0" w:type="dxa"/>
          <w:right w:w="0" w:type="dxa"/>
        </w:tblCellMar>
      </w:tblPr>
      <w:tr>
        <w:trPr>
          <w:trHeight w:val="176"/>
        </w:trPr>
        <w:tc>
          <w:tcPr>
            <w:tcW w:w="20" w:type="dxa"/>
            <w:vAlign w:val="bottom"/>
            <w:tcBorders>
              <w:top w:val="single" w:sz="8" w:color="3C5896"/>
            </w:tcBorders>
          </w:tcPr>
          <w:p>
            <w:pPr>
              <w:spacing w:after="0"/>
              <w:rPr>
                <w:sz w:val="15"/>
                <w:szCs w:val="15"/>
                <w:color w:val="auto"/>
              </w:rPr>
            </w:pPr>
          </w:p>
        </w:tc>
        <w:tc>
          <w:tcPr>
            <w:tcW w:w="1220" w:type="dxa"/>
            <w:vAlign w:val="bottom"/>
            <w:tcBorders>
              <w:top w:val="single" w:sz="8" w:color="3C5896"/>
            </w:tcBorders>
            <w:shd w:val="clear" w:color="auto" w:fill="3C5896"/>
          </w:tcPr>
          <w:p>
            <w:pPr>
              <w:spacing w:after="0"/>
              <w:rPr>
                <w:sz w:val="15"/>
                <w:szCs w:val="15"/>
                <w:color w:val="auto"/>
              </w:rPr>
            </w:pPr>
          </w:p>
        </w:tc>
        <w:tc>
          <w:tcPr>
            <w:tcW w:w="1740" w:type="dxa"/>
            <w:vAlign w:val="bottom"/>
            <w:tcBorders>
              <w:top w:val="single" w:sz="8" w:color="3C5896"/>
            </w:tcBorders>
            <w:shd w:val="clear" w:color="auto" w:fill="3C5896"/>
          </w:tcPr>
          <w:p>
            <w:pPr>
              <w:spacing w:after="0"/>
              <w:rPr>
                <w:sz w:val="15"/>
                <w:szCs w:val="15"/>
                <w:color w:val="auto"/>
              </w:rPr>
            </w:pPr>
          </w:p>
        </w:tc>
        <w:tc>
          <w:tcPr>
            <w:tcW w:w="20" w:type="dxa"/>
            <w:vAlign w:val="bottom"/>
            <w:tcBorders>
              <w:top w:val="single" w:sz="8" w:color="3C5896"/>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3C5896"/>
            </w:tcBorders>
          </w:tcPr>
          <w:p>
            <w:pPr>
              <w:spacing w:after="0"/>
              <w:rPr>
                <w:sz w:val="15"/>
                <w:szCs w:val="15"/>
                <w:color w:val="auto"/>
              </w:rPr>
            </w:pPr>
          </w:p>
        </w:tc>
        <w:tc>
          <w:tcPr>
            <w:tcW w:w="1020" w:type="dxa"/>
            <w:vAlign w:val="bottom"/>
            <w:tcBorders>
              <w:top w:val="single" w:sz="8" w:color="3C5896"/>
            </w:tcBorders>
            <w:vMerge w:val="restart"/>
          </w:tcPr>
          <w:p>
            <w:pPr>
              <w:jc w:val="center"/>
              <w:spacing w:after="0"/>
              <w:rPr>
                <w:sz w:val="20"/>
                <w:szCs w:val="20"/>
                <w:color w:val="auto"/>
              </w:rPr>
            </w:pPr>
            <w:r>
              <w:rPr>
                <w:rFonts w:ascii="Arial" w:cs="Arial" w:eastAsia="Arial" w:hAnsi="Arial"/>
                <w:sz w:val="13"/>
                <w:szCs w:val="13"/>
                <w:b w:val="1"/>
                <w:bCs w:val="1"/>
                <w:color w:val="FFFFFF"/>
              </w:rPr>
              <w:t>Employer</w:t>
            </w:r>
          </w:p>
        </w:tc>
        <w:tc>
          <w:tcPr>
            <w:tcW w:w="60" w:type="dxa"/>
            <w:vAlign w:val="bottom"/>
            <w:tcBorders>
              <w:top w:val="single" w:sz="8" w:color="3C5896"/>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3C5896"/>
            </w:tcBorders>
          </w:tcPr>
          <w:p>
            <w:pPr>
              <w:spacing w:after="0"/>
              <w:rPr>
                <w:sz w:val="15"/>
                <w:szCs w:val="15"/>
                <w:color w:val="auto"/>
              </w:rPr>
            </w:pPr>
          </w:p>
        </w:tc>
        <w:tc>
          <w:tcPr>
            <w:tcW w:w="860" w:type="dxa"/>
            <w:vAlign w:val="bottom"/>
            <w:tcBorders>
              <w:top w:val="single" w:sz="8" w:color="3C5896"/>
            </w:tcBorders>
            <w:vMerge w:val="restart"/>
          </w:tcPr>
          <w:p>
            <w:pPr>
              <w:ind w:left="280"/>
              <w:spacing w:after="0"/>
              <w:rPr>
                <w:sz w:val="20"/>
                <w:szCs w:val="20"/>
                <w:color w:val="auto"/>
              </w:rPr>
            </w:pPr>
            <w:r>
              <w:rPr>
                <w:rFonts w:ascii="Arial" w:cs="Arial" w:eastAsia="Arial" w:hAnsi="Arial"/>
                <w:sz w:val="13"/>
                <w:szCs w:val="13"/>
                <w:b w:val="1"/>
                <w:bCs w:val="1"/>
                <w:color w:val="FFFFFF"/>
              </w:rPr>
              <w:t>Life</w:t>
            </w:r>
          </w:p>
        </w:tc>
        <w:tc>
          <w:tcPr>
            <w:tcW w:w="160" w:type="dxa"/>
            <w:vAlign w:val="bottom"/>
            <w:tcBorders>
              <w:top w:val="single" w:sz="8" w:color="3C5896"/>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3C5896"/>
            </w:tcBorders>
          </w:tcPr>
          <w:p>
            <w:pPr>
              <w:spacing w:after="0"/>
              <w:rPr>
                <w:sz w:val="15"/>
                <w:szCs w:val="15"/>
                <w:color w:val="auto"/>
              </w:rPr>
            </w:pPr>
          </w:p>
        </w:tc>
        <w:tc>
          <w:tcPr>
            <w:tcW w:w="860" w:type="dxa"/>
            <w:vAlign w:val="bottom"/>
            <w:tcBorders>
              <w:top w:val="single" w:sz="8" w:color="3C5896"/>
            </w:tcBorders>
          </w:tcPr>
          <w:p>
            <w:pPr>
              <w:jc w:val="center"/>
              <w:spacing w:after="0"/>
              <w:rPr>
                <w:sz w:val="20"/>
                <w:szCs w:val="20"/>
                <w:color w:val="auto"/>
              </w:rPr>
            </w:pPr>
            <w:r>
              <w:rPr>
                <w:rFonts w:ascii="Arial" w:cs="Arial" w:eastAsia="Arial" w:hAnsi="Arial"/>
                <w:sz w:val="13"/>
                <w:szCs w:val="13"/>
                <w:b w:val="1"/>
                <w:bCs w:val="1"/>
                <w:color w:val="FFFFFF"/>
              </w:rPr>
              <w:t>Disability</w:t>
            </w:r>
          </w:p>
        </w:tc>
        <w:tc>
          <w:tcPr>
            <w:tcW w:w="160" w:type="dxa"/>
            <w:vAlign w:val="bottom"/>
            <w:tcBorders>
              <w:top w:val="single" w:sz="8" w:color="3C5896"/>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3C5896"/>
            </w:tcBorders>
          </w:tcPr>
          <w:p>
            <w:pPr>
              <w:spacing w:after="0"/>
              <w:rPr>
                <w:sz w:val="15"/>
                <w:szCs w:val="15"/>
                <w:color w:val="auto"/>
              </w:rPr>
            </w:pPr>
          </w:p>
        </w:tc>
        <w:tc>
          <w:tcPr>
            <w:tcW w:w="180" w:type="dxa"/>
            <w:vAlign w:val="bottom"/>
            <w:tcBorders>
              <w:top w:val="single" w:sz="8" w:color="3C5896"/>
            </w:tcBorders>
          </w:tcPr>
          <w:p>
            <w:pPr>
              <w:spacing w:after="0"/>
              <w:rPr>
                <w:sz w:val="15"/>
                <w:szCs w:val="15"/>
                <w:color w:val="auto"/>
              </w:rPr>
            </w:pPr>
          </w:p>
        </w:tc>
        <w:tc>
          <w:tcPr>
            <w:tcW w:w="620" w:type="dxa"/>
            <w:vAlign w:val="bottom"/>
            <w:tcBorders>
              <w:top w:val="single" w:sz="8" w:color="3C5896"/>
            </w:tcBorders>
          </w:tcPr>
          <w:p>
            <w:pPr>
              <w:spacing w:after="0"/>
              <w:rPr>
                <w:sz w:val="15"/>
                <w:szCs w:val="15"/>
                <w:color w:val="auto"/>
              </w:rPr>
            </w:pPr>
          </w:p>
        </w:tc>
        <w:tc>
          <w:tcPr>
            <w:tcW w:w="180" w:type="dxa"/>
            <w:vAlign w:val="bottom"/>
            <w:tcBorders>
              <w:top w:val="single" w:sz="8" w:color="3C5896"/>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3C5896"/>
            </w:tcBorders>
          </w:tcPr>
          <w:p>
            <w:pPr>
              <w:spacing w:after="0"/>
              <w:rPr>
                <w:sz w:val="15"/>
                <w:szCs w:val="15"/>
                <w:color w:val="auto"/>
              </w:rPr>
            </w:pPr>
          </w:p>
        </w:tc>
        <w:tc>
          <w:tcPr>
            <w:tcW w:w="800" w:type="dxa"/>
            <w:vAlign w:val="bottom"/>
            <w:tcBorders>
              <w:top w:val="single" w:sz="8" w:color="3C5896"/>
            </w:tcBorders>
          </w:tcPr>
          <w:p>
            <w:pPr>
              <w:spacing w:after="0"/>
              <w:rPr>
                <w:sz w:val="15"/>
                <w:szCs w:val="15"/>
                <w:color w:val="auto"/>
              </w:rPr>
            </w:pPr>
          </w:p>
        </w:tc>
        <w:tc>
          <w:tcPr>
            <w:tcW w:w="220" w:type="dxa"/>
            <w:vAlign w:val="bottom"/>
            <w:tcBorders>
              <w:top w:val="single" w:sz="8" w:color="3C5896"/>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3C5896"/>
          </w:tcPr>
          <w:p>
            <w:pPr>
              <w:spacing w:after="0"/>
              <w:rPr>
                <w:sz w:val="11"/>
                <w:szCs w:val="11"/>
                <w:color w:val="auto"/>
              </w:rPr>
            </w:pPr>
          </w:p>
        </w:tc>
        <w:tc>
          <w:tcPr>
            <w:tcW w:w="1740" w:type="dxa"/>
            <w:vAlign w:val="bottom"/>
            <w:shd w:val="clear" w:color="auto" w:fill="3C589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rPr>
              <w:t>and AD&amp;D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3C5896"/>
          </w:tcPr>
          <w:p>
            <w:pPr>
              <w:spacing w:after="0"/>
              <w:rPr>
                <w:sz w:val="11"/>
                <w:szCs w:val="11"/>
                <w:color w:val="auto"/>
              </w:rPr>
            </w:pPr>
          </w:p>
        </w:tc>
        <w:tc>
          <w:tcPr>
            <w:tcW w:w="1740" w:type="dxa"/>
            <w:vAlign w:val="bottom"/>
            <w:shd w:val="clear" w:color="auto" w:fill="3C589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FFFFFF"/>
              </w:rPr>
              <w:t>401(k) Matching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rPr>
              <w:t>Insurance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rPr>
              <w:t>Insurance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FFFFFF"/>
              </w:rPr>
              <w:t>Other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ind w:left="220"/>
              <w:spacing w:after="0"/>
              <w:rPr>
                <w:sz w:val="20"/>
                <w:szCs w:val="20"/>
                <w:color w:val="auto"/>
              </w:rPr>
            </w:pPr>
            <w:r>
              <w:rPr>
                <w:rFonts w:ascii="Arial" w:cs="Arial" w:eastAsia="Arial" w:hAnsi="Arial"/>
                <w:sz w:val="13"/>
                <w:szCs w:val="13"/>
                <w:b w:val="1"/>
                <w:bCs w:val="1"/>
                <w:color w:val="FFFFFF"/>
              </w:rPr>
              <w:t>Total</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3C5896"/>
          </w:tcPr>
          <w:p>
            <w:pPr>
              <w:spacing w:after="0"/>
              <w:rPr>
                <w:sz w:val="11"/>
                <w:szCs w:val="11"/>
                <w:color w:val="auto"/>
              </w:rPr>
            </w:pPr>
          </w:p>
        </w:tc>
        <w:tc>
          <w:tcPr>
            <w:tcW w:w="1740" w:type="dxa"/>
            <w:vAlign w:val="bottom"/>
            <w:shd w:val="clear" w:color="auto" w:fill="3C589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rPr>
              <w:t>Contributions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rPr>
              <w:t>Premiums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rPr>
              <w:t>Premiums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20" w:type="dxa"/>
            <w:vAlign w:val="bottom"/>
            <w:shd w:val="clear" w:color="auto" w:fill="3C5896"/>
          </w:tcPr>
          <w:p>
            <w:pPr>
              <w:ind w:left="20"/>
              <w:spacing w:after="0"/>
              <w:rPr>
                <w:sz w:val="20"/>
                <w:szCs w:val="20"/>
                <w:color w:val="auto"/>
              </w:rPr>
            </w:pPr>
            <w:r>
              <w:rPr>
                <w:rFonts w:ascii="Arial" w:cs="Arial" w:eastAsia="Arial" w:hAnsi="Arial"/>
                <w:sz w:val="13"/>
                <w:szCs w:val="13"/>
                <w:b w:val="1"/>
                <w:bCs w:val="1"/>
                <w:color w:val="FFFFFF"/>
              </w:rPr>
              <w:t>​</w:t>
            </w:r>
          </w:p>
        </w:tc>
        <w:tc>
          <w:tcPr>
            <w:tcW w:w="1740" w:type="dxa"/>
            <w:vAlign w:val="bottom"/>
            <w:shd w:val="clear" w:color="auto" w:fill="3C5896"/>
          </w:tcPr>
          <w:p>
            <w:pPr>
              <w:ind w:left="120"/>
              <w:spacing w:after="0"/>
              <w:rPr>
                <w:sz w:val="20"/>
                <w:szCs w:val="20"/>
                <w:color w:val="auto"/>
              </w:rPr>
            </w:pPr>
            <w:r>
              <w:rPr>
                <w:rFonts w:ascii="Arial" w:cs="Arial" w:eastAsia="Arial" w:hAnsi="Arial"/>
                <w:sz w:val="13"/>
                <w:szCs w:val="13"/>
                <w:b w:val="1"/>
                <w:bCs w:val="1"/>
                <w:color w:val="FFFFFF"/>
              </w:rPr>
              <w:t>NEO</w:t>
            </w:r>
          </w:p>
        </w:tc>
        <w:tc>
          <w:tcPr>
            <w:tcW w:w="80" w:type="dxa"/>
            <w:vAlign w:val="bottom"/>
            <w:gridSpan w:val="3"/>
          </w:tcPr>
          <w:p>
            <w:pPr>
              <w:spacing w:after="0"/>
              <w:rPr>
                <w:sz w:val="20"/>
                <w:szCs w:val="20"/>
                <w:color w:val="auto"/>
              </w:rPr>
            </w:pPr>
            <w:r>
              <w:rPr>
                <w:rFonts w:ascii="Arial" w:cs="Arial" w:eastAsia="Arial" w:hAnsi="Arial"/>
                <w:sz w:val="13"/>
                <w:szCs w:val="13"/>
                <w:b w:val="1"/>
                <w:bCs w:val="1"/>
                <w:color w:val="FFFFFF"/>
              </w:rPr>
              <w:t>​​</w:t>
            </w:r>
          </w:p>
        </w:tc>
        <w:tc>
          <w:tcPr>
            <w:tcW w:w="1020" w:type="dxa"/>
            <w:vAlign w:val="bottom"/>
          </w:tcPr>
          <w:p>
            <w:pPr>
              <w:jc w:val="center"/>
              <w:spacing w:after="0" w:line="202" w:lineRule="exact"/>
              <w:rPr>
                <w:sz w:val="20"/>
                <w:szCs w:val="20"/>
                <w:color w:val="auto"/>
              </w:rPr>
            </w:pPr>
            <w:r>
              <w:rPr>
                <w:rFonts w:ascii="Arial" w:cs="Arial" w:eastAsia="Arial" w:hAnsi="Arial"/>
                <w:sz w:val="23"/>
                <w:szCs w:val="23"/>
                <w:b w:val="1"/>
                <w:bCs w:val="1"/>
                <w:color w:val="FFFFFF"/>
                <w:w w:val="98"/>
                <w:vertAlign w:val="subscript"/>
              </w:rPr>
              <w:t>($)</w:t>
            </w:r>
            <w:r>
              <w:rPr>
                <w:rFonts w:ascii="Arial" w:cs="Arial" w:eastAsia="Arial" w:hAnsi="Arial"/>
                <w:sz w:val="8"/>
                <w:szCs w:val="8"/>
                <w:b w:val="1"/>
                <w:bCs w:val="1"/>
                <w:color w:val="FFFFFF"/>
                <w:w w:val="98"/>
              </w:rPr>
              <w:t>(a)</w:t>
            </w:r>
          </w:p>
        </w:tc>
        <w:tc>
          <w:tcPr>
            <w:tcW w:w="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FFFFFF"/>
              </w:rPr>
              <w:t>​​</w:t>
            </w:r>
          </w:p>
        </w:tc>
        <w:tc>
          <w:tcPr>
            <w:tcW w:w="860" w:type="dxa"/>
            <w:vAlign w:val="bottom"/>
          </w:tcPr>
          <w:p>
            <w:pPr>
              <w:jc w:val="center"/>
              <w:spacing w:after="0" w:line="202" w:lineRule="exact"/>
              <w:rPr>
                <w:sz w:val="20"/>
                <w:szCs w:val="20"/>
                <w:color w:val="auto"/>
              </w:rPr>
            </w:pPr>
            <w:r>
              <w:rPr>
                <w:rFonts w:ascii="Arial" w:cs="Arial" w:eastAsia="Arial" w:hAnsi="Arial"/>
                <w:sz w:val="23"/>
                <w:szCs w:val="23"/>
                <w:b w:val="1"/>
                <w:bCs w:val="1"/>
                <w:color w:val="FFFFFF"/>
                <w:w w:val="89"/>
                <w:vertAlign w:val="subscript"/>
              </w:rPr>
              <w:t>($)</w:t>
            </w:r>
            <w:r>
              <w:rPr>
                <w:rFonts w:ascii="Arial" w:cs="Arial" w:eastAsia="Arial" w:hAnsi="Arial"/>
                <w:sz w:val="8"/>
                <w:szCs w:val="8"/>
                <w:b w:val="1"/>
                <w:bCs w:val="1"/>
                <w:color w:val="FFFFFF"/>
                <w:w w:val="89"/>
              </w:rPr>
              <w:t>(b)</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FFFFFF"/>
              </w:rPr>
              <w:t>​​</w:t>
            </w:r>
          </w:p>
        </w:tc>
        <w:tc>
          <w:tcPr>
            <w:tcW w:w="860" w:type="dxa"/>
            <w:vAlign w:val="bottom"/>
          </w:tcPr>
          <w:p>
            <w:pPr>
              <w:jc w:val="center"/>
              <w:spacing w:after="0" w:line="202" w:lineRule="exact"/>
              <w:rPr>
                <w:sz w:val="20"/>
                <w:szCs w:val="20"/>
                <w:color w:val="auto"/>
              </w:rPr>
            </w:pPr>
            <w:r>
              <w:rPr>
                <w:rFonts w:ascii="Arial" w:cs="Arial" w:eastAsia="Arial" w:hAnsi="Arial"/>
                <w:sz w:val="23"/>
                <w:szCs w:val="23"/>
                <w:b w:val="1"/>
                <w:bCs w:val="1"/>
                <w:color w:val="FFFFFF"/>
                <w:w w:val="91"/>
                <w:vertAlign w:val="subscript"/>
              </w:rPr>
              <w:t>($)</w:t>
            </w:r>
            <w:r>
              <w:rPr>
                <w:rFonts w:ascii="Arial" w:cs="Arial" w:eastAsia="Arial" w:hAnsi="Arial"/>
                <w:sz w:val="8"/>
                <w:szCs w:val="8"/>
                <w:b w:val="1"/>
                <w:bCs w:val="1"/>
                <w:color w:val="FFFFFF"/>
                <w:w w:val="91"/>
              </w:rPr>
              <w:t>(c)</w:t>
            </w:r>
          </w:p>
        </w:tc>
        <w:tc>
          <w:tcPr>
            <w:tcW w:w="3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FFFFFF"/>
              </w:rPr>
              <w:t>​​</w:t>
            </w:r>
          </w:p>
        </w:tc>
        <w:tc>
          <w:tcPr>
            <w:tcW w:w="180" w:type="dxa"/>
            <w:vAlign w:val="bottom"/>
          </w:tcPr>
          <w:p>
            <w:pPr>
              <w:spacing w:after="0"/>
              <w:rPr>
                <w:sz w:val="17"/>
                <w:szCs w:val="17"/>
                <w:color w:val="auto"/>
              </w:rPr>
            </w:pPr>
          </w:p>
        </w:tc>
        <w:tc>
          <w:tcPr>
            <w:tcW w:w="620" w:type="dxa"/>
            <w:vAlign w:val="bottom"/>
          </w:tcPr>
          <w:p>
            <w:pPr>
              <w:jc w:val="right"/>
              <w:ind w:right="216"/>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(d)</w:t>
            </w:r>
          </w:p>
        </w:tc>
        <w:tc>
          <w:tcPr>
            <w:tcW w:w="3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FFFFFF"/>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122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L. Reade Fahs</w:t>
            </w:r>
          </w:p>
        </w:tc>
        <w:tc>
          <w:tcPr>
            <w:tcW w:w="1740" w:type="dxa"/>
            <w:vAlign w:val="bottom"/>
          </w:tcPr>
          <w:p>
            <w:pPr>
              <w:spacing w:after="0"/>
              <w:rPr>
                <w:sz w:val="19"/>
                <w:szCs w:val="19"/>
                <w:color w:val="auto"/>
              </w:rPr>
            </w:pPr>
          </w:p>
        </w:tc>
        <w:tc>
          <w:tcPr>
            <w:tcW w:w="80" w:type="dxa"/>
            <w:vAlign w:val="bottom"/>
            <w:gridSpan w:val="3"/>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​17,333</w:t>
            </w: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​480</w:t>
            </w: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​3,316</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76"/>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14,662</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35,791</w:t>
            </w:r>
          </w:p>
        </w:tc>
        <w:tc>
          <w:tcPr>
            <w:tcW w:w="220" w:type="dxa"/>
            <w:vAlign w:val="bottom"/>
            <w:tcBorders>
              <w:right w:val="single" w:sz="8" w:color="3C5896"/>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1220" w:type="dxa"/>
            <w:vAlign w:val="bottom"/>
            <w:shd w:val="clear" w:color="auto" w:fill="CCCCCC"/>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Patrick R. Moore</w:t>
            </w:r>
          </w:p>
        </w:tc>
        <w:tc>
          <w:tcPr>
            <w:tcW w:w="1740" w:type="dxa"/>
            <w:vAlign w:val="bottom"/>
            <w:shd w:val="clear" w:color="auto" w:fill="CCCCCC"/>
          </w:tcPr>
          <w:p>
            <w:pPr>
              <w:spacing w:after="0"/>
              <w:rPr>
                <w:sz w:val="19"/>
                <w:szCs w:val="19"/>
                <w:color w:val="auto"/>
              </w:rPr>
            </w:pPr>
          </w:p>
        </w:tc>
        <w:tc>
          <w:tcPr>
            <w:tcW w:w="80" w:type="dxa"/>
            <w:vAlign w:val="bottom"/>
            <w:gridSpan w:val="3"/>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5,460</w:t>
            </w: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​480</w:t>
            </w: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920</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620" w:type="dxa"/>
            <w:vAlign w:val="bottom"/>
          </w:tcPr>
          <w:p>
            <w:pPr>
              <w:jc w:val="right"/>
              <w:ind w:right="76"/>
              <w:spacing w:after="0"/>
              <w:rPr>
                <w:sz w:val="20"/>
                <w:szCs w:val="20"/>
                <w:color w:val="auto"/>
              </w:rPr>
            </w:pPr>
            <w:r>
              <w:rPr>
                <w:rFonts w:ascii="Arial" w:cs="Arial" w:eastAsia="Arial" w:hAnsi="Arial"/>
                <w:sz w:val="14"/>
                <w:szCs w:val="14"/>
                <w:color w:val="auto"/>
              </w:rPr>
              <w:t>4,578</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11,437</w:t>
            </w:r>
          </w:p>
        </w:tc>
        <w:tc>
          <w:tcPr>
            <w:tcW w:w="220" w:type="dxa"/>
            <w:vAlign w:val="bottom"/>
            <w:tcBorders>
              <w:right w:val="single" w:sz="8" w:color="3C5896"/>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3C5896"/>
          </w:tcPr>
          <w:p>
            <w:pPr>
              <w:spacing w:after="0"/>
              <w:rPr>
                <w:sz w:val="19"/>
                <w:szCs w:val="19"/>
                <w:color w:val="auto"/>
              </w:rPr>
            </w:pPr>
          </w:p>
        </w:tc>
        <w:tc>
          <w:tcPr>
            <w:tcW w:w="122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Roger Francis</w:t>
            </w:r>
          </w:p>
        </w:tc>
        <w:tc>
          <w:tcPr>
            <w:tcW w:w="1740" w:type="dxa"/>
            <w:vAlign w:val="bottom"/>
          </w:tcPr>
          <w:p>
            <w:pPr>
              <w:spacing w:after="0"/>
              <w:rPr>
                <w:sz w:val="19"/>
                <w:szCs w:val="19"/>
                <w:color w:val="auto"/>
              </w:rPr>
            </w:pPr>
          </w:p>
        </w:tc>
        <w:tc>
          <w:tcPr>
            <w:tcW w:w="80" w:type="dxa"/>
            <w:vAlign w:val="bottom"/>
            <w:gridSpan w:val="3"/>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3,115</w:t>
            </w: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​200</w:t>
            </w: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​1,164</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76"/>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​186,502</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​190,981</w:t>
            </w:r>
          </w:p>
        </w:tc>
        <w:tc>
          <w:tcPr>
            <w:tcW w:w="220" w:type="dxa"/>
            <w:vAlign w:val="bottom"/>
            <w:tcBorders>
              <w:right w:val="single" w:sz="8" w:color="3C5896"/>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1220" w:type="dxa"/>
            <w:vAlign w:val="bottom"/>
            <w:shd w:val="clear" w:color="auto" w:fill="CCCCCC"/>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Jared Brandman</w:t>
            </w:r>
          </w:p>
        </w:tc>
        <w:tc>
          <w:tcPr>
            <w:tcW w:w="1740" w:type="dxa"/>
            <w:vAlign w:val="bottom"/>
            <w:shd w:val="clear" w:color="auto" w:fill="CCCCCC"/>
          </w:tcPr>
          <w:p>
            <w:pPr>
              <w:spacing w:after="0"/>
              <w:rPr>
                <w:sz w:val="19"/>
                <w:szCs w:val="19"/>
                <w:color w:val="auto"/>
              </w:rPr>
            </w:pPr>
          </w:p>
        </w:tc>
        <w:tc>
          <w:tcPr>
            <w:tcW w:w="80" w:type="dxa"/>
            <w:vAlign w:val="bottom"/>
            <w:gridSpan w:val="3"/>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4,846</w:t>
            </w: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​480</w:t>
            </w:r>
          </w:p>
        </w:tc>
        <w:tc>
          <w:tcPr>
            <w:tcW w:w="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​2,716</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620" w:type="dxa"/>
            <w:vAlign w:val="bottom"/>
          </w:tcPr>
          <w:p>
            <w:pPr>
              <w:jc w:val="right"/>
              <w:ind w:right="76"/>
              <w:spacing w:after="0"/>
              <w:rPr>
                <w:sz w:val="20"/>
                <w:szCs w:val="20"/>
                <w:color w:val="auto"/>
              </w:rPr>
            </w:pPr>
            <w:r>
              <w:rPr>
                <w:rFonts w:ascii="Arial" w:cs="Arial" w:eastAsia="Arial" w:hAnsi="Arial"/>
                <w:sz w:val="14"/>
                <w:szCs w:val="14"/>
                <w:color w:val="auto"/>
              </w:rPr>
              <w:t>3,683</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11,724</w:t>
            </w:r>
          </w:p>
        </w:tc>
        <w:tc>
          <w:tcPr>
            <w:tcW w:w="220" w:type="dxa"/>
            <w:vAlign w:val="bottom"/>
            <w:tcBorders>
              <w:right w:val="single" w:sz="8" w:color="3C5896"/>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3C5896"/>
            </w:tcBorders>
            <w:shd w:val="clear" w:color="auto" w:fill="3C5896"/>
          </w:tcPr>
          <w:p>
            <w:pPr>
              <w:spacing w:after="0"/>
              <w:rPr>
                <w:sz w:val="18"/>
                <w:szCs w:val="18"/>
                <w:color w:val="auto"/>
              </w:rPr>
            </w:pPr>
          </w:p>
        </w:tc>
        <w:tc>
          <w:tcPr>
            <w:tcW w:w="1220" w:type="dxa"/>
            <w:vAlign w:val="bottom"/>
            <w:tcBorders>
              <w:bottom w:val="single" w:sz="8" w:color="3C5896"/>
            </w:tcBorders>
          </w:tcPr>
          <w:p>
            <w:pPr>
              <w:ind w:left="2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Bill Clark</w:t>
            </w:r>
          </w:p>
        </w:tc>
        <w:tc>
          <w:tcPr>
            <w:tcW w:w="1740" w:type="dxa"/>
            <w:vAlign w:val="bottom"/>
            <w:tcBorders>
              <w:bottom w:val="single" w:sz="8" w:color="3C5896"/>
            </w:tcBorders>
          </w:tcPr>
          <w:p>
            <w:pPr>
              <w:spacing w:after="0"/>
              <w:rPr>
                <w:sz w:val="18"/>
                <w:szCs w:val="18"/>
                <w:color w:val="auto"/>
              </w:rPr>
            </w:pPr>
          </w:p>
        </w:tc>
        <w:tc>
          <w:tcPr>
            <w:tcW w:w="80" w:type="dxa"/>
            <w:vAlign w:val="bottom"/>
            <w:tcBorders>
              <w:bottom w:val="single" w:sz="8" w:color="3C5896"/>
            </w:tcBorders>
            <w:gridSpan w:val="3"/>
          </w:tcPr>
          <w:p>
            <w:pP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3C5896"/>
            </w:tcBorders>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6,510</w:t>
            </w:r>
          </w:p>
        </w:tc>
        <w:tc>
          <w:tcPr>
            <w:tcW w:w="220" w:type="dxa"/>
            <w:vAlign w:val="bottom"/>
            <w:tcBorders>
              <w:bottom w:val="single" w:sz="8" w:color="3C5896"/>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3C5896"/>
            </w:tcBorders>
          </w:tcPr>
          <w:p>
            <w:pPr>
              <w:jc w:val="center"/>
              <w:spacing w:after="0"/>
              <w:rPr>
                <w:sz w:val="20"/>
                <w:szCs w:val="20"/>
                <w:color w:val="auto"/>
              </w:rPr>
            </w:pPr>
            <w:r>
              <w:rPr>
                <w:rFonts w:ascii="Arial" w:cs="Arial" w:eastAsia="Arial" w:hAnsi="Arial"/>
                <w:sz w:val="14"/>
                <w:szCs w:val="14"/>
                <w:color w:val="auto"/>
              </w:rPr>
              <w:t>​480</w:t>
            </w:r>
          </w:p>
        </w:tc>
        <w:tc>
          <w:tcPr>
            <w:tcW w:w="300" w:type="dxa"/>
            <w:vAlign w:val="bottom"/>
            <w:tcBorders>
              <w:bottom w:val="single" w:sz="8" w:color="3C5896"/>
            </w:tcBorders>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3C5896"/>
            </w:tcBorders>
          </w:tcPr>
          <w:p>
            <w:pPr>
              <w:jc w:val="center"/>
              <w:spacing w:after="0"/>
              <w:rPr>
                <w:sz w:val="20"/>
                <w:szCs w:val="20"/>
                <w:color w:val="auto"/>
              </w:rPr>
            </w:pPr>
            <w:r>
              <w:rPr>
                <w:rFonts w:ascii="Arial" w:cs="Arial" w:eastAsia="Arial" w:hAnsi="Arial"/>
                <w:sz w:val="14"/>
                <w:szCs w:val="14"/>
                <w:color w:val="auto"/>
              </w:rPr>
              <w:t>​ 920</w:t>
            </w:r>
          </w:p>
        </w:tc>
        <w:tc>
          <w:tcPr>
            <w:tcW w:w="340" w:type="dxa"/>
            <w:vAlign w:val="bottom"/>
            <w:tcBorders>
              <w:bottom w:val="single" w:sz="8" w:color="3C5896"/>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3C5896"/>
            </w:tcBorders>
          </w:tcPr>
          <w:p>
            <w:pPr>
              <w:ind w:left="1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3C5896"/>
            </w:tcBorders>
          </w:tcPr>
          <w:p>
            <w:pPr>
              <w:jc w:val="right"/>
              <w:ind w:right="76"/>
              <w:spacing w:after="0"/>
              <w:rPr>
                <w:sz w:val="20"/>
                <w:szCs w:val="20"/>
                <w:color w:val="auto"/>
              </w:rPr>
            </w:pPr>
            <w:r>
              <w:rPr>
                <w:rFonts w:ascii="Arial" w:cs="Arial" w:eastAsia="Arial" w:hAnsi="Arial"/>
                <w:sz w:val="14"/>
                <w:szCs w:val="14"/>
                <w:color w:val="auto"/>
              </w:rPr>
              <w:t>612</w:t>
            </w:r>
          </w:p>
        </w:tc>
        <w:tc>
          <w:tcPr>
            <w:tcW w:w="360" w:type="dxa"/>
            <w:vAlign w:val="bottom"/>
            <w:tcBorders>
              <w:bottom w:val="single" w:sz="8" w:color="3C5896"/>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C5896"/>
            </w:tcBorders>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8,522</w:t>
            </w:r>
          </w:p>
        </w:tc>
        <w:tc>
          <w:tcPr>
            <w:tcW w:w="220" w:type="dxa"/>
            <w:vAlign w:val="bottom"/>
            <w:tcBorders>
              <w:bottom w:val="single" w:sz="8" w:color="3C5896"/>
              <w:right w:val="single" w:sz="8" w:color="3C5896"/>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-582295</wp:posOffset>
            </wp:positionV>
            <wp:extent cx="3703320" cy="145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03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-290830</wp:posOffset>
            </wp:positionV>
            <wp:extent cx="370332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03320" cy="145415"/>
                    </a:xfrm>
                    <a:prstGeom prst="rect">
                      <a:avLst/>
                    </a:prstGeom>
                    <a:noFill/>
                  </pic:spPr>
                </pic:pic>
              </a:graphicData>
            </a:graphic>
          </wp:anchor>
        </w:drawing>
      </w:r>
    </w:p>
    <w:p>
      <w:pPr>
        <w:spacing w:after="0" w:line="17" w:lineRule="exact"/>
        <w:rPr>
          <w:sz w:val="20"/>
          <w:szCs w:val="20"/>
          <w:color w:val="auto"/>
        </w:rPr>
      </w:pPr>
    </w:p>
    <w:p>
      <w:pPr>
        <w:jc w:val="both"/>
        <w:ind w:left="1480" w:hanging="358"/>
        <w:spacing w:after="0" w:line="273" w:lineRule="auto"/>
        <w:tabs>
          <w:tab w:leader="none" w:pos="14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401(k) Plan provides for a 50% matching contribution on the first 3% of participants’ pre-tax contributions up to IRS limits. In 2021, all eligible employees who participated in our 401(k) Plan were awarded an additional contribution of 16.6% of their contributions. The Company matched up to 2% of their annual salary instead of 1.5% for all 2021 contributions.</w:t>
      </w:r>
    </w:p>
    <w:p>
      <w:pPr>
        <w:spacing w:after="0" w:line="32" w:lineRule="exact"/>
        <w:rPr>
          <w:rFonts w:ascii="Arial" w:cs="Arial" w:eastAsia="Arial" w:hAnsi="Arial"/>
          <w:sz w:val="15"/>
          <w:szCs w:val="15"/>
          <w:color w:val="auto"/>
        </w:rPr>
      </w:pPr>
    </w:p>
    <w:p>
      <w:pPr>
        <w:ind w:left="1480" w:hanging="358"/>
        <w:spacing w:after="0" w:line="283" w:lineRule="auto"/>
        <w:tabs>
          <w:tab w:leader="none" w:pos="14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Each of our NEOs is entitled to basic life insurance coverage of up to two times base salary up to a maximum of $500,000 of basic life insurance coverage.</w:t>
      </w:r>
    </w:p>
    <w:p>
      <w:pPr>
        <w:spacing w:after="0" w:line="25" w:lineRule="exact"/>
        <w:rPr>
          <w:rFonts w:ascii="Arial" w:cs="Arial" w:eastAsia="Arial" w:hAnsi="Arial"/>
          <w:sz w:val="15"/>
          <w:szCs w:val="15"/>
          <w:color w:val="auto"/>
        </w:rPr>
      </w:pPr>
    </w:p>
    <w:p>
      <w:pPr>
        <w:jc w:val="both"/>
        <w:ind w:left="1480" w:hanging="358"/>
        <w:spacing w:after="0" w:line="273" w:lineRule="auto"/>
        <w:tabs>
          <w:tab w:leader="none" w:pos="14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Each of our NEOs is entitled to supplemental long-term disability and accidental death insurance coverage. The total benefit maximum of both the basic and supplemental disability insurance coverage is $10,000 per month, and the maximum accidental death benefit is up to the lesser of two times base salary or $500,000.</w:t>
      </w:r>
    </w:p>
    <w:p>
      <w:pPr>
        <w:spacing w:after="0" w:line="32" w:lineRule="exact"/>
        <w:rPr>
          <w:rFonts w:ascii="Arial" w:cs="Arial" w:eastAsia="Arial" w:hAnsi="Arial"/>
          <w:sz w:val="15"/>
          <w:szCs w:val="15"/>
          <w:color w:val="auto"/>
        </w:rPr>
      </w:pPr>
    </w:p>
    <w:p>
      <w:pPr>
        <w:jc w:val="both"/>
        <w:ind w:left="1480" w:hanging="358"/>
        <w:spacing w:after="0" w:line="256" w:lineRule="auto"/>
        <w:tabs>
          <w:tab w:leader="none" w:pos="14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This column reflects $4,000 for YPO membership, $10,050 for reasonable cost of tax accounting services, $343 for a virtual reality device, $250 for associate eyewear coupon and $19 for a financial wellness program for Mr. Fahs; $3,966 for an executive physical, $343 for a virtual reality device, $250 for associate eyewear coupon and $19 for a financial wellness program for Mr. Moore; $185,890 for relocation, $343 for a virtual reality device, $250 for associate eyewear coupon and $19 for a financial wellness program for Mr. Francis; $3,071 for an executive physical, $343 for a virtual reality device, $250 for associate eyewear coupon and $19 for a financial wellness program for Mr. Brandman; and $343 for a virtual reality device, $250 for associate eyewear coupon and $19 for a financial wellness program for Mr. Clark.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40  </w:t>
      </w:r>
      <w:r>
        <w:rPr>
          <w:sz w:val="1"/>
          <w:szCs w:val="1"/>
          <w:color w:val="auto"/>
        </w:rPr>
        <w:drawing>
          <wp:inline distT="0" distB="0" distL="0" distR="0">
            <wp:extent cx="300355" cy="24003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2021 Grants of Plan-Based Awards</w:t>
      </w:r>
    </w:p>
    <w:p>
      <w:pPr>
        <w:spacing w:after="0" w:line="115" w:lineRule="exact"/>
        <w:rPr>
          <w:sz w:val="20"/>
          <w:szCs w:val="20"/>
          <w:color w:val="auto"/>
        </w:rPr>
      </w:pPr>
    </w:p>
    <w:p>
      <w:pPr>
        <w:ind w:left="760"/>
        <w:spacing w:after="0" w:line="287" w:lineRule="auto"/>
        <w:rPr>
          <w:sz w:val="20"/>
          <w:szCs w:val="20"/>
          <w:color w:val="auto"/>
        </w:rPr>
      </w:pPr>
      <w:r>
        <w:rPr>
          <w:rFonts w:ascii="Arial" w:cs="Arial" w:eastAsia="Arial" w:hAnsi="Arial"/>
          <w:sz w:val="18"/>
          <w:szCs w:val="18"/>
          <w:color w:val="auto"/>
        </w:rPr>
        <w:t>The following table sets forth information concerning NEO grants of plan-based awards during the fiscal year ended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66040</wp:posOffset>
            </wp:positionV>
            <wp:extent cx="2511425" cy="3566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11425" cy="3566160"/>
                    </a:xfrm>
                    <a:prstGeom prst="rect">
                      <a:avLst/>
                    </a:prstGeom>
                    <a:noFill/>
                  </pic:spPr>
                </pic:pic>
              </a:graphicData>
            </a:graphic>
          </wp:anchor>
        </w:drawing>
      </w:r>
    </w:p>
    <w:p>
      <w:pPr>
        <w:spacing w:after="0" w:line="64"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0" w:type="dxa"/>
            <w:vAlign w:val="bottom"/>
            <w:tcBorders>
              <w:top w:val="single" w:sz="8" w:color="3C5896"/>
            </w:tcBorders>
          </w:tcPr>
          <w:p>
            <w:pPr>
              <w:spacing w:after="0"/>
              <w:rPr>
                <w:sz w:val="14"/>
                <w:szCs w:val="14"/>
                <w:color w:val="auto"/>
              </w:rPr>
            </w:pPr>
          </w:p>
        </w:tc>
        <w:tc>
          <w:tcPr>
            <w:tcW w:w="300" w:type="dxa"/>
            <w:vAlign w:val="bottom"/>
            <w:tcBorders>
              <w:top w:val="single" w:sz="8" w:color="3C5896"/>
            </w:tcBorders>
            <w:shd w:val="clear" w:color="auto" w:fill="3C5896"/>
          </w:tcPr>
          <w:p>
            <w:pPr>
              <w:spacing w:after="0"/>
              <w:rPr>
                <w:sz w:val="14"/>
                <w:szCs w:val="14"/>
                <w:color w:val="auto"/>
              </w:rPr>
            </w:pPr>
          </w:p>
        </w:tc>
        <w:tc>
          <w:tcPr>
            <w:tcW w:w="1060" w:type="dxa"/>
            <w:vAlign w:val="bottom"/>
            <w:tcBorders>
              <w:top w:val="single" w:sz="8" w:color="3C5896"/>
            </w:tcBorders>
            <w:shd w:val="clear" w:color="auto" w:fill="3C5896"/>
          </w:tcPr>
          <w:p>
            <w:pPr>
              <w:spacing w:after="0"/>
              <w:rPr>
                <w:sz w:val="14"/>
                <w:szCs w:val="14"/>
                <w:color w:val="auto"/>
              </w:rPr>
            </w:pPr>
          </w:p>
        </w:tc>
        <w:tc>
          <w:tcPr>
            <w:tcW w:w="20" w:type="dxa"/>
            <w:vAlign w:val="bottom"/>
            <w:tcBorders>
              <w:top w:val="single" w:sz="8" w:color="3C5896"/>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3C5896"/>
            </w:tcBorders>
          </w:tcPr>
          <w:p>
            <w:pPr>
              <w:spacing w:after="0"/>
              <w:rPr>
                <w:sz w:val="14"/>
                <w:szCs w:val="14"/>
                <w:color w:val="auto"/>
              </w:rPr>
            </w:pPr>
          </w:p>
        </w:tc>
        <w:tc>
          <w:tcPr>
            <w:tcW w:w="560" w:type="dxa"/>
            <w:vAlign w:val="bottom"/>
            <w:tcBorders>
              <w:top w:val="single" w:sz="8" w:color="3C5896"/>
            </w:tcBorders>
          </w:tcPr>
          <w:p>
            <w:pPr>
              <w:spacing w:after="0"/>
              <w:rPr>
                <w:sz w:val="14"/>
                <w:szCs w:val="14"/>
                <w:color w:val="auto"/>
              </w:rPr>
            </w:pPr>
          </w:p>
        </w:tc>
        <w:tc>
          <w:tcPr>
            <w:tcW w:w="80" w:type="dxa"/>
            <w:vAlign w:val="bottom"/>
            <w:tcBorders>
              <w:top w:val="single" w:sz="8" w:color="3C5896"/>
            </w:tcBorders>
          </w:tcPr>
          <w:p>
            <w:pPr>
              <w:spacing w:after="0"/>
              <w:rPr>
                <w:sz w:val="14"/>
                <w:szCs w:val="14"/>
                <w:color w:val="auto"/>
              </w:rPr>
            </w:pPr>
          </w:p>
        </w:tc>
        <w:tc>
          <w:tcPr>
            <w:tcW w:w="40" w:type="dxa"/>
            <w:vAlign w:val="bottom"/>
            <w:tcBorders>
              <w:top w:val="single" w:sz="8" w:color="3C5896"/>
              <w:right w:val="single" w:sz="8" w:color="3C5896"/>
            </w:tcBorders>
          </w:tcPr>
          <w:p>
            <w:pPr>
              <w:spacing w:after="0"/>
              <w:rPr>
                <w:sz w:val="14"/>
                <w:szCs w:val="14"/>
                <w:color w:val="auto"/>
              </w:rPr>
            </w:pPr>
          </w:p>
        </w:tc>
        <w:tc>
          <w:tcPr>
            <w:tcW w:w="60" w:type="dxa"/>
            <w:vAlign w:val="bottom"/>
            <w:tcBorders>
              <w:top w:val="single" w:sz="8" w:color="3C5896"/>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440" w:type="dxa"/>
            <w:vAlign w:val="bottom"/>
            <w:tcBorders>
              <w:top w:val="single" w:sz="8" w:color="3C5896"/>
            </w:tcBorders>
            <w:shd w:val="clear" w:color="auto" w:fill="3C5896"/>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60" w:type="dxa"/>
            <w:vAlign w:val="bottom"/>
            <w:tcBorders>
              <w:top w:val="single" w:sz="8" w:color="3C5896"/>
            </w:tcBorders>
            <w:shd w:val="clear" w:color="auto" w:fill="3C5896"/>
          </w:tcPr>
          <w:p>
            <w:pPr>
              <w:spacing w:after="0"/>
              <w:rPr>
                <w:sz w:val="14"/>
                <w:szCs w:val="14"/>
                <w:color w:val="auto"/>
              </w:rPr>
            </w:pPr>
          </w:p>
        </w:tc>
        <w:tc>
          <w:tcPr>
            <w:tcW w:w="60" w:type="dxa"/>
            <w:vAlign w:val="bottom"/>
            <w:tcBorders>
              <w:top w:val="single" w:sz="8" w:color="3C5896"/>
              <w:right w:val="single" w:sz="8" w:color="3C5896"/>
            </w:tcBorders>
            <w:shd w:val="clear" w:color="auto" w:fill="3C5896"/>
          </w:tcPr>
          <w:p>
            <w:pPr>
              <w:spacing w:after="0"/>
              <w:rPr>
                <w:sz w:val="14"/>
                <w:szCs w:val="14"/>
                <w:color w:val="auto"/>
              </w:rPr>
            </w:pPr>
          </w:p>
        </w:tc>
        <w:tc>
          <w:tcPr>
            <w:tcW w:w="520" w:type="dxa"/>
            <w:vAlign w:val="bottom"/>
            <w:tcBorders>
              <w:top w:val="single" w:sz="8" w:color="3C5896"/>
            </w:tcBorders>
            <w:shd w:val="clear" w:color="auto" w:fill="3C5896"/>
          </w:tcPr>
          <w:p>
            <w:pPr>
              <w:spacing w:after="0"/>
              <w:rPr>
                <w:sz w:val="14"/>
                <w:szCs w:val="14"/>
                <w:color w:val="auto"/>
              </w:rPr>
            </w:pPr>
          </w:p>
        </w:tc>
        <w:tc>
          <w:tcPr>
            <w:tcW w:w="20" w:type="dxa"/>
            <w:vAlign w:val="bottom"/>
            <w:tcBorders>
              <w:top w:val="single" w:sz="8" w:color="3C5896"/>
            </w:tcBorders>
            <w:shd w:val="clear" w:color="auto" w:fill="3C5896"/>
          </w:tcPr>
          <w:p>
            <w:pPr>
              <w:spacing w:after="0"/>
              <w:rPr>
                <w:sz w:val="14"/>
                <w:szCs w:val="14"/>
                <w:color w:val="auto"/>
              </w:rPr>
            </w:pPr>
          </w:p>
        </w:tc>
        <w:tc>
          <w:tcPr>
            <w:tcW w:w="60" w:type="dxa"/>
            <w:vAlign w:val="bottom"/>
            <w:tcBorders>
              <w:top w:val="single" w:sz="8" w:color="3C5896"/>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560" w:type="dxa"/>
            <w:vAlign w:val="bottom"/>
            <w:tcBorders>
              <w:top w:val="single" w:sz="8" w:color="3C5896"/>
            </w:tcBorders>
            <w:shd w:val="clear" w:color="auto" w:fill="3C5896"/>
          </w:tcPr>
          <w:p>
            <w:pPr>
              <w:spacing w:after="0"/>
              <w:rPr>
                <w:sz w:val="14"/>
                <w:szCs w:val="14"/>
                <w:color w:val="auto"/>
              </w:rPr>
            </w:pPr>
          </w:p>
        </w:tc>
        <w:tc>
          <w:tcPr>
            <w:tcW w:w="80" w:type="dxa"/>
            <w:vAlign w:val="bottom"/>
            <w:tcBorders>
              <w:top w:val="single" w:sz="8" w:color="3C5896"/>
              <w:left w:val="single" w:sz="8" w:color="3C5896"/>
            </w:tcBorders>
          </w:tcPr>
          <w:p>
            <w:pPr>
              <w:spacing w:after="0"/>
              <w:rPr>
                <w:sz w:val="14"/>
                <w:szCs w:val="14"/>
                <w:color w:val="auto"/>
              </w:rPr>
            </w:pPr>
          </w:p>
        </w:tc>
        <w:tc>
          <w:tcPr>
            <w:tcW w:w="60" w:type="dxa"/>
            <w:vAlign w:val="bottom"/>
            <w:tcBorders>
              <w:top w:val="single" w:sz="8" w:color="3C5896"/>
            </w:tcBorders>
          </w:tcPr>
          <w:p>
            <w:pPr>
              <w:spacing w:after="0"/>
              <w:rPr>
                <w:sz w:val="14"/>
                <w:szCs w:val="14"/>
                <w:color w:val="auto"/>
              </w:rPr>
            </w:pPr>
          </w:p>
        </w:tc>
        <w:tc>
          <w:tcPr>
            <w:tcW w:w="20" w:type="dxa"/>
            <w:vAlign w:val="bottom"/>
            <w:tcBorders>
              <w:top w:val="single" w:sz="8" w:color="3C5896"/>
            </w:tcBorders>
          </w:tcPr>
          <w:p>
            <w:pPr>
              <w:spacing w:after="0"/>
              <w:rPr>
                <w:sz w:val="14"/>
                <w:szCs w:val="14"/>
                <w:color w:val="auto"/>
              </w:rPr>
            </w:pPr>
          </w:p>
        </w:tc>
        <w:tc>
          <w:tcPr>
            <w:tcW w:w="460" w:type="dxa"/>
            <w:vAlign w:val="bottom"/>
            <w:tcBorders>
              <w:top w:val="single" w:sz="8" w:color="3C5896"/>
            </w:tcBorders>
          </w:tcPr>
          <w:p>
            <w:pPr>
              <w:spacing w:after="0"/>
              <w:rPr>
                <w:sz w:val="14"/>
                <w:szCs w:val="14"/>
                <w:color w:val="auto"/>
              </w:rPr>
            </w:pPr>
          </w:p>
        </w:tc>
        <w:tc>
          <w:tcPr>
            <w:tcW w:w="80" w:type="dxa"/>
            <w:vAlign w:val="bottom"/>
            <w:tcBorders>
              <w:top w:val="single" w:sz="8" w:color="3C5896"/>
            </w:tcBorders>
          </w:tcPr>
          <w:p>
            <w:pPr>
              <w:spacing w:after="0"/>
              <w:rPr>
                <w:sz w:val="14"/>
                <w:szCs w:val="14"/>
                <w:color w:val="auto"/>
              </w:rPr>
            </w:pPr>
          </w:p>
        </w:tc>
        <w:tc>
          <w:tcPr>
            <w:tcW w:w="100" w:type="dxa"/>
            <w:vAlign w:val="bottom"/>
            <w:tcBorders>
              <w:top w:val="single" w:sz="8" w:color="3C5896"/>
            </w:tcBorders>
          </w:tcPr>
          <w:p>
            <w:pPr>
              <w:spacing w:after="0"/>
              <w:rPr>
                <w:sz w:val="14"/>
                <w:szCs w:val="14"/>
                <w:color w:val="auto"/>
              </w:rPr>
            </w:pPr>
          </w:p>
        </w:tc>
        <w:tc>
          <w:tcPr>
            <w:tcW w:w="440" w:type="dxa"/>
            <w:vAlign w:val="bottom"/>
            <w:tcBorders>
              <w:top w:val="single" w:sz="8" w:color="3C5896"/>
            </w:tcBorders>
          </w:tcPr>
          <w:p>
            <w:pPr>
              <w:spacing w:after="0"/>
              <w:rPr>
                <w:sz w:val="14"/>
                <w:szCs w:val="14"/>
                <w:color w:val="auto"/>
              </w:rPr>
            </w:pPr>
          </w:p>
        </w:tc>
        <w:tc>
          <w:tcPr>
            <w:tcW w:w="60" w:type="dxa"/>
            <w:vAlign w:val="bottom"/>
            <w:tcBorders>
              <w:top w:val="single" w:sz="8" w:color="3C5896"/>
            </w:tcBorders>
          </w:tcPr>
          <w:p>
            <w:pPr>
              <w:spacing w:after="0"/>
              <w:rPr>
                <w:sz w:val="14"/>
                <w:szCs w:val="14"/>
                <w:color w:val="auto"/>
              </w:rPr>
            </w:pPr>
          </w:p>
        </w:tc>
        <w:tc>
          <w:tcPr>
            <w:tcW w:w="80" w:type="dxa"/>
            <w:vAlign w:val="bottom"/>
            <w:tcBorders>
              <w:top w:val="single" w:sz="8" w:color="3C5896"/>
            </w:tcBorders>
          </w:tcPr>
          <w:p>
            <w:pPr>
              <w:spacing w:after="0"/>
              <w:rPr>
                <w:sz w:val="14"/>
                <w:szCs w:val="14"/>
                <w:color w:val="auto"/>
              </w:rPr>
            </w:pPr>
          </w:p>
        </w:tc>
        <w:tc>
          <w:tcPr>
            <w:tcW w:w="440" w:type="dxa"/>
            <w:vAlign w:val="bottom"/>
            <w:tcBorders>
              <w:top w:val="single" w:sz="8" w:color="3C5896"/>
            </w:tcBorders>
          </w:tcPr>
          <w:p>
            <w:pPr>
              <w:spacing w:after="0"/>
              <w:rPr>
                <w:sz w:val="14"/>
                <w:szCs w:val="14"/>
                <w:color w:val="auto"/>
              </w:rPr>
            </w:pPr>
          </w:p>
        </w:tc>
        <w:tc>
          <w:tcPr>
            <w:tcW w:w="120" w:type="dxa"/>
            <w:vAlign w:val="bottom"/>
            <w:tcBorders>
              <w:top w:val="single" w:sz="8" w:color="3C5896"/>
            </w:tcBorders>
          </w:tcPr>
          <w:p>
            <w:pPr>
              <w:spacing w:after="0"/>
              <w:rPr>
                <w:sz w:val="14"/>
                <w:szCs w:val="14"/>
                <w:color w:val="auto"/>
              </w:rPr>
            </w:pPr>
          </w:p>
        </w:tc>
        <w:tc>
          <w:tcPr>
            <w:tcW w:w="20" w:type="dxa"/>
            <w:vAlign w:val="bottom"/>
            <w:tcBorders>
              <w:top w:val="single" w:sz="8" w:color="3C5896"/>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3C5896"/>
            </w:tcBorders>
          </w:tcPr>
          <w:p>
            <w:pPr>
              <w:spacing w:after="0"/>
              <w:rPr>
                <w:sz w:val="14"/>
                <w:szCs w:val="14"/>
                <w:color w:val="auto"/>
              </w:rPr>
            </w:pPr>
          </w:p>
        </w:tc>
        <w:tc>
          <w:tcPr>
            <w:tcW w:w="620" w:type="dxa"/>
            <w:vAlign w:val="bottom"/>
            <w:tcBorders>
              <w:top w:val="single" w:sz="8" w:color="3C5896"/>
            </w:tcBorders>
            <w:gridSpan w:val="3"/>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60" w:type="dxa"/>
            <w:vAlign w:val="bottom"/>
            <w:tcBorders>
              <w:top w:val="single" w:sz="8" w:color="3C5896"/>
            </w:tcBorders>
          </w:tcPr>
          <w:p>
            <w:pPr>
              <w:spacing w:after="0"/>
              <w:rPr>
                <w:sz w:val="14"/>
                <w:szCs w:val="14"/>
                <w:color w:val="auto"/>
              </w:rPr>
            </w:pPr>
          </w:p>
        </w:tc>
        <w:tc>
          <w:tcPr>
            <w:tcW w:w="20" w:type="dxa"/>
            <w:vAlign w:val="bottom"/>
            <w:tcBorders>
              <w:top w:val="single" w:sz="8" w:color="3C5896"/>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3C5896"/>
            </w:tcBorders>
          </w:tcPr>
          <w:p>
            <w:pPr>
              <w:spacing w:after="0"/>
              <w:rPr>
                <w:sz w:val="14"/>
                <w:szCs w:val="14"/>
                <w:color w:val="auto"/>
              </w:rPr>
            </w:pPr>
          </w:p>
        </w:tc>
        <w:tc>
          <w:tcPr>
            <w:tcW w:w="640" w:type="dxa"/>
            <w:vAlign w:val="bottom"/>
            <w:tcBorders>
              <w:top w:val="single" w:sz="8" w:color="3C5896"/>
            </w:tcBorders>
            <w:gridSpan w:val="3"/>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80" w:type="dxa"/>
            <w:vAlign w:val="bottom"/>
            <w:tcBorders>
              <w:top w:val="single" w:sz="8" w:color="3C5896"/>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3C5896"/>
            </w:tcBorders>
          </w:tcPr>
          <w:p>
            <w:pPr>
              <w:spacing w:after="0"/>
              <w:rPr>
                <w:sz w:val="14"/>
                <w:szCs w:val="14"/>
                <w:color w:val="auto"/>
              </w:rPr>
            </w:pPr>
          </w:p>
        </w:tc>
        <w:tc>
          <w:tcPr>
            <w:tcW w:w="80" w:type="dxa"/>
            <w:vAlign w:val="bottom"/>
            <w:tcBorders>
              <w:top w:val="single" w:sz="8" w:color="3C5896"/>
            </w:tcBorders>
          </w:tcPr>
          <w:p>
            <w:pPr>
              <w:spacing w:after="0"/>
              <w:rPr>
                <w:sz w:val="14"/>
                <w:szCs w:val="14"/>
                <w:color w:val="auto"/>
              </w:rPr>
            </w:pPr>
          </w:p>
        </w:tc>
        <w:tc>
          <w:tcPr>
            <w:tcW w:w="380" w:type="dxa"/>
            <w:vAlign w:val="bottom"/>
            <w:tcBorders>
              <w:top w:val="single" w:sz="8" w:color="3C5896"/>
            </w:tcBorders>
          </w:tcPr>
          <w:p>
            <w:pPr>
              <w:spacing w:after="0"/>
              <w:rPr>
                <w:sz w:val="14"/>
                <w:szCs w:val="14"/>
                <w:color w:val="auto"/>
              </w:rPr>
            </w:pPr>
          </w:p>
        </w:tc>
        <w:tc>
          <w:tcPr>
            <w:tcW w:w="160" w:type="dxa"/>
            <w:vAlign w:val="bottom"/>
            <w:tcBorders>
              <w:top w:val="single" w:sz="8" w:color="3C5896"/>
            </w:tcBorders>
          </w:tcPr>
          <w:p>
            <w:pPr>
              <w:spacing w:after="0"/>
              <w:rPr>
                <w:sz w:val="14"/>
                <w:szCs w:val="14"/>
                <w:color w:val="auto"/>
              </w:rPr>
            </w:pPr>
          </w:p>
        </w:tc>
        <w:tc>
          <w:tcPr>
            <w:tcW w:w="80" w:type="dxa"/>
            <w:vAlign w:val="bottom"/>
            <w:tcBorders>
              <w:top w:val="single" w:sz="8" w:color="3C5896"/>
            </w:tcBorders>
          </w:tcPr>
          <w:p>
            <w:pPr>
              <w:spacing w:after="0"/>
              <w:rPr>
                <w:sz w:val="14"/>
                <w:szCs w:val="14"/>
                <w:color w:val="auto"/>
              </w:rPr>
            </w:pPr>
          </w:p>
        </w:tc>
        <w:tc>
          <w:tcPr>
            <w:tcW w:w="40" w:type="dxa"/>
            <w:vAlign w:val="bottom"/>
            <w:tcBorders>
              <w:top w:val="single" w:sz="8" w:color="3C5896"/>
            </w:tcBorders>
            <w:shd w:val="clear" w:color="auto" w:fill="3C5896"/>
          </w:tcPr>
          <w:p>
            <w:pPr>
              <w:spacing w:after="0"/>
              <w:rPr>
                <w:sz w:val="14"/>
                <w:szCs w:val="14"/>
                <w:color w:val="auto"/>
              </w:rPr>
            </w:pPr>
          </w:p>
        </w:tc>
        <w:tc>
          <w:tcPr>
            <w:tcW w:w="60" w:type="dxa"/>
            <w:vAlign w:val="bottom"/>
            <w:tcBorders>
              <w:top w:val="single" w:sz="8" w:color="3C5896"/>
            </w:tcBorders>
            <w:shd w:val="clear" w:color="auto" w:fill="3C5896"/>
          </w:tcPr>
          <w:p>
            <w:pPr>
              <w:spacing w:after="0"/>
              <w:rPr>
                <w:sz w:val="14"/>
                <w:szCs w:val="14"/>
                <w:color w:val="auto"/>
              </w:rPr>
            </w:pPr>
          </w:p>
        </w:tc>
        <w:tc>
          <w:tcPr>
            <w:tcW w:w="600" w:type="dxa"/>
            <w:vAlign w:val="bottom"/>
            <w:tcBorders>
              <w:top w:val="single" w:sz="8" w:color="3C5896"/>
            </w:tcBorders>
            <w:shd w:val="clear" w:color="auto" w:fill="3C5896"/>
          </w:tcPr>
          <w:p>
            <w:pPr>
              <w:spacing w:after="0"/>
              <w:rPr>
                <w:sz w:val="14"/>
                <w:szCs w:val="14"/>
                <w:color w:val="auto"/>
              </w:rPr>
            </w:pPr>
          </w:p>
        </w:tc>
        <w:tc>
          <w:tcPr>
            <w:tcW w:w="80" w:type="dxa"/>
            <w:vAlign w:val="bottom"/>
            <w:tcBorders>
              <w:top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 w:type="dxa"/>
            <w:vAlign w:val="bottom"/>
            <w:shd w:val="clear" w:color="auto" w:fill="3C5896"/>
          </w:tcPr>
          <w:p>
            <w:pPr>
              <w:spacing w:after="0"/>
              <w:rPr>
                <w:sz w:val="10"/>
                <w:szCs w:val="10"/>
                <w:color w:val="auto"/>
              </w:rPr>
            </w:pPr>
          </w:p>
        </w:tc>
        <w:tc>
          <w:tcPr>
            <w:tcW w:w="1060" w:type="dxa"/>
            <w:vAlign w:val="bottom"/>
            <w:shd w:val="clear" w:color="auto" w:fill="3C589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3C5896"/>
            </w:tcBorders>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1840" w:type="dxa"/>
            <w:vAlign w:val="bottom"/>
            <w:gridSpan w:val="9"/>
            <w:vMerge w:val="restart"/>
            <w:shd w:val="clear" w:color="auto" w:fill="3C5896"/>
          </w:tcPr>
          <w:p>
            <w:pPr>
              <w:jc w:val="center"/>
              <w:ind w:right="99"/>
              <w:spacing w:after="0"/>
              <w:rPr>
                <w:sz w:val="20"/>
                <w:szCs w:val="20"/>
                <w:color w:val="auto"/>
              </w:rPr>
            </w:pPr>
            <w:r>
              <w:rPr>
                <w:rFonts w:ascii="Arial" w:cs="Arial" w:eastAsia="Arial" w:hAnsi="Arial"/>
                <w:sz w:val="13"/>
                <w:szCs w:val="13"/>
                <w:b w:val="1"/>
                <w:bCs w:val="1"/>
                <w:color w:val="FFFFFF"/>
                <w:w w:val="97"/>
              </w:rPr>
              <w:t>Estimated Possible</w:t>
            </w:r>
          </w:p>
        </w:tc>
        <w:tc>
          <w:tcPr>
            <w:tcW w:w="80" w:type="dxa"/>
            <w:vAlign w:val="bottom"/>
            <w:tcBorders>
              <w:left w:val="single" w:sz="8" w:color="3C5896"/>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FFFFFF"/>
                <w:w w:val="97"/>
              </w:rPr>
              <w:t>Estimated Possible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3"/>
                <w:szCs w:val="13"/>
                <w:b w:val="1"/>
                <w:bCs w:val="1"/>
                <w:color w:val="FFFFFF"/>
                <w:w w:val="95"/>
              </w:rPr>
              <w:t>Stock</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3"/>
                <w:szCs w:val="13"/>
                <w:b w:val="1"/>
                <w:bCs w:val="1"/>
                <w:color w:val="FFFFFF"/>
                <w:w w:val="95"/>
              </w:rPr>
              <w:t>Option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FFFFFF"/>
                <w:w w:val="96"/>
              </w:rPr>
              <w:t>Exercise or</w:t>
            </w:r>
          </w:p>
        </w:tc>
        <w:tc>
          <w:tcPr>
            <w:tcW w:w="80" w:type="dxa"/>
            <w:vAlign w:val="bottom"/>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600" w:type="dxa"/>
            <w:vAlign w:val="bottom"/>
            <w:shd w:val="clear" w:color="auto" w:fill="3C5896"/>
          </w:tcPr>
          <w:p>
            <w:pPr>
              <w:spacing w:after="0"/>
              <w:rPr>
                <w:sz w:val="10"/>
                <w:szCs w:val="10"/>
                <w:color w:val="auto"/>
              </w:rPr>
            </w:pPr>
          </w:p>
        </w:tc>
        <w:tc>
          <w:tcPr>
            <w:tcW w:w="80" w:type="dxa"/>
            <w:vAlign w:val="bottom"/>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3C5896"/>
          </w:tcPr>
          <w:p>
            <w:pPr>
              <w:spacing w:after="0"/>
              <w:rPr>
                <w:sz w:val="11"/>
                <w:szCs w:val="11"/>
                <w:color w:val="auto"/>
              </w:rPr>
            </w:pPr>
          </w:p>
        </w:tc>
        <w:tc>
          <w:tcPr>
            <w:tcW w:w="1060" w:type="dxa"/>
            <w:vAlign w:val="bottom"/>
            <w:shd w:val="clear" w:color="auto" w:fill="3C589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right w:val="single" w:sz="8" w:color="3C5896"/>
            </w:tcBorders>
          </w:tcPr>
          <w:p>
            <w:pPr>
              <w:spacing w:after="0"/>
              <w:rPr>
                <w:sz w:val="11"/>
                <w:szCs w:val="11"/>
                <w:color w:val="auto"/>
              </w:rPr>
            </w:pPr>
          </w:p>
        </w:tc>
        <w:tc>
          <w:tcPr>
            <w:tcW w:w="60" w:type="dxa"/>
            <w:vAlign w:val="bottom"/>
            <w:shd w:val="clear" w:color="auto" w:fill="3C5896"/>
          </w:tcPr>
          <w:p>
            <w:pPr>
              <w:spacing w:after="0"/>
              <w:rPr>
                <w:sz w:val="11"/>
                <w:szCs w:val="11"/>
                <w:color w:val="auto"/>
              </w:rPr>
            </w:pPr>
          </w:p>
        </w:tc>
        <w:tc>
          <w:tcPr>
            <w:tcW w:w="80" w:type="dxa"/>
            <w:vAlign w:val="bottom"/>
            <w:shd w:val="clear" w:color="auto" w:fill="3C5896"/>
          </w:tcPr>
          <w:p>
            <w:pPr>
              <w:spacing w:after="0"/>
              <w:rPr>
                <w:sz w:val="11"/>
                <w:szCs w:val="11"/>
                <w:color w:val="auto"/>
              </w:rPr>
            </w:pPr>
          </w:p>
        </w:tc>
        <w:tc>
          <w:tcPr>
            <w:tcW w:w="1840" w:type="dxa"/>
            <w:vAlign w:val="bottom"/>
            <w:gridSpan w:val="9"/>
            <w:vMerge w:val="continue"/>
            <w:shd w:val="clear" w:color="auto" w:fill="3C5896"/>
          </w:tcPr>
          <w:p>
            <w:pPr>
              <w:spacing w:after="0"/>
              <w:rPr>
                <w:sz w:val="11"/>
                <w:szCs w:val="11"/>
                <w:color w:val="auto"/>
              </w:rPr>
            </w:pPr>
          </w:p>
        </w:tc>
        <w:tc>
          <w:tcPr>
            <w:tcW w:w="80" w:type="dxa"/>
            <w:vAlign w:val="bottom"/>
            <w:tcBorders>
              <w:left w:val="single" w:sz="8" w:color="3C5896"/>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5"/>
              </w:rPr>
              <w:t>Award: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shd w:val="clear" w:color="auto" w:fill="3C5896"/>
          </w:tcPr>
          <w:p>
            <w:pPr>
              <w:spacing w:after="0"/>
              <w:rPr>
                <w:sz w:val="11"/>
                <w:szCs w:val="11"/>
                <w:color w:val="auto"/>
              </w:rPr>
            </w:pPr>
          </w:p>
        </w:tc>
        <w:tc>
          <w:tcPr>
            <w:tcW w:w="60" w:type="dxa"/>
            <w:vAlign w:val="bottom"/>
            <w:shd w:val="clear" w:color="auto" w:fill="3C5896"/>
          </w:tcPr>
          <w:p>
            <w:pPr>
              <w:spacing w:after="0"/>
              <w:rPr>
                <w:sz w:val="11"/>
                <w:szCs w:val="11"/>
                <w:color w:val="auto"/>
              </w:rPr>
            </w:pPr>
          </w:p>
        </w:tc>
        <w:tc>
          <w:tcPr>
            <w:tcW w:w="600" w:type="dxa"/>
            <w:vAlign w:val="bottom"/>
            <w:shd w:val="clear" w:color="auto" w:fill="3C5896"/>
          </w:tcPr>
          <w:p>
            <w:pPr>
              <w:spacing w:after="0"/>
              <w:rPr>
                <w:sz w:val="11"/>
                <w:szCs w:val="11"/>
                <w:color w:val="auto"/>
              </w:rPr>
            </w:pPr>
          </w:p>
        </w:tc>
        <w:tc>
          <w:tcPr>
            <w:tcW w:w="80" w:type="dxa"/>
            <w:vAlign w:val="bottom"/>
            <w:shd w:val="clear" w:color="auto" w:fill="3C5896"/>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 w:type="dxa"/>
            <w:vAlign w:val="bottom"/>
            <w:shd w:val="clear" w:color="auto" w:fill="3C5896"/>
          </w:tcPr>
          <w:p>
            <w:pPr>
              <w:spacing w:after="0"/>
              <w:rPr>
                <w:sz w:val="10"/>
                <w:szCs w:val="10"/>
                <w:color w:val="auto"/>
              </w:rPr>
            </w:pPr>
          </w:p>
        </w:tc>
        <w:tc>
          <w:tcPr>
            <w:tcW w:w="1060" w:type="dxa"/>
            <w:vAlign w:val="bottom"/>
            <w:shd w:val="clear" w:color="auto" w:fill="3C589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3C5896"/>
            </w:tcBorders>
          </w:tcPr>
          <w:p>
            <w:pPr>
              <w:spacing w:after="0"/>
              <w:rPr>
                <w:sz w:val="10"/>
                <w:szCs w:val="10"/>
                <w:color w:val="auto"/>
              </w:rPr>
            </w:pPr>
          </w:p>
        </w:tc>
        <w:tc>
          <w:tcPr>
            <w:tcW w:w="140" w:type="dxa"/>
            <w:vAlign w:val="bottom"/>
            <w:gridSpan w:val="2"/>
            <w:vMerge w:val="restart"/>
            <w:shd w:val="clear" w:color="auto" w:fill="3C5896"/>
          </w:tcPr>
          <w:p>
            <w:pPr>
              <w:jc w:val="right"/>
              <w:ind w:right="48"/>
              <w:spacing w:after="0"/>
              <w:rPr>
                <w:sz w:val="20"/>
                <w:szCs w:val="20"/>
                <w:color w:val="auto"/>
              </w:rPr>
            </w:pPr>
            <w:r>
              <w:rPr>
                <w:rFonts w:ascii="Arial" w:cs="Arial" w:eastAsia="Arial" w:hAnsi="Arial"/>
                <w:sz w:val="1"/>
                <w:szCs w:val="1"/>
                <w:b w:val="1"/>
                <w:bCs w:val="1"/>
                <w:color w:val="FFFFFF"/>
                <w:w w:val="4294942296"/>
              </w:rPr>
              <w:t>​</w:t>
            </w:r>
          </w:p>
        </w:tc>
        <w:tc>
          <w:tcPr>
            <w:tcW w:w="1840" w:type="dxa"/>
            <w:vAlign w:val="bottom"/>
            <w:gridSpan w:val="9"/>
            <w:shd w:val="clear" w:color="auto" w:fill="3C5896"/>
          </w:tcPr>
          <w:p>
            <w:pPr>
              <w:jc w:val="center"/>
              <w:ind w:right="99"/>
              <w:spacing w:after="0" w:line="122" w:lineRule="exact"/>
              <w:rPr>
                <w:sz w:val="20"/>
                <w:szCs w:val="20"/>
                <w:color w:val="auto"/>
              </w:rPr>
            </w:pPr>
            <w:r>
              <w:rPr>
                <w:rFonts w:ascii="Arial" w:cs="Arial" w:eastAsia="Arial" w:hAnsi="Arial"/>
                <w:sz w:val="13"/>
                <w:szCs w:val="13"/>
                <w:b w:val="1"/>
                <w:bCs w:val="1"/>
                <w:color w:val="FFFFFF"/>
                <w:w w:val="97"/>
              </w:rPr>
              <w:t>Payouts Under Non-Equity</w:t>
            </w:r>
          </w:p>
        </w:tc>
        <w:tc>
          <w:tcPr>
            <w:tcW w:w="140" w:type="dxa"/>
            <w:vAlign w:val="bottom"/>
            <w:tcBorders>
              <w:left w:val="single" w:sz="8" w:color="3C5896"/>
            </w:tcBorders>
            <w:gridSpan w:val="2"/>
            <w:vMerge w:val="restart"/>
          </w:tcPr>
          <w:p>
            <w:pPr>
              <w:jc w:val="right"/>
              <w:spacing w:after="0"/>
              <w:rPr>
                <w:sz w:val="20"/>
                <w:szCs w:val="20"/>
                <w:color w:val="auto"/>
              </w:rPr>
            </w:pPr>
            <w:r>
              <w:rPr>
                <w:rFonts w:ascii="Arial" w:cs="Arial" w:eastAsia="Arial" w:hAnsi="Arial"/>
                <w:sz w:val="13"/>
                <w:szCs w:val="13"/>
                <w:b w:val="1"/>
                <w:bCs w:val="1"/>
                <w:color w:val="FFFFFF"/>
              </w:rPr>
              <w:t>​​</w:t>
            </w:r>
          </w:p>
        </w:tc>
        <w:tc>
          <w:tcPr>
            <w:tcW w:w="20" w:type="dxa"/>
            <w:vAlign w:val="bottom"/>
          </w:tcPr>
          <w:p>
            <w:pPr>
              <w:spacing w:after="0"/>
              <w:rPr>
                <w:sz w:val="10"/>
                <w:szCs w:val="10"/>
                <w:color w:val="auto"/>
              </w:rPr>
            </w:pPr>
          </w:p>
        </w:tc>
        <w:tc>
          <w:tcPr>
            <w:tcW w:w="1660" w:type="dxa"/>
            <w:vAlign w:val="bottom"/>
            <w:gridSpan w:val="7"/>
          </w:tcPr>
          <w:p>
            <w:pPr>
              <w:jc w:val="center"/>
              <w:spacing w:after="0" w:line="122" w:lineRule="exact"/>
              <w:rPr>
                <w:sz w:val="20"/>
                <w:szCs w:val="20"/>
                <w:color w:val="auto"/>
              </w:rPr>
            </w:pPr>
            <w:r>
              <w:rPr>
                <w:rFonts w:ascii="Arial" w:cs="Arial" w:eastAsia="Arial" w:hAnsi="Arial"/>
                <w:sz w:val="13"/>
                <w:szCs w:val="13"/>
                <w:b w:val="1"/>
                <w:bCs w:val="1"/>
                <w:color w:val="FFFFFF"/>
                <w:w w:val="96"/>
              </w:rPr>
              <w:t>Payouts Under Equity</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FFFFFF"/>
                <w:w w:val="95"/>
              </w:rPr>
              <w:t>Number 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FFFFFF"/>
                <w:w w:val="95"/>
              </w:rPr>
              <w:t>Number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3"/>
                <w:szCs w:val="13"/>
                <w:b w:val="1"/>
                <w:bCs w:val="1"/>
                <w:color w:val="FFFFFF"/>
                <w:w w:val="96"/>
              </w:rPr>
              <w:t>Base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660" w:type="dxa"/>
            <w:vAlign w:val="bottom"/>
            <w:gridSpan w:val="2"/>
            <w:vMerge w:val="restart"/>
            <w:shd w:val="clear" w:color="auto" w:fill="3C5896"/>
          </w:tcPr>
          <w:p>
            <w:pPr>
              <w:spacing w:after="0"/>
              <w:rPr>
                <w:sz w:val="20"/>
                <w:szCs w:val="20"/>
                <w:color w:val="auto"/>
              </w:rPr>
            </w:pPr>
            <w:r>
              <w:rPr>
                <w:rFonts w:ascii="Arial" w:cs="Arial" w:eastAsia="Arial" w:hAnsi="Arial"/>
                <w:sz w:val="13"/>
                <w:szCs w:val="13"/>
                <w:b w:val="1"/>
                <w:bCs w:val="1"/>
                <w:color w:val="FFFFFF"/>
                <w:w w:val="96"/>
              </w:rPr>
              <w:t>Grant Date</w:t>
            </w:r>
          </w:p>
        </w:tc>
        <w:tc>
          <w:tcPr>
            <w:tcW w:w="80" w:type="dxa"/>
            <w:vAlign w:val="bottom"/>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 w:type="dxa"/>
            <w:vAlign w:val="bottom"/>
            <w:tcBorders>
              <w:bottom w:val="single" w:sz="8" w:color="3C5896"/>
            </w:tcBorders>
            <w:shd w:val="clear" w:color="auto" w:fill="3C5896"/>
          </w:tcPr>
          <w:p>
            <w:pPr>
              <w:spacing w:after="0"/>
              <w:rPr>
                <w:sz w:val="14"/>
                <w:szCs w:val="14"/>
                <w:color w:val="auto"/>
              </w:rPr>
            </w:pPr>
          </w:p>
        </w:tc>
        <w:tc>
          <w:tcPr>
            <w:tcW w:w="1060" w:type="dxa"/>
            <w:vAlign w:val="bottom"/>
            <w:tcBorders>
              <w:bottom w:val="single" w:sz="8" w:color="3C5896"/>
            </w:tcBorders>
            <w:shd w:val="clear" w:color="auto" w:fill="3C589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right w:val="single" w:sz="8" w:color="3C5896"/>
            </w:tcBorders>
          </w:tcPr>
          <w:p>
            <w:pPr>
              <w:spacing w:after="0"/>
              <w:rPr>
                <w:sz w:val="14"/>
                <w:szCs w:val="14"/>
                <w:color w:val="auto"/>
              </w:rPr>
            </w:pPr>
          </w:p>
        </w:tc>
        <w:tc>
          <w:tcPr>
            <w:tcW w:w="140" w:type="dxa"/>
            <w:vAlign w:val="bottom"/>
            <w:tcBorders>
              <w:bottom w:val="single" w:sz="8" w:color="3C5896"/>
            </w:tcBorders>
            <w:gridSpan w:val="2"/>
            <w:vMerge w:val="continue"/>
            <w:shd w:val="clear" w:color="auto" w:fill="3C5896"/>
          </w:tcPr>
          <w:p>
            <w:pPr>
              <w:spacing w:after="0"/>
              <w:rPr>
                <w:sz w:val="14"/>
                <w:szCs w:val="14"/>
                <w:color w:val="auto"/>
              </w:rPr>
            </w:pPr>
          </w:p>
        </w:tc>
        <w:tc>
          <w:tcPr>
            <w:tcW w:w="1840" w:type="dxa"/>
            <w:vAlign w:val="bottom"/>
            <w:tcBorders>
              <w:bottom w:val="single" w:sz="8" w:color="3C5896"/>
            </w:tcBorders>
            <w:gridSpan w:val="9"/>
            <w:shd w:val="clear" w:color="auto" w:fill="3C5896"/>
          </w:tcPr>
          <w:p>
            <w:pPr>
              <w:jc w:val="center"/>
              <w:ind w:right="79"/>
              <w:spacing w:after="0" w:line="135" w:lineRule="exact"/>
              <w:rPr>
                <w:sz w:val="20"/>
                <w:szCs w:val="20"/>
                <w:color w:val="auto"/>
              </w:rPr>
            </w:pPr>
            <w:r>
              <w:rPr>
                <w:rFonts w:ascii="Arial" w:cs="Arial" w:eastAsia="Arial" w:hAnsi="Arial"/>
                <w:sz w:val="13"/>
                <w:szCs w:val="13"/>
                <w:b w:val="1"/>
                <w:bCs w:val="1"/>
                <w:color w:val="FFFFFF"/>
                <w:w w:val="96"/>
              </w:rPr>
              <w:t>Incentive Plan Awards</w:t>
            </w:r>
            <w:r>
              <w:rPr>
                <w:rFonts w:ascii="Arial" w:cs="Arial" w:eastAsia="Arial" w:hAnsi="Arial"/>
                <w:sz w:val="8"/>
                <w:szCs w:val="8"/>
                <w:b w:val="1"/>
                <w:bCs w:val="1"/>
                <w:color w:val="FFFFFF"/>
                <w:w w:val="96"/>
              </w:rPr>
              <w:t>(1)</w:t>
            </w:r>
          </w:p>
        </w:tc>
        <w:tc>
          <w:tcPr>
            <w:tcW w:w="140" w:type="dxa"/>
            <w:vAlign w:val="bottom"/>
            <w:tcBorders>
              <w:left w:val="single" w:sz="8" w:color="3C5896"/>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7"/>
          </w:tcPr>
          <w:p>
            <w:pPr>
              <w:jc w:val="center"/>
              <w:spacing w:after="0" w:line="135" w:lineRule="exact"/>
              <w:rPr>
                <w:sz w:val="20"/>
                <w:szCs w:val="20"/>
                <w:color w:val="auto"/>
              </w:rPr>
            </w:pPr>
            <w:r>
              <w:rPr>
                <w:rFonts w:ascii="Arial" w:cs="Arial" w:eastAsia="Arial" w:hAnsi="Arial"/>
                <w:sz w:val="13"/>
                <w:szCs w:val="13"/>
                <w:b w:val="1"/>
                <w:bCs w:val="1"/>
                <w:color w:val="FFFFFF"/>
                <w:w w:val="97"/>
              </w:rPr>
              <w:t>Incentive Plan Awards</w:t>
            </w:r>
            <w:r>
              <w:rPr>
                <w:rFonts w:ascii="Arial" w:cs="Arial" w:eastAsia="Arial" w:hAnsi="Arial"/>
                <w:sz w:val="8"/>
                <w:szCs w:val="8"/>
                <w:b w:val="1"/>
                <w:bCs w:val="1"/>
                <w:color w:val="FFFFFF"/>
                <w:w w:val="97"/>
              </w:rPr>
              <w:t>(2)</w:t>
            </w:r>
          </w:p>
        </w:tc>
        <w:tc>
          <w:tcPr>
            <w:tcW w:w="20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FFFFFF"/>
              </w:rPr>
              <w:t>​</w:t>
            </w:r>
          </w:p>
        </w:tc>
        <w:tc>
          <w:tcPr>
            <w:tcW w:w="6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ind w:right="8"/>
              <w:spacing w:after="0" w:line="135" w:lineRule="exact"/>
              <w:rPr>
                <w:sz w:val="20"/>
                <w:szCs w:val="20"/>
                <w:color w:val="auto"/>
              </w:rPr>
            </w:pPr>
            <w:r>
              <w:rPr>
                <w:rFonts w:ascii="Arial" w:cs="Arial" w:eastAsia="Arial" w:hAnsi="Arial"/>
                <w:sz w:val="13"/>
                <w:szCs w:val="13"/>
                <w:b w:val="1"/>
                <w:bCs w:val="1"/>
                <w:color w:val="FFFFFF"/>
                <w:w w:val="96"/>
              </w:rPr>
              <w:t>Price of</w:t>
            </w:r>
          </w:p>
        </w:tc>
        <w:tc>
          <w:tcPr>
            <w:tcW w:w="80" w:type="dxa"/>
            <w:vAlign w:val="bottom"/>
          </w:tcPr>
          <w:p>
            <w:pPr>
              <w:spacing w:after="0"/>
              <w:rPr>
                <w:sz w:val="14"/>
                <w:szCs w:val="14"/>
                <w:color w:val="auto"/>
              </w:rPr>
            </w:pPr>
          </w:p>
        </w:tc>
        <w:tc>
          <w:tcPr>
            <w:tcW w:w="40" w:type="dxa"/>
            <w:vAlign w:val="bottom"/>
            <w:tcBorders>
              <w:bottom w:val="single" w:sz="8" w:color="3C5896"/>
            </w:tcBorders>
            <w:shd w:val="clear" w:color="auto" w:fill="3C5896"/>
          </w:tcPr>
          <w:p>
            <w:pPr>
              <w:spacing w:after="0"/>
              <w:rPr>
                <w:sz w:val="14"/>
                <w:szCs w:val="14"/>
                <w:color w:val="auto"/>
              </w:rPr>
            </w:pPr>
          </w:p>
        </w:tc>
        <w:tc>
          <w:tcPr>
            <w:tcW w:w="660" w:type="dxa"/>
            <w:vAlign w:val="bottom"/>
            <w:tcBorders>
              <w:bottom w:val="single" w:sz="8" w:color="3C5896"/>
            </w:tcBorders>
            <w:gridSpan w:val="2"/>
            <w:vMerge w:val="continue"/>
            <w:shd w:val="clear" w:color="auto" w:fill="3C5896"/>
          </w:tcPr>
          <w:p>
            <w:pPr>
              <w:spacing w:after="0"/>
              <w:rPr>
                <w:sz w:val="14"/>
                <w:szCs w:val="14"/>
                <w:color w:val="auto"/>
              </w:rPr>
            </w:pPr>
          </w:p>
        </w:tc>
        <w:tc>
          <w:tcPr>
            <w:tcW w:w="80" w:type="dxa"/>
            <w:vAlign w:val="bottom"/>
            <w:tcBorders>
              <w:bottom w:val="single" w:sz="8" w:color="3C5896"/>
            </w:tcBorders>
            <w:shd w:val="clear" w:color="auto" w:fill="3C5896"/>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shd w:val="clear" w:color="auto" w:fill="3C5896"/>
          </w:tcPr>
          <w:p>
            <w:pPr>
              <w:spacing w:after="0"/>
              <w:rPr>
                <w:sz w:val="5"/>
                <w:szCs w:val="5"/>
                <w:color w:val="auto"/>
              </w:rPr>
            </w:pPr>
          </w:p>
        </w:tc>
        <w:tc>
          <w:tcPr>
            <w:tcW w:w="1060" w:type="dxa"/>
            <w:vAlign w:val="bottom"/>
            <w:shd w:val="clear" w:color="auto" w:fill="3C5896"/>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80" w:type="dxa"/>
            <w:vAlign w:val="bottom"/>
          </w:tcPr>
          <w:p>
            <w:pPr>
              <w:spacing w:after="0"/>
              <w:rPr>
                <w:sz w:val="5"/>
                <w:szCs w:val="5"/>
                <w:color w:val="auto"/>
              </w:rPr>
            </w:pPr>
          </w:p>
        </w:tc>
        <w:tc>
          <w:tcPr>
            <w:tcW w:w="6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00" w:type="dxa"/>
            <w:vAlign w:val="bottom"/>
          </w:tcPr>
          <w:p>
            <w:pPr>
              <w:spacing w:after="0"/>
              <w:rPr>
                <w:sz w:val="5"/>
                <w:szCs w:val="5"/>
                <w:color w:val="auto"/>
              </w:rPr>
            </w:pPr>
          </w:p>
        </w:tc>
        <w:tc>
          <w:tcPr>
            <w:tcW w:w="440" w:type="dxa"/>
            <w:vAlign w:val="bottom"/>
            <w:vMerge w:val="restart"/>
          </w:tcPr>
          <w:p>
            <w:pPr>
              <w:spacing w:after="0"/>
              <w:rPr>
                <w:sz w:val="20"/>
                <w:szCs w:val="20"/>
                <w:color w:val="auto"/>
              </w:rPr>
            </w:pPr>
            <w:r>
              <w:rPr>
                <w:rFonts w:ascii="Arial" w:cs="Arial" w:eastAsia="Arial" w:hAnsi="Arial"/>
                <w:sz w:val="13"/>
                <w:szCs w:val="13"/>
                <w:b w:val="1"/>
                <w:bCs w:val="1"/>
                <w:color w:val="FFFFFF"/>
              </w:rPr>
              <w:t>Target</w:t>
            </w:r>
          </w:p>
        </w:tc>
        <w:tc>
          <w:tcPr>
            <w:tcW w:w="60" w:type="dxa"/>
            <w:vAlign w:val="bottom"/>
          </w:tcPr>
          <w:p>
            <w:pPr>
              <w:spacing w:after="0"/>
              <w:rPr>
                <w:sz w:val="5"/>
                <w:szCs w:val="5"/>
                <w:color w:val="auto"/>
              </w:rPr>
            </w:pPr>
          </w:p>
        </w:tc>
        <w:tc>
          <w:tcPr>
            <w:tcW w:w="640" w:type="dxa"/>
            <w:vAlign w:val="bottom"/>
            <w:gridSpan w:val="3"/>
            <w:vMerge w:val="restart"/>
          </w:tcPr>
          <w:p>
            <w:pPr>
              <w:spacing w:after="0"/>
              <w:rPr>
                <w:sz w:val="20"/>
                <w:szCs w:val="20"/>
                <w:color w:val="auto"/>
              </w:rPr>
            </w:pPr>
            <w:r>
              <w:rPr>
                <w:rFonts w:ascii="Arial" w:cs="Arial" w:eastAsia="Arial" w:hAnsi="Arial"/>
                <w:sz w:val="13"/>
                <w:szCs w:val="13"/>
                <w:b w:val="1"/>
                <w:bCs w:val="1"/>
                <w:color w:val="FFFFFF"/>
              </w:rPr>
              <w:t>Maximum</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jc w:val="center"/>
              <w:spacing w:after="0" w:line="68" w:lineRule="exact"/>
              <w:rPr>
                <w:sz w:val="20"/>
                <w:szCs w:val="20"/>
                <w:color w:val="auto"/>
              </w:rPr>
            </w:pPr>
            <w:r>
              <w:rPr>
                <w:rFonts w:ascii="Arial" w:cs="Arial" w:eastAsia="Arial" w:hAnsi="Arial"/>
                <w:sz w:val="7"/>
                <w:szCs w:val="7"/>
                <w:b w:val="1"/>
                <w:bCs w:val="1"/>
                <w:color w:val="FFFFFF"/>
              </w:rPr>
              <w:t>Stock</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gridSpan w:val="4"/>
          </w:tcPr>
          <w:p>
            <w:pPr>
              <w:jc w:val="center"/>
              <w:spacing w:after="0" w:line="68" w:lineRule="exact"/>
              <w:rPr>
                <w:sz w:val="20"/>
                <w:szCs w:val="20"/>
                <w:color w:val="auto"/>
              </w:rPr>
            </w:pPr>
            <w:r>
              <w:rPr>
                <w:rFonts w:ascii="Arial" w:cs="Arial" w:eastAsia="Arial" w:hAnsi="Arial"/>
                <w:sz w:val="7"/>
                <w:szCs w:val="7"/>
                <w:b w:val="1"/>
                <w:bCs w:val="1"/>
                <w:color w:val="FFFFFF"/>
              </w:rPr>
              <w:t>Underlying</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3"/>
          </w:tcPr>
          <w:p>
            <w:pPr>
              <w:jc w:val="center"/>
              <w:ind w:right="28"/>
              <w:spacing w:after="0" w:line="68" w:lineRule="exact"/>
              <w:rPr>
                <w:sz w:val="20"/>
                <w:szCs w:val="20"/>
                <w:color w:val="auto"/>
              </w:rPr>
            </w:pPr>
            <w:r>
              <w:rPr>
                <w:rFonts w:ascii="Arial" w:cs="Arial" w:eastAsia="Arial" w:hAnsi="Arial"/>
                <w:sz w:val="7"/>
                <w:szCs w:val="7"/>
                <w:b w:val="1"/>
                <w:bCs w:val="1"/>
                <w:color w:val="FFFFFF"/>
              </w:rPr>
              <w:t>Option</w:t>
            </w:r>
          </w:p>
        </w:tc>
        <w:tc>
          <w:tcPr>
            <w:tcW w:w="80" w:type="dxa"/>
            <w:vAlign w:val="bottom"/>
          </w:tcPr>
          <w:p>
            <w:pPr>
              <w:spacing w:after="0"/>
              <w:rPr>
                <w:sz w:val="5"/>
                <w:szCs w:val="5"/>
                <w:color w:val="auto"/>
              </w:rPr>
            </w:pPr>
          </w:p>
        </w:tc>
        <w:tc>
          <w:tcPr>
            <w:tcW w:w="40" w:type="dxa"/>
            <w:vAlign w:val="bottom"/>
            <w:shd w:val="clear" w:color="auto" w:fill="3C5896"/>
          </w:tcPr>
          <w:p>
            <w:pPr>
              <w:spacing w:after="0"/>
              <w:rPr>
                <w:sz w:val="5"/>
                <w:szCs w:val="5"/>
                <w:color w:val="auto"/>
              </w:rPr>
            </w:pPr>
          </w:p>
        </w:tc>
        <w:tc>
          <w:tcPr>
            <w:tcW w:w="660" w:type="dxa"/>
            <w:vAlign w:val="bottom"/>
            <w:gridSpan w:val="2"/>
            <w:shd w:val="clear" w:color="auto" w:fill="3C5896"/>
          </w:tcPr>
          <w:p>
            <w:pPr>
              <w:jc w:val="center"/>
              <w:spacing w:after="0" w:line="68" w:lineRule="exact"/>
              <w:rPr>
                <w:sz w:val="20"/>
                <w:szCs w:val="20"/>
                <w:color w:val="auto"/>
              </w:rPr>
            </w:pPr>
            <w:r>
              <w:rPr>
                <w:rFonts w:ascii="Arial" w:cs="Arial" w:eastAsia="Arial" w:hAnsi="Arial"/>
                <w:sz w:val="7"/>
                <w:szCs w:val="7"/>
                <w:b w:val="1"/>
                <w:bCs w:val="1"/>
                <w:color w:val="FFFFFF"/>
              </w:rPr>
              <w:t>Fair Value</w:t>
            </w:r>
          </w:p>
        </w:tc>
        <w:tc>
          <w:tcPr>
            <w:tcW w:w="80" w:type="dxa"/>
            <w:vAlign w:val="bottom"/>
            <w:shd w:val="clear" w:color="auto" w:fill="3C5896"/>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 w:type="dxa"/>
            <w:vAlign w:val="bottom"/>
            <w:shd w:val="clear" w:color="auto" w:fill="3C5896"/>
          </w:tcPr>
          <w:p>
            <w:pPr>
              <w:spacing w:after="0"/>
              <w:rPr>
                <w:sz w:val="10"/>
                <w:szCs w:val="10"/>
                <w:color w:val="auto"/>
              </w:rPr>
            </w:pPr>
          </w:p>
        </w:tc>
        <w:tc>
          <w:tcPr>
            <w:tcW w:w="1060" w:type="dxa"/>
            <w:vAlign w:val="bottom"/>
            <w:shd w:val="clear" w:color="auto" w:fill="3C589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3"/>
                <w:szCs w:val="13"/>
                <w:b w:val="1"/>
                <w:bCs w:val="1"/>
                <w:color w:val="FFFFFF"/>
                <w:w w:val="92"/>
              </w:rPr>
              <w:t>Units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FFFFFF"/>
                <w:w w:val="93"/>
              </w:rPr>
              <w:t>Options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center"/>
              <w:ind w:right="28"/>
              <w:spacing w:after="0" w:line="122" w:lineRule="exact"/>
              <w:rPr>
                <w:sz w:val="20"/>
                <w:szCs w:val="20"/>
                <w:color w:val="auto"/>
              </w:rPr>
            </w:pPr>
            <w:r>
              <w:rPr>
                <w:rFonts w:ascii="Arial" w:cs="Arial" w:eastAsia="Arial" w:hAnsi="Arial"/>
                <w:sz w:val="13"/>
                <w:szCs w:val="13"/>
                <w:b w:val="1"/>
                <w:bCs w:val="1"/>
                <w:color w:val="FFFFFF"/>
                <w:w w:val="93"/>
              </w:rPr>
              <w:t>Awards</w:t>
            </w:r>
          </w:p>
        </w:tc>
        <w:tc>
          <w:tcPr>
            <w:tcW w:w="80" w:type="dxa"/>
            <w:vAlign w:val="bottom"/>
          </w:tcPr>
          <w:p>
            <w:pPr>
              <w:spacing w:after="0"/>
              <w:rPr>
                <w:sz w:val="10"/>
                <w:szCs w:val="10"/>
                <w:color w:val="auto"/>
              </w:rPr>
            </w:pPr>
          </w:p>
        </w:tc>
        <w:tc>
          <w:tcPr>
            <w:tcW w:w="40" w:type="dxa"/>
            <w:vAlign w:val="bottom"/>
            <w:shd w:val="clear" w:color="auto" w:fill="3C5896"/>
          </w:tcPr>
          <w:p>
            <w:pPr>
              <w:spacing w:after="0"/>
              <w:rPr>
                <w:sz w:val="10"/>
                <w:szCs w:val="10"/>
                <w:color w:val="auto"/>
              </w:rPr>
            </w:pPr>
          </w:p>
        </w:tc>
        <w:tc>
          <w:tcPr>
            <w:tcW w:w="60" w:type="dxa"/>
            <w:vAlign w:val="bottom"/>
            <w:shd w:val="clear" w:color="auto" w:fill="3C5896"/>
          </w:tcPr>
          <w:p>
            <w:pPr>
              <w:spacing w:after="0"/>
              <w:rPr>
                <w:sz w:val="10"/>
                <w:szCs w:val="10"/>
                <w:color w:val="auto"/>
              </w:rPr>
            </w:pPr>
          </w:p>
        </w:tc>
        <w:tc>
          <w:tcPr>
            <w:tcW w:w="600" w:type="dxa"/>
            <w:vAlign w:val="bottom"/>
            <w:shd w:val="clear" w:color="auto" w:fill="3C5896"/>
          </w:tcPr>
          <w:p>
            <w:pPr>
              <w:jc w:val="center"/>
              <w:ind w:right="11"/>
              <w:spacing w:after="0" w:line="122" w:lineRule="exact"/>
              <w:rPr>
                <w:sz w:val="20"/>
                <w:szCs w:val="20"/>
                <w:color w:val="auto"/>
              </w:rPr>
            </w:pPr>
            <w:r>
              <w:rPr>
                <w:rFonts w:ascii="Arial" w:cs="Arial" w:eastAsia="Arial" w:hAnsi="Arial"/>
                <w:sz w:val="13"/>
                <w:szCs w:val="13"/>
                <w:b w:val="1"/>
                <w:bCs w:val="1"/>
                <w:color w:val="FFFFFF"/>
                <w:w w:val="93"/>
              </w:rPr>
              <w:t>of Award</w:t>
            </w:r>
          </w:p>
        </w:tc>
        <w:tc>
          <w:tcPr>
            <w:tcW w:w="80" w:type="dxa"/>
            <w:vAlign w:val="bottom"/>
            <w:shd w:val="clear" w:color="auto" w:fill="3C5896"/>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shd w:val="clear" w:color="auto" w:fill="3C5896"/>
          </w:tcPr>
          <w:p>
            <w:pPr>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3C5896"/>
          </w:tcPr>
          <w:p>
            <w:pPr>
              <w:ind w:left="240"/>
              <w:spacing w:after="0"/>
              <w:rPr>
                <w:sz w:val="20"/>
                <w:szCs w:val="20"/>
                <w:color w:val="auto"/>
              </w:rPr>
            </w:pPr>
            <w:r>
              <w:rPr>
                <w:rFonts w:ascii="Arial" w:cs="Arial" w:eastAsia="Arial" w:hAnsi="Arial"/>
                <w:sz w:val="13"/>
                <w:szCs w:val="13"/>
                <w:b w:val="1"/>
                <w:bCs w:val="1"/>
                <w:color w:val="FFFFFF"/>
              </w:rPr>
              <w:t>NEO</w:t>
            </w:r>
          </w:p>
        </w:tc>
        <w:tc>
          <w:tcPr>
            <w:tcW w:w="740" w:type="dxa"/>
            <w:vAlign w:val="bottom"/>
            <w:gridSpan w:val="5"/>
          </w:tcPr>
          <w:p>
            <w:pPr>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Grant Date</w:t>
            </w:r>
          </w:p>
        </w:tc>
        <w:tc>
          <w:tcPr>
            <w:tcW w:w="180" w:type="dxa"/>
            <w:vAlign w:val="bottom"/>
            <w:gridSpan w:val="3"/>
          </w:tcPr>
          <w:p>
            <w:pPr>
              <w:jc w:val="right"/>
              <w:ind w:right="48"/>
              <w:spacing w:after="0"/>
              <w:rPr>
                <w:sz w:val="20"/>
                <w:szCs w:val="20"/>
                <w:color w:val="auto"/>
              </w:rPr>
            </w:pPr>
            <w:r>
              <w:rPr>
                <w:rFonts w:ascii="Arial" w:cs="Arial" w:eastAsia="Arial" w:hAnsi="Arial"/>
                <w:sz w:val="13"/>
                <w:szCs w:val="13"/>
                <w:b w:val="1"/>
                <w:bCs w:val="1"/>
                <w:color w:val="FFFFFF"/>
              </w:rPr>
              <w:t>​​</w:t>
            </w:r>
          </w:p>
        </w:tc>
        <w:tc>
          <w:tcPr>
            <w:tcW w:w="440" w:type="dxa"/>
            <w:vAlign w:val="bottom"/>
          </w:tcPr>
          <w:p>
            <w:pPr>
              <w:jc w:val="center"/>
              <w:ind w:right="17"/>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 xml:space="preserve">   ($)</w:t>
            </w:r>
          </w:p>
        </w:tc>
        <w:tc>
          <w:tcPr>
            <w:tcW w:w="2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3"/>
                <w:szCs w:val="13"/>
                <w:b w:val="1"/>
                <w:bCs w:val="1"/>
                <w:color w:val="FFFFFF"/>
              </w:rPr>
              <w:t>​​</w:t>
            </w:r>
          </w:p>
        </w:tc>
        <w:tc>
          <w:tcPr>
            <w:tcW w:w="560" w:type="dxa"/>
            <w:vAlign w:val="bottom"/>
          </w:tcPr>
          <w:p>
            <w:pPr>
              <w:jc w:val="right"/>
              <w:ind w:right="179"/>
              <w:spacing w:after="0"/>
              <w:rPr>
                <w:sz w:val="20"/>
                <w:szCs w:val="20"/>
                <w:color w:val="auto"/>
              </w:rPr>
            </w:pPr>
            <w:r>
              <w:rPr>
                <w:rFonts w:ascii="Arial" w:cs="Arial" w:eastAsia="Arial" w:hAnsi="Arial"/>
                <w:sz w:val="13"/>
                <w:szCs w:val="13"/>
                <w:b w:val="1"/>
                <w:bCs w:val="1"/>
                <w:color w:val="FFFFFF"/>
              </w:rPr>
              <w:t>($)</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480" w:type="dxa"/>
            <w:vAlign w:val="bottom"/>
            <w:gridSpan w:val="2"/>
          </w:tcPr>
          <w:p>
            <w:pPr>
              <w:jc w:val="right"/>
              <w:ind w:right="72"/>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7"/>
                <w:szCs w:val="17"/>
                <w:color w:val="auto"/>
              </w:rPr>
            </w:pPr>
          </w:p>
        </w:tc>
        <w:tc>
          <w:tcPr>
            <w:tcW w:w="540" w:type="dxa"/>
            <w:vAlign w:val="bottom"/>
            <w:gridSpan w:val="2"/>
          </w:tcPr>
          <w:p>
            <w:pPr>
              <w:ind w:left="40"/>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 xml:space="preserve">  (#)</w:t>
            </w:r>
          </w:p>
        </w:tc>
        <w:tc>
          <w:tcPr>
            <w:tcW w:w="580" w:type="dxa"/>
            <w:vAlign w:val="bottom"/>
            <w:gridSpan w:val="3"/>
          </w:tcPr>
          <w:p>
            <w:pPr>
              <w:jc w:val="right"/>
              <w:ind w:right="49"/>
              <w:spacing w:after="0" w:line="202"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 xml:space="preserve">   (#)</w:t>
            </w:r>
          </w:p>
        </w:tc>
        <w:tc>
          <w:tcPr>
            <w:tcW w:w="120" w:type="dxa"/>
            <w:vAlign w:val="bottom"/>
          </w:tcPr>
          <w:p>
            <w:pPr>
              <w:spacing w:after="0"/>
              <w:rPr>
                <w:sz w:val="17"/>
                <w:szCs w:val="17"/>
                <w:color w:val="auto"/>
              </w:rPr>
            </w:pPr>
          </w:p>
        </w:tc>
        <w:tc>
          <w:tcPr>
            <w:tcW w:w="80" w:type="dxa"/>
            <w:vAlign w:val="bottom"/>
            <w:gridSpan w:val="3"/>
          </w:tcPr>
          <w:p>
            <w:pPr>
              <w:jc w:val="right"/>
              <w:spacing w:after="0"/>
              <w:rPr>
                <w:sz w:val="20"/>
                <w:szCs w:val="20"/>
                <w:color w:val="auto"/>
              </w:rPr>
            </w:pPr>
            <w:r>
              <w:rPr>
                <w:rFonts w:ascii="Arial" w:cs="Arial" w:eastAsia="Arial" w:hAnsi="Arial"/>
                <w:sz w:val="13"/>
                <w:szCs w:val="13"/>
                <w:b w:val="1"/>
                <w:bCs w:val="1"/>
                <w:color w:val="FFFFFF"/>
              </w:rPr>
              <w:t>​​</w:t>
            </w:r>
          </w:p>
        </w:tc>
        <w:tc>
          <w:tcPr>
            <w:tcW w:w="520" w:type="dxa"/>
            <w:vAlign w:val="bottom"/>
            <w:gridSpan w:val="2"/>
          </w:tcPr>
          <w:p>
            <w:pPr>
              <w:jc w:val="center"/>
              <w:ind w:left="31"/>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gridSpan w:val="3"/>
          </w:tcPr>
          <w:p>
            <w:pPr>
              <w:jc w:val="right"/>
              <w:spacing w:after="0"/>
              <w:rPr>
                <w:sz w:val="20"/>
                <w:szCs w:val="20"/>
                <w:color w:val="auto"/>
              </w:rPr>
            </w:pPr>
            <w:r>
              <w:rPr>
                <w:rFonts w:ascii="Arial" w:cs="Arial" w:eastAsia="Arial" w:hAnsi="Arial"/>
                <w:sz w:val="13"/>
                <w:szCs w:val="13"/>
                <w:b w:val="1"/>
                <w:bCs w:val="1"/>
                <w:color w:val="FFFFFF"/>
              </w:rPr>
              <w:t>​​</w:t>
            </w:r>
          </w:p>
        </w:tc>
        <w:tc>
          <w:tcPr>
            <w:tcW w:w="540" w:type="dxa"/>
            <w:vAlign w:val="bottom"/>
            <w:gridSpan w:val="2"/>
          </w:tcPr>
          <w:p>
            <w:pPr>
              <w:jc w:val="center"/>
              <w:ind w:left="5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(4)</w:t>
            </w:r>
          </w:p>
        </w:tc>
        <w:tc>
          <w:tcPr>
            <w:tcW w:w="10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FFFFFF"/>
                <w:w w:val="99"/>
              </w:rPr>
              <w:t>($/Sh)</w:t>
            </w:r>
          </w:p>
        </w:tc>
        <w:tc>
          <w:tcPr>
            <w:tcW w:w="160" w:type="dxa"/>
            <w:vAlign w:val="bottom"/>
          </w:tcPr>
          <w:p>
            <w:pPr>
              <w:spacing w:after="0"/>
              <w:rPr>
                <w:sz w:val="17"/>
                <w:szCs w:val="17"/>
                <w:color w:val="auto"/>
              </w:rPr>
            </w:pPr>
          </w:p>
        </w:tc>
        <w:tc>
          <w:tcPr>
            <w:tcW w:w="80" w:type="dxa"/>
            <w:vAlign w:val="bottom"/>
          </w:tcPr>
          <w:p>
            <w:pPr>
              <w:ind w:left="40"/>
              <w:spacing w:after="0"/>
              <w:rPr>
                <w:sz w:val="20"/>
                <w:szCs w:val="20"/>
                <w:color w:val="auto"/>
              </w:rPr>
            </w:pPr>
            <w:r>
              <w:rPr>
                <w:rFonts w:ascii="Arial" w:cs="Arial" w:eastAsia="Arial" w:hAnsi="Arial"/>
                <w:sz w:val="13"/>
                <w:szCs w:val="13"/>
                <w:b w:val="1"/>
                <w:bCs w:val="1"/>
                <w:color w:val="FFFFFF"/>
              </w:rPr>
              <w:t>​</w:t>
            </w:r>
          </w:p>
        </w:tc>
        <w:tc>
          <w:tcPr>
            <w:tcW w:w="100" w:type="dxa"/>
            <w:vAlign w:val="bottom"/>
            <w:gridSpan w:val="2"/>
            <w:shd w:val="clear" w:color="auto" w:fill="3C5896"/>
          </w:tcPr>
          <w:p>
            <w:pPr>
              <w:ind w:left="20"/>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3C5896"/>
          </w:tcPr>
          <w:p>
            <w:pPr>
              <w:jc w:val="center"/>
              <w:spacing w:after="0" w:line="202" w:lineRule="exact"/>
              <w:rPr>
                <w:sz w:val="20"/>
                <w:szCs w:val="20"/>
                <w:color w:val="auto"/>
              </w:rPr>
            </w:pPr>
            <w:r>
              <w:rPr>
                <w:rFonts w:ascii="Arial" w:cs="Arial" w:eastAsia="Arial" w:hAnsi="Arial"/>
                <w:sz w:val="23"/>
                <w:szCs w:val="23"/>
                <w:b w:val="1"/>
                <w:bCs w:val="1"/>
                <w:color w:val="FFFFFF"/>
                <w:w w:val="83"/>
                <w:vertAlign w:val="subscript"/>
              </w:rPr>
              <w:t>($)</w:t>
            </w:r>
            <w:r>
              <w:rPr>
                <w:rFonts w:ascii="Arial" w:cs="Arial" w:eastAsia="Arial" w:hAnsi="Arial"/>
                <w:sz w:val="8"/>
                <w:szCs w:val="8"/>
                <w:b w:val="1"/>
                <w:bCs w:val="1"/>
                <w:color w:val="FFFFFF"/>
                <w:w w:val="83"/>
              </w:rPr>
              <w:t>(5)</w:t>
            </w:r>
          </w:p>
        </w:tc>
        <w:tc>
          <w:tcPr>
            <w:tcW w:w="80" w:type="dxa"/>
            <w:vAlign w:val="bottom"/>
            <w:shd w:val="clear" w:color="auto" w:fill="3C5896"/>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7"/>
        </w:trPr>
        <w:tc>
          <w:tcPr>
            <w:tcW w:w="20" w:type="dxa"/>
            <w:vAlign w:val="bottom"/>
            <w:shd w:val="clear" w:color="auto" w:fill="3C5896"/>
          </w:tcPr>
          <w:p>
            <w:pPr>
              <w:spacing w:after="0"/>
              <w:rPr>
                <w:sz w:val="17"/>
                <w:szCs w:val="17"/>
                <w:color w:val="auto"/>
              </w:rPr>
            </w:pPr>
          </w:p>
        </w:tc>
        <w:tc>
          <w:tcPr>
            <w:tcW w:w="1360" w:type="dxa"/>
            <w:vAlign w:val="bottom"/>
            <w:gridSpan w:val="2"/>
          </w:tcPr>
          <w:p>
            <w:pP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L. Reade Fahs</w:t>
            </w:r>
          </w:p>
        </w:tc>
        <w:tc>
          <w:tcPr>
            <w:tcW w:w="660" w:type="dxa"/>
            <w:vAlign w:val="bottom"/>
            <w:gridSpan w:val="4"/>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400" w:type="dxa"/>
            <w:vAlign w:val="bottom"/>
            <w:gridSpan w:val="10"/>
          </w:tcPr>
          <w:p>
            <w:pP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​491,825 </w:t>
            </w:r>
            <w:r>
              <w:rPr>
                <w:rFonts w:ascii="Arial" w:cs="Arial" w:eastAsia="Arial" w:hAnsi="Arial"/>
                <w:sz w:val="23"/>
                <w:szCs w:val="23"/>
                <w:color w:val="auto"/>
                <w:vertAlign w:val="superscript"/>
              </w:rPr>
              <w:t>​​​​</w:t>
            </w:r>
            <w:r>
              <w:rPr>
                <w:rFonts w:ascii="Arial" w:cs="Arial" w:eastAsia="Arial" w:hAnsi="Arial"/>
                <w:sz w:val="13"/>
                <w:szCs w:val="13"/>
                <w:color w:val="auto"/>
              </w:rPr>
              <w:t>​983,650</w:t>
            </w:r>
          </w:p>
        </w:tc>
        <w:tc>
          <w:tcPr>
            <w:tcW w:w="840" w:type="dxa"/>
            <w:vAlign w:val="bottom"/>
            <w:gridSpan w:val="5"/>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​1,967,300</w:t>
            </w:r>
            <w:r>
              <w:rPr>
                <w:rFonts w:ascii="Arial" w:cs="Arial" w:eastAsia="Arial" w:hAnsi="Arial"/>
                <w:sz w:val="23"/>
                <w:szCs w:val="23"/>
                <w:color w:val="auto"/>
                <w:vertAlign w:val="superscript"/>
              </w:rPr>
              <w: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​3/5/2021 </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26"/>
                <w:szCs w:val="26"/>
                <w:b w:val="1"/>
                <w:bCs w:val="1"/>
                <w:color w:val="auto"/>
                <w:vertAlign w:val="superscript"/>
              </w:rPr>
              <w:t>​</w:t>
            </w:r>
          </w:p>
        </w:tc>
        <w:tc>
          <w:tcPr>
            <w:tcW w:w="440" w:type="dxa"/>
            <w:vAlign w:val="bottom"/>
          </w:tcPr>
          <w:p>
            <w:pPr>
              <w:spacing w:after="0"/>
              <w:rPr>
                <w:sz w:val="19"/>
                <w:szCs w:val="19"/>
                <w:color w:val="auto"/>
              </w:rPr>
            </w:pPr>
          </w:p>
        </w:tc>
        <w:tc>
          <w:tcPr>
            <w:tcW w:w="680" w:type="dxa"/>
            <w:vAlign w:val="bottom"/>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​15,057</w:t>
            </w:r>
          </w:p>
        </w:tc>
        <w:tc>
          <w:tcPr>
            <w:tcW w:w="80" w:type="dxa"/>
            <w:vAlign w:val="bottom"/>
          </w:tcPr>
          <w:p>
            <w:pPr>
              <w:spacing w:after="0"/>
              <w:rPr>
                <w:sz w:val="19"/>
                <w:szCs w:val="19"/>
                <w:color w:val="auto"/>
              </w:rPr>
            </w:pPr>
          </w:p>
        </w:tc>
        <w:tc>
          <w:tcPr>
            <w:tcW w:w="1120" w:type="dxa"/>
            <w:vAlign w:val="bottom"/>
            <w:gridSpan w:val="5"/>
          </w:tcPr>
          <w:p>
            <w:pPr>
              <w:ind w:left="2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​30,114</w:t>
            </w:r>
            <w:r>
              <w:rPr>
                <w:rFonts w:ascii="Arial" w:cs="Arial" w:eastAsia="Arial" w:hAnsi="Arial"/>
                <w:sz w:val="26"/>
                <w:szCs w:val="26"/>
                <w:color w:val="auto"/>
                <w:vertAlign w:val="superscript"/>
              </w:rPr>
              <w:t>​​ ​</w:t>
            </w:r>
            <w:r>
              <w:rPr>
                <w:rFonts w:ascii="Arial" w:cs="Arial" w:eastAsia="Arial" w:hAnsi="Arial"/>
                <w:sz w:val="14"/>
                <w:szCs w:val="14"/>
                <w:color w:val="auto"/>
              </w:rPr>
              <w:t>​60,228</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5"/>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​1,375,005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30"/>
        </w:trPr>
        <w:tc>
          <w:tcPr>
            <w:tcW w:w="20" w:type="dxa"/>
            <w:vAlign w:val="bottom"/>
            <w:shd w:val="clear" w:color="auto" w:fill="3C5896"/>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​3/5/2021 </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26"/>
                <w:szCs w:val="26"/>
                <w:b w:val="1"/>
                <w:bCs w:val="1"/>
                <w:color w:val="auto"/>
                <w:vertAlign w:val="superscript"/>
              </w:rPr>
              <w:t>​</w:t>
            </w:r>
          </w:p>
        </w:tc>
        <w:tc>
          <w:tcPr>
            <w:tcW w:w="440" w:type="dxa"/>
            <w:vAlign w:val="bottom"/>
          </w:tcPr>
          <w:p>
            <w:pPr>
              <w:spacing w:after="0"/>
              <w:rPr>
                <w:sz w:val="19"/>
                <w:szCs w:val="19"/>
                <w:color w:val="auto"/>
              </w:rPr>
            </w:pPr>
          </w:p>
        </w:tc>
        <w:tc>
          <w:tcPr>
            <w:tcW w:w="680" w:type="dxa"/>
            <w:vAlign w:val="bottom"/>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​15,057</w:t>
            </w:r>
          </w:p>
        </w:tc>
        <w:tc>
          <w:tcPr>
            <w:tcW w:w="100" w:type="dxa"/>
            <w:vAlign w:val="bottom"/>
          </w:tcPr>
          <w:p>
            <w:pPr>
              <w:spacing w:after="0"/>
              <w:rPr>
                <w:sz w:val="19"/>
                <w:szCs w:val="19"/>
                <w:color w:val="auto"/>
              </w:rPr>
            </w:pP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687,503</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​3/5/2021 </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26"/>
                <w:szCs w:val="26"/>
                <w:b w:val="1"/>
                <w:bCs w:val="1"/>
                <w:color w:val="auto"/>
                <w:vertAlign w:val="superscript"/>
              </w:rPr>
              <w:t>​</w:t>
            </w:r>
          </w:p>
        </w:tc>
        <w:tc>
          <w:tcPr>
            <w:tcW w:w="440" w:type="dxa"/>
            <w:vAlign w:val="bottom"/>
          </w:tcPr>
          <w:p>
            <w:pPr>
              <w:spacing w:after="0"/>
              <w:rPr>
                <w:sz w:val="19"/>
                <w:szCs w:val="19"/>
                <w:color w:val="auto"/>
              </w:rPr>
            </w:pPr>
          </w:p>
        </w:tc>
        <w:tc>
          <w:tcPr>
            <w:tcW w:w="680" w:type="dxa"/>
            <w:vAlign w:val="bottom"/>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​29,685</w:t>
            </w: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​45.66</w:t>
            </w:r>
          </w:p>
        </w:tc>
        <w:tc>
          <w:tcPr>
            <w:tcW w:w="160" w:type="dxa"/>
            <w:vAlign w:val="bottom"/>
          </w:tcPr>
          <w:p>
            <w:pPr>
              <w:spacing w:after="0"/>
              <w:rPr>
                <w:sz w:val="19"/>
                <w:szCs w:val="19"/>
                <w:color w:val="auto"/>
              </w:rPr>
            </w:pPr>
          </w:p>
        </w:tc>
        <w:tc>
          <w:tcPr>
            <w:tcW w:w="180" w:type="dxa"/>
            <w:vAlign w:val="bottom"/>
            <w:gridSpan w:val="3"/>
          </w:tcPr>
          <w:p>
            <w:pPr>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687,505</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shd w:val="clear" w:color="auto" w:fill="3C589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6"/>
            <w:vMerge w:val="restart"/>
          </w:tcPr>
          <w:p>
            <w:pPr>
              <w:jc w:val="center"/>
              <w:spacing w:after="0" w:line="189" w:lineRule="exact"/>
              <w:rPr>
                <w:sz w:val="20"/>
                <w:szCs w:val="20"/>
                <w:color w:val="auto"/>
              </w:rPr>
            </w:pPr>
            <w:r>
              <w:rPr>
                <w:rFonts w:ascii="Arial" w:cs="Arial" w:eastAsia="Arial" w:hAnsi="Arial"/>
                <w:sz w:val="21"/>
                <w:szCs w:val="21"/>
                <w:color w:val="auto"/>
                <w:highlight w:val="lightGray"/>
                <w:vertAlign w:val="superscript"/>
              </w:rPr>
              <w:t>​​ ​</w:t>
            </w:r>
            <w:r>
              <w:rPr>
                <w:rFonts w:ascii="Arial" w:cs="Arial" w:eastAsia="Arial" w:hAnsi="Arial"/>
                <w:sz w:val="12"/>
                <w:szCs w:val="12"/>
                <w:color w:val="auto"/>
                <w:highlight w:val="lightGray"/>
              </w:rPr>
              <w:t xml:space="preserve">​167,375 </w:t>
            </w:r>
            <w:r>
              <w:rPr>
                <w:rFonts w:ascii="Arial" w:cs="Arial" w:eastAsia="Arial" w:hAnsi="Arial"/>
                <w:sz w:val="21"/>
                <w:szCs w:val="21"/>
                <w:color w:val="auto"/>
                <w:highlight w:val="lightGray"/>
                <w:vertAlign w:val="superscript"/>
              </w:rPr>
              <w:t>​</w:t>
            </w: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2"/>
            <w:vMerge w:val="restart"/>
          </w:tcPr>
          <w:p>
            <w:pPr>
              <w:jc w:val="right"/>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highlight w:val="lightGray"/>
                <w:vertAlign w:val="subscript"/>
              </w:rPr>
              <w:t>​</w:t>
            </w:r>
          </w:p>
        </w:tc>
        <w:tc>
          <w:tcPr>
            <w:tcW w:w="700" w:type="dxa"/>
            <w:vAlign w:val="bottom"/>
            <w:gridSpan w:val="3"/>
            <w:vMerge w:val="restart"/>
          </w:tcPr>
          <w:p>
            <w:pPr>
              <w:jc w:val="right"/>
              <w:spacing w:after="0" w:line="189" w:lineRule="exact"/>
              <w:rPr>
                <w:sz w:val="20"/>
                <w:szCs w:val="20"/>
                <w:color w:val="auto"/>
              </w:rPr>
            </w:pPr>
            <w:r>
              <w:rPr>
                <w:rFonts w:ascii="Arial" w:cs="Arial" w:eastAsia="Arial" w:hAnsi="Arial"/>
                <w:sz w:val="12"/>
                <w:szCs w:val="12"/>
                <w:color w:val="auto"/>
                <w:highlight w:val="lightGray"/>
              </w:rPr>
              <w:t>669,500</w:t>
            </w:r>
            <w:r>
              <w:rPr>
                <w:rFonts w:ascii="Arial" w:cs="Arial" w:eastAsia="Arial" w:hAnsi="Arial"/>
                <w:sz w:val="21"/>
                <w:szCs w:val="21"/>
                <w:color w:val="auto"/>
                <w:vertAlign w:val="superscript"/>
              </w:rPr>
              <w:t>​​</w:t>
            </w: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3C5896"/>
            </w:tcBorders>
            <w:shd w:val="clear" w:color="auto" w:fill="3C5896"/>
          </w:tcPr>
          <w:p>
            <w:pPr>
              <w:spacing w:after="0"/>
              <w:rPr>
                <w:sz w:val="14"/>
                <w:szCs w:val="14"/>
                <w:color w:val="auto"/>
              </w:rPr>
            </w:pPr>
          </w:p>
        </w:tc>
        <w:tc>
          <w:tcPr>
            <w:tcW w:w="1360" w:type="dxa"/>
            <w:vAlign w:val="bottom"/>
            <w:tcBorders>
              <w:bottom w:val="single" w:sz="8" w:color="CCCCCC"/>
            </w:tcBorders>
            <w:gridSpan w:val="2"/>
            <w:shd w:val="clear" w:color="auto" w:fill="CCCCCC"/>
          </w:tcPr>
          <w:p>
            <w:pPr>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Patrick R. Moore</w:t>
            </w:r>
          </w:p>
        </w:tc>
        <w:tc>
          <w:tcPr>
            <w:tcW w:w="660" w:type="dxa"/>
            <w:vAlign w:val="bottom"/>
            <w:gridSpan w:val="4"/>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6"/>
            <w:vMerge w:val="continue"/>
          </w:tcPr>
          <w:p>
            <w:pPr>
              <w:spacing w:after="0"/>
              <w:rPr>
                <w:sz w:val="14"/>
                <w:szCs w:val="14"/>
                <w:color w:val="auto"/>
              </w:rPr>
            </w:pPr>
          </w:p>
        </w:tc>
        <w:tc>
          <w:tcPr>
            <w:tcW w:w="600" w:type="dxa"/>
            <w:vAlign w:val="bottom"/>
            <w:tcBorders>
              <w:bottom w:val="single" w:sz="8" w:color="CCCCCC"/>
            </w:tcBorders>
            <w:gridSpan w:val="3"/>
            <w:shd w:val="clear" w:color="auto" w:fill="CCCCCC"/>
          </w:tcPr>
          <w:p>
            <w:pPr>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highlight w:val="lightGray"/>
              </w:rPr>
              <w:t>​334,750</w:t>
            </w:r>
          </w:p>
        </w:tc>
        <w:tc>
          <w:tcPr>
            <w:tcW w:w="14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00" w:type="dxa"/>
            <w:vAlign w:val="bottom"/>
            <w:shd w:val="clear" w:color="auto" w:fill="CCCCCC"/>
          </w:tcPr>
          <w:p>
            <w:pPr>
              <w:spacing w:after="0"/>
              <w:rPr>
                <w:sz w:val="19"/>
                <w:szCs w:val="19"/>
                <w:color w:val="auto"/>
              </w:rPr>
            </w:pPr>
          </w:p>
        </w:tc>
        <w:tc>
          <w:tcPr>
            <w:tcW w:w="1060" w:type="dxa"/>
            <w:vAlign w:val="bottom"/>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highlight w:val="lightGray"/>
              </w:rPr>
              <w:t xml:space="preserve">​3/5/2021 </w:t>
            </w:r>
            <w:r>
              <w:rPr>
                <w:rFonts w:ascii="Arial" w:cs="Arial" w:eastAsia="Arial" w:hAnsi="Arial"/>
                <w:sz w:val="26"/>
                <w:szCs w:val="26"/>
                <w:color w:val="auto"/>
                <w:highlight w:val="lightGray"/>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9"/>
                <w:szCs w:val="19"/>
                <w:color w:val="auto"/>
              </w:rPr>
            </w:pPr>
          </w:p>
        </w:tc>
        <w:tc>
          <w:tcPr>
            <w:tcW w:w="160" w:type="dxa"/>
            <w:vAlign w:val="bottom"/>
            <w:tcBorders>
              <w:right w:val="single" w:sz="8" w:color="CCCCCC"/>
            </w:tcBorders>
            <w:gridSpan w:val="3"/>
          </w:tcPr>
          <w:p>
            <w:pPr>
              <w:jc w:val="cente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0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460" w:type="dxa"/>
            <w:vAlign w:val="bottom"/>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3,833</w:t>
            </w:r>
          </w:p>
        </w:tc>
        <w:tc>
          <w:tcPr>
            <w:tcW w:w="80" w:type="dxa"/>
            <w:vAlign w:val="bottom"/>
          </w:tcPr>
          <w:p>
            <w:pPr>
              <w:spacing w:after="0"/>
              <w:rPr>
                <w:sz w:val="19"/>
                <w:szCs w:val="19"/>
                <w:color w:val="auto"/>
              </w:rPr>
            </w:pPr>
          </w:p>
        </w:tc>
        <w:tc>
          <w:tcPr>
            <w:tcW w:w="680" w:type="dxa"/>
            <w:vAlign w:val="bottom"/>
            <w:gridSpan w:val="4"/>
          </w:tcPr>
          <w:p>
            <w:pPr>
              <w:ind w:left="2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 7,666</w:t>
            </w:r>
            <w:r>
              <w:rPr>
                <w:rFonts w:ascii="Arial" w:cs="Arial" w:eastAsia="Arial" w:hAnsi="Arial"/>
                <w:sz w:val="14"/>
                <w:szCs w:val="14"/>
                <w:color w:val="auto"/>
              </w:rPr>
              <w:t>​​</w:t>
            </w:r>
          </w:p>
        </w:tc>
        <w:tc>
          <w:tcPr>
            <w:tcW w:w="440" w:type="dxa"/>
            <w:vAlign w:val="bottom"/>
          </w:tcPr>
          <w:p>
            <w:pPr>
              <w:jc w:val="right"/>
              <w:spacing w:after="0" w:line="230" w:lineRule="exact"/>
              <w:rPr>
                <w:sz w:val="20"/>
                <w:szCs w:val="20"/>
                <w:color w:val="auto"/>
              </w:rPr>
            </w:pPr>
            <w:r>
              <w:rPr>
                <w:rFonts w:ascii="Arial" w:cs="Arial" w:eastAsia="Arial" w:hAnsi="Arial"/>
                <w:sz w:val="26"/>
                <w:szCs w:val="26"/>
                <w:color w:val="auto"/>
                <w:w w:val="97"/>
                <w:vertAlign w:val="superscript"/>
              </w:rPr>
              <w:t>​</w:t>
            </w:r>
            <w:r>
              <w:rPr>
                <w:rFonts w:ascii="Arial" w:cs="Arial" w:eastAsia="Arial" w:hAnsi="Arial"/>
                <w:sz w:val="14"/>
                <w:szCs w:val="14"/>
                <w:color w:val="auto"/>
                <w:w w:val="97"/>
              </w:rPr>
              <w:t>​15,332</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4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4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350,030</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tcBorders>
              <w:bottom w:val="single" w:sz="8" w:color="3C5896"/>
            </w:tcBorders>
            <w:shd w:val="clear" w:color="auto" w:fill="3C5896"/>
          </w:tcPr>
          <w:p>
            <w:pPr>
              <w:spacing w:after="0"/>
              <w:rPr>
                <w:sz w:val="18"/>
                <w:szCs w:val="18"/>
                <w:color w:val="auto"/>
              </w:rPr>
            </w:pPr>
          </w:p>
        </w:tc>
        <w:tc>
          <w:tcPr>
            <w:tcW w:w="300" w:type="dxa"/>
            <w:vAlign w:val="bottom"/>
            <w:tcBorders>
              <w:bottom w:val="single" w:sz="8" w:color="CCCCCC"/>
            </w:tcBorders>
            <w:shd w:val="clear" w:color="auto" w:fill="CCCCCC"/>
          </w:tcPr>
          <w:p>
            <w:pPr>
              <w:spacing w:after="0"/>
              <w:rPr>
                <w:sz w:val="18"/>
                <w:szCs w:val="18"/>
                <w:color w:val="auto"/>
              </w:rPr>
            </w:pPr>
          </w:p>
        </w:tc>
        <w:tc>
          <w:tcPr>
            <w:tcW w:w="1060" w:type="dxa"/>
            <w:vAlign w:val="bottom"/>
            <w:tcBorders>
              <w:bottom w:val="single" w:sz="8" w:color="CCCCCC"/>
            </w:tcBorders>
            <w:shd w:val="clear" w:color="auto" w:fill="CCCCCC"/>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CCCC"/>
            </w:tcBorders>
            <w:shd w:val="clear" w:color="auto" w:fill="CCCCCC"/>
          </w:tcPr>
          <w:p>
            <w:pP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highlight w:val="lightGray"/>
              </w:rPr>
              <w:t>​3/5/2021</w:t>
            </w:r>
          </w:p>
        </w:tc>
        <w:tc>
          <w:tcPr>
            <w:tcW w:w="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4"/>
                <w:szCs w:val="14"/>
                <w:color w:val="auto"/>
                <w:highlight w:val="lightGray"/>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CCCC"/>
            </w:tcBorders>
            <w:shd w:val="clear" w:color="auto" w:fill="CCCCCC"/>
          </w:tcPr>
          <w:p>
            <w:pPr>
              <w:spacing w:after="0"/>
              <w:rPr>
                <w:sz w:val="18"/>
                <w:szCs w:val="18"/>
                <w:color w:val="auto"/>
              </w:rPr>
            </w:pPr>
          </w:p>
        </w:tc>
        <w:tc>
          <w:tcPr>
            <w:tcW w:w="160" w:type="dxa"/>
            <w:vAlign w:val="bottom"/>
            <w:tcBorders>
              <w:right w:val="single" w:sz="8" w:color="CCCCCC"/>
            </w:tcBorders>
            <w:gridSpan w:val="3"/>
          </w:tcPr>
          <w:p>
            <w:pPr>
              <w:jc w:val="center"/>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CCCC"/>
            </w:tcBorders>
            <w:shd w:val="clear" w:color="auto" w:fill="CCCCCC"/>
          </w:tcPr>
          <w:p>
            <w:pPr>
              <w:jc w:val="right"/>
              <w:ind w:right="40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shd w:val="clear" w:color="auto" w:fill="CCCCCC"/>
          </w:tcPr>
          <w:p>
            <w:pPr>
              <w:jc w:val="right"/>
              <w:ind w:right="329"/>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8"/>
                <w:szCs w:val="18"/>
                <w:color w:val="auto"/>
              </w:rPr>
            </w:pPr>
          </w:p>
        </w:tc>
        <w:tc>
          <w:tcPr>
            <w:tcW w:w="440" w:type="dxa"/>
            <w:vAlign w:val="bottom"/>
            <w:tcBorders>
              <w:bottom w:val="single" w:sz="8" w:color="CCCCCC"/>
            </w:tcBorders>
            <w:shd w:val="clear" w:color="auto" w:fill="CCCCCC"/>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highlight w:val="lightGray"/>
              </w:rPr>
              <w:t>​ 3,833</w:t>
            </w:r>
          </w:p>
        </w:tc>
        <w:tc>
          <w:tcPr>
            <w:tcW w:w="100" w:type="dxa"/>
            <w:vAlign w:val="bottom"/>
            <w:tcBorders>
              <w:bottom w:val="single" w:sz="8" w:color="CCCCCC"/>
            </w:tcBorders>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highlight w:val="lightGray"/>
              </w:rPr>
              <w:t>​</w:t>
            </w:r>
          </w:p>
        </w:tc>
        <w:tc>
          <w:tcPr>
            <w:tcW w:w="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440" w:type="dxa"/>
            <w:vAlign w:val="bottom"/>
            <w:tcBorders>
              <w:bottom w:val="single" w:sz="8" w:color="CCCCCC"/>
            </w:tcBorders>
            <w:shd w:val="clear" w:color="auto" w:fill="CCCCCC"/>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color w:val="auto"/>
                <w:highlight w:val="lightGray"/>
              </w:rPr>
              <w:t>​</w:t>
            </w:r>
          </w:p>
        </w:tc>
        <w:tc>
          <w:tcPr>
            <w:tcW w:w="6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175,015</w:t>
            </w:r>
          </w:p>
        </w:tc>
        <w:tc>
          <w:tcPr>
            <w:tcW w:w="80" w:type="dxa"/>
            <w:vAlign w:val="bottom"/>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3C5896"/>
          </w:tcPr>
          <w:p>
            <w:pPr>
              <w:spacing w:after="0"/>
              <w:rPr>
                <w:sz w:val="19"/>
                <w:szCs w:val="19"/>
                <w:color w:val="auto"/>
              </w:rPr>
            </w:pPr>
          </w:p>
        </w:tc>
        <w:tc>
          <w:tcPr>
            <w:tcW w:w="300" w:type="dxa"/>
            <w:vAlign w:val="bottom"/>
            <w:shd w:val="clear" w:color="auto" w:fill="CCCCCC"/>
          </w:tcPr>
          <w:p>
            <w:pPr>
              <w:spacing w:after="0"/>
              <w:rPr>
                <w:sz w:val="19"/>
                <w:szCs w:val="19"/>
                <w:color w:val="auto"/>
              </w:rPr>
            </w:pPr>
          </w:p>
        </w:tc>
        <w:tc>
          <w:tcPr>
            <w:tcW w:w="1060" w:type="dxa"/>
            <w:vAlign w:val="bottom"/>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CCCC"/>
          </w:tcPr>
          <w:p>
            <w:pPr>
              <w:spacing w:after="0" w:line="230" w:lineRule="exact"/>
              <w:rPr>
                <w:sz w:val="20"/>
                <w:szCs w:val="20"/>
                <w:color w:val="auto"/>
              </w:rPr>
            </w:pPr>
            <w:r>
              <w:rPr>
                <w:rFonts w:ascii="Arial" w:cs="Arial" w:eastAsia="Arial" w:hAnsi="Arial"/>
                <w:sz w:val="26"/>
                <w:szCs w:val="26"/>
                <w:color w:val="auto"/>
                <w:w w:val="99"/>
                <w:vertAlign w:val="superscript"/>
              </w:rPr>
              <w:t>​</w:t>
            </w:r>
            <w:r>
              <w:rPr>
                <w:rFonts w:ascii="Arial" w:cs="Arial" w:eastAsia="Arial" w:hAnsi="Arial"/>
                <w:sz w:val="14"/>
                <w:szCs w:val="14"/>
                <w:color w:val="auto"/>
                <w:w w:val="99"/>
              </w:rPr>
              <w:t>​3/5/2021</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CCCC"/>
          </w:tcPr>
          <w:p>
            <w:pPr>
              <w:spacing w:after="0"/>
              <w:rPr>
                <w:sz w:val="19"/>
                <w:szCs w:val="19"/>
                <w:color w:val="auto"/>
              </w:rPr>
            </w:pPr>
          </w:p>
        </w:tc>
        <w:tc>
          <w:tcPr>
            <w:tcW w:w="160" w:type="dxa"/>
            <w:vAlign w:val="bottom"/>
            <w:tcBorders>
              <w:right w:val="single" w:sz="8" w:color="CCCCCC"/>
            </w:tcBorders>
            <w:gridSpan w:val="3"/>
          </w:tcPr>
          <w:p>
            <w:pPr>
              <w:jc w:val="center"/>
              <w:spacing w:after="0"/>
              <w:rPr>
                <w:sz w:val="20"/>
                <w:szCs w:val="20"/>
                <w:color w:val="auto"/>
              </w:rPr>
            </w:pPr>
            <w:r>
              <w:rPr>
                <w:rFonts w:ascii="Arial" w:cs="Arial" w:eastAsia="Arial" w:hAnsi="Arial"/>
                <w:sz w:val="14"/>
                <w:szCs w:val="14"/>
                <w:color w:val="auto"/>
              </w:rPr>
              <w:t>​​​​</w:t>
            </w:r>
          </w:p>
        </w:tc>
        <w:tc>
          <w:tcPr>
            <w:tcW w:w="520" w:type="dxa"/>
            <w:vAlign w:val="bottom"/>
            <w:shd w:val="clear" w:color="auto" w:fill="CCCCCC"/>
          </w:tcPr>
          <w:p>
            <w:pPr>
              <w:jc w:val="right"/>
              <w:ind w:right="40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CCCC"/>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jc w:val="right"/>
              <w:ind w:right="329"/>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9"/>
                <w:szCs w:val="19"/>
                <w:color w:val="auto"/>
              </w:rPr>
            </w:pPr>
          </w:p>
        </w:tc>
        <w:tc>
          <w:tcPr>
            <w:tcW w:w="440" w:type="dxa"/>
            <w:vAlign w:val="bottom"/>
            <w:shd w:val="clear" w:color="auto" w:fill="CCCCCC"/>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40" w:type="dxa"/>
            <w:vAlign w:val="bottom"/>
            <w:shd w:val="clear" w:color="auto" w:fill="CCCCCC"/>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7,557</w:t>
            </w: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80" w:type="dxa"/>
            <w:vAlign w:val="bottom"/>
            <w:shd w:val="clear" w:color="auto" w:fill="CCCCCC"/>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​45.66</w:t>
            </w:r>
          </w:p>
        </w:tc>
        <w:tc>
          <w:tcPr>
            <w:tcW w:w="16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175,020</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shd w:val="clear" w:color="auto" w:fill="3C5896"/>
          </w:tcPr>
          <w:p>
            <w:pPr>
              <w:spacing w:after="0"/>
              <w:rPr>
                <w:sz w:val="14"/>
                <w:szCs w:val="14"/>
                <w:color w:val="auto"/>
              </w:rPr>
            </w:pPr>
          </w:p>
        </w:tc>
        <w:tc>
          <w:tcPr>
            <w:tcW w:w="1360" w:type="dxa"/>
            <w:vAlign w:val="bottom"/>
            <w:gridSpan w:val="2"/>
          </w:tcPr>
          <w:p>
            <w:pPr>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Roger Francis</w:t>
            </w:r>
          </w:p>
        </w:tc>
        <w:tc>
          <w:tcPr>
            <w:tcW w:w="660" w:type="dxa"/>
            <w:vAlign w:val="bottom"/>
            <w:gridSpan w:val="4"/>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540" w:type="dxa"/>
            <w:vAlign w:val="bottom"/>
            <w:gridSpan w:val="12"/>
          </w:tcPr>
          <w:p>
            <w:pPr>
              <w:jc w:val="right"/>
              <w:spacing w:after="0" w:line="166" w:lineRule="exact"/>
              <w:rPr>
                <w:sz w:val="20"/>
                <w:szCs w:val="20"/>
                <w:color w:val="auto"/>
              </w:rPr>
            </w:pPr>
            <w:r>
              <w:rPr>
                <w:rFonts w:ascii="Arial" w:cs="Arial" w:eastAsia="Arial" w:hAnsi="Arial"/>
                <w:sz w:val="19"/>
                <w:szCs w:val="19"/>
                <w:color w:val="auto"/>
                <w:vertAlign w:val="superscript"/>
              </w:rPr>
              <w:t>​​​​ ​</w:t>
            </w:r>
            <w:r>
              <w:rPr>
                <w:rFonts w:ascii="Arial" w:cs="Arial" w:eastAsia="Arial" w:hAnsi="Arial"/>
                <w:sz w:val="11"/>
                <w:szCs w:val="11"/>
                <w:color w:val="auto"/>
              </w:rPr>
              <w:t xml:space="preserve">​112,500 </w:t>
            </w:r>
            <w:r>
              <w:rPr>
                <w:rFonts w:ascii="Arial" w:cs="Arial" w:eastAsia="Arial" w:hAnsi="Arial"/>
                <w:sz w:val="19"/>
                <w:szCs w:val="19"/>
                <w:color w:val="auto"/>
                <w:vertAlign w:val="superscript"/>
              </w:rPr>
              <w:t>​​​​</w:t>
            </w:r>
            <w:r>
              <w:rPr>
                <w:rFonts w:ascii="Arial" w:cs="Arial" w:eastAsia="Arial" w:hAnsi="Arial"/>
                <w:sz w:val="11"/>
                <w:szCs w:val="11"/>
                <w:color w:val="auto"/>
              </w:rPr>
              <w:t>​225,000</w:t>
            </w: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700" w:type="dxa"/>
            <w:vAlign w:val="bottom"/>
            <w:gridSpan w:val="3"/>
          </w:tcPr>
          <w:p>
            <w:pPr>
              <w:jc w:val="right"/>
              <w:spacing w:after="0" w:line="166" w:lineRule="exact"/>
              <w:rPr>
                <w:sz w:val="20"/>
                <w:szCs w:val="20"/>
                <w:color w:val="auto"/>
              </w:rPr>
            </w:pPr>
            <w:r>
              <w:rPr>
                <w:rFonts w:ascii="Arial" w:cs="Arial" w:eastAsia="Arial" w:hAnsi="Arial"/>
                <w:sz w:val="11"/>
                <w:szCs w:val="11"/>
                <w:color w:val="auto"/>
              </w:rPr>
              <w:t>450,000</w:t>
            </w:r>
            <w:r>
              <w:rPr>
                <w:rFonts w:ascii="Arial" w:cs="Arial" w:eastAsia="Arial" w:hAnsi="Arial"/>
                <w:sz w:val="19"/>
                <w:szCs w:val="19"/>
                <w:color w:val="auto"/>
                <w:vertAlign w:val="superscript"/>
              </w:rPr>
              <w: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​5/3/2021 </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26"/>
                <w:szCs w:val="26"/>
                <w:b w:val="1"/>
                <w:bCs w:val="1"/>
                <w:color w:val="auto"/>
                <w:vertAlign w:val="superscript"/>
              </w:rPr>
              <w:t>​</w:t>
            </w:r>
          </w:p>
        </w:tc>
        <w:tc>
          <w:tcPr>
            <w:tcW w:w="440" w:type="dxa"/>
            <w:vAlign w:val="bottom"/>
          </w:tcPr>
          <w:p>
            <w:pPr>
              <w:spacing w:after="0"/>
              <w:rPr>
                <w:sz w:val="19"/>
                <w:szCs w:val="19"/>
                <w:color w:val="auto"/>
              </w:rPr>
            </w:pPr>
          </w:p>
        </w:tc>
        <w:tc>
          <w:tcPr>
            <w:tcW w:w="680" w:type="dxa"/>
            <w:vAlign w:val="bottom"/>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3,359</w:t>
            </w:r>
          </w:p>
        </w:tc>
        <w:tc>
          <w:tcPr>
            <w:tcW w:w="80" w:type="dxa"/>
            <w:vAlign w:val="bottom"/>
          </w:tcPr>
          <w:p>
            <w:pPr>
              <w:spacing w:after="0"/>
              <w:rPr>
                <w:sz w:val="19"/>
                <w:szCs w:val="19"/>
                <w:color w:val="auto"/>
              </w:rPr>
            </w:pPr>
          </w:p>
        </w:tc>
        <w:tc>
          <w:tcPr>
            <w:tcW w:w="1120" w:type="dxa"/>
            <w:vAlign w:val="bottom"/>
            <w:gridSpan w:val="5"/>
          </w:tcPr>
          <w:p>
            <w:pPr>
              <w:ind w:left="2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6,717</w:t>
            </w:r>
            <w:r>
              <w:rPr>
                <w:rFonts w:ascii="Arial" w:cs="Arial" w:eastAsia="Arial" w:hAnsi="Arial"/>
                <w:sz w:val="26"/>
                <w:szCs w:val="26"/>
                <w:color w:val="auto"/>
                <w:vertAlign w:val="superscript"/>
              </w:rPr>
              <w:t>​​ ​</w:t>
            </w:r>
            <w:r>
              <w:rPr>
                <w:rFonts w:ascii="Arial" w:cs="Arial" w:eastAsia="Arial" w:hAnsi="Arial"/>
                <w:sz w:val="14"/>
                <w:szCs w:val="14"/>
                <w:color w:val="auto"/>
              </w:rPr>
              <w:t>​13,434</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350,023</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3C5896"/>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​5/3/2021 </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26"/>
                <w:szCs w:val="26"/>
                <w:b w:val="1"/>
                <w:bCs w:val="1"/>
                <w:color w:val="auto"/>
                <w:vertAlign w:val="superscript"/>
              </w:rPr>
              <w:t>​</w:t>
            </w:r>
          </w:p>
        </w:tc>
        <w:tc>
          <w:tcPr>
            <w:tcW w:w="440" w:type="dxa"/>
            <w:vAlign w:val="bottom"/>
          </w:tcPr>
          <w:p>
            <w:pPr>
              <w:spacing w:after="0"/>
              <w:rPr>
                <w:sz w:val="19"/>
                <w:szCs w:val="19"/>
                <w:color w:val="auto"/>
              </w:rPr>
            </w:pPr>
          </w:p>
        </w:tc>
        <w:tc>
          <w:tcPr>
            <w:tcW w:w="680" w:type="dxa"/>
            <w:vAlign w:val="bottom"/>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3,359</w:t>
            </w:r>
          </w:p>
        </w:tc>
        <w:tc>
          <w:tcPr>
            <w:tcW w:w="100" w:type="dxa"/>
            <w:vAlign w:val="bottom"/>
          </w:tcPr>
          <w:p>
            <w:pPr>
              <w:spacing w:after="0"/>
              <w:rPr>
                <w:sz w:val="19"/>
                <w:szCs w:val="19"/>
                <w:color w:val="auto"/>
              </w:rPr>
            </w:pP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175,037</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​5/3/2021 </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26"/>
                <w:szCs w:val="26"/>
                <w:b w:val="1"/>
                <w:bCs w:val="1"/>
                <w:color w:val="auto"/>
                <w:vertAlign w:val="superscript"/>
              </w:rPr>
              <w:t>​</w:t>
            </w:r>
          </w:p>
        </w:tc>
        <w:tc>
          <w:tcPr>
            <w:tcW w:w="440" w:type="dxa"/>
            <w:vAlign w:val="bottom"/>
          </w:tcPr>
          <w:p>
            <w:pPr>
              <w:spacing w:after="0"/>
              <w:rPr>
                <w:sz w:val="19"/>
                <w:szCs w:val="19"/>
                <w:color w:val="auto"/>
              </w:rPr>
            </w:pPr>
          </w:p>
        </w:tc>
        <w:tc>
          <w:tcPr>
            <w:tcW w:w="680" w:type="dxa"/>
            <w:vAlign w:val="bottom"/>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6,685</w:t>
            </w: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​52.11</w:t>
            </w:r>
          </w:p>
        </w:tc>
        <w:tc>
          <w:tcPr>
            <w:tcW w:w="160" w:type="dxa"/>
            <w:vAlign w:val="bottom"/>
          </w:tcPr>
          <w:p>
            <w:pPr>
              <w:spacing w:after="0"/>
              <w:rPr>
                <w:sz w:val="19"/>
                <w:szCs w:val="19"/>
                <w:color w:val="auto"/>
              </w:rPr>
            </w:pPr>
          </w:p>
        </w:tc>
        <w:tc>
          <w:tcPr>
            <w:tcW w:w="180" w:type="dxa"/>
            <w:vAlign w:val="bottom"/>
            <w:gridSpan w:val="3"/>
          </w:tcPr>
          <w:p>
            <w:pPr>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175,013</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shd w:val="clear" w:color="auto" w:fill="3C5896"/>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c>
          <w:tcPr>
            <w:tcW w:w="700" w:type="dxa"/>
            <w:vAlign w:val="bottom"/>
            <w:gridSpan w:val="3"/>
            <w:vMerge w:val="restart"/>
          </w:tcPr>
          <w:p>
            <w:pPr>
              <w:jc w:val="right"/>
              <w:spacing w:after="0" w:line="253" w:lineRule="exact"/>
              <w:rPr>
                <w:sz w:val="20"/>
                <w:szCs w:val="20"/>
                <w:color w:val="auto"/>
              </w:rPr>
            </w:pPr>
            <w:r>
              <w:rPr>
                <w:rFonts w:ascii="Arial" w:cs="Arial" w:eastAsia="Arial" w:hAnsi="Arial"/>
                <w:sz w:val="14"/>
                <w:szCs w:val="14"/>
                <w:color w:val="auto"/>
              </w:rPr>
              <w:t>385,000</w:t>
            </w:r>
            <w:r>
              <w:rPr>
                <w:rFonts w:ascii="Arial" w:cs="Arial" w:eastAsia="Arial" w:hAnsi="Arial"/>
                <w:sz w:val="28"/>
                <w:szCs w:val="28"/>
                <w:color w:val="auto"/>
                <w:vertAlign w:val="superscript"/>
              </w:rPr>
              <w:t>​​</w:t>
            </w: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vMerge w:val="restart"/>
          </w:tcPr>
          <w:p>
            <w:pPr>
              <w:spacing w:after="0" w:line="25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00" w:type="dxa"/>
            <w:vAlign w:val="bottom"/>
          </w:tcPr>
          <w:p>
            <w:pPr>
              <w:spacing w:after="0" w:line="20" w:lineRule="exact"/>
              <w:rPr>
                <w:sz w:val="1"/>
                <w:szCs w:val="1"/>
                <w:color w:val="auto"/>
              </w:rPr>
            </w:pPr>
          </w:p>
        </w:tc>
        <w:tc>
          <w:tcPr>
            <w:tcW w:w="80" w:type="dxa"/>
            <w:vAlign w:val="bottom"/>
            <w:vMerge w:val="restart"/>
          </w:tcPr>
          <w:p>
            <w:pPr>
              <w:jc w:val="right"/>
              <w:spacing w:after="0" w:line="25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1360" w:type="dxa"/>
            <w:vAlign w:val="bottom"/>
            <w:gridSpan w:val="2"/>
            <w:shd w:val="clear" w:color="auto" w:fill="CCCCCC"/>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Jared Brandman</w:t>
            </w:r>
          </w:p>
        </w:tc>
        <w:tc>
          <w:tcPr>
            <w:tcW w:w="660" w:type="dxa"/>
            <w:vAlign w:val="bottom"/>
            <w:gridSpan w:val="4"/>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1280" w:type="dxa"/>
            <w:vAlign w:val="bottom"/>
            <w:gridSpan w:val="8"/>
          </w:tcPr>
          <w:p>
            <w:pPr>
              <w:jc w:val="cente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96,250 </w:t>
            </w:r>
            <w:r>
              <w:rPr>
                <w:rFonts w:ascii="Arial" w:cs="Arial" w:eastAsia="Arial" w:hAnsi="Arial"/>
                <w:sz w:val="26"/>
                <w:szCs w:val="26"/>
                <w:color w:val="auto"/>
                <w:vertAlign w:val="superscript"/>
              </w:rPr>
              <w:t>​​​​</w:t>
            </w:r>
            <w:r>
              <w:rPr>
                <w:rFonts w:ascii="Arial" w:cs="Arial" w:eastAsia="Arial" w:hAnsi="Arial"/>
                <w:sz w:val="14"/>
                <w:szCs w:val="14"/>
                <w:color w:val="auto"/>
                <w:highlight w:val="lightGray"/>
              </w:rPr>
              <w:t>​192,500</w:t>
            </w:r>
          </w:p>
        </w:tc>
        <w:tc>
          <w:tcPr>
            <w:tcW w:w="140" w:type="dxa"/>
            <w:vAlign w:val="bottom"/>
            <w:gridSpan w:val="2"/>
          </w:tcPr>
          <w:p>
            <w:pPr>
              <w:jc w:val="right"/>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700" w:type="dxa"/>
            <w:vAlign w:val="bottom"/>
            <w:gridSpan w:val="3"/>
            <w:vMerge w:val="continue"/>
          </w:tcPr>
          <w:p>
            <w:pPr>
              <w:spacing w:after="0"/>
              <w:rPr>
                <w:sz w:val="19"/>
                <w:szCs w:val="19"/>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00" w:type="dxa"/>
            <w:vAlign w:val="bottom"/>
            <w:shd w:val="clear" w:color="auto" w:fill="CCCCCC"/>
          </w:tcPr>
          <w:p>
            <w:pPr>
              <w:spacing w:after="0"/>
              <w:rPr>
                <w:sz w:val="19"/>
                <w:szCs w:val="19"/>
                <w:color w:val="auto"/>
              </w:rPr>
            </w:pPr>
          </w:p>
        </w:tc>
        <w:tc>
          <w:tcPr>
            <w:tcW w:w="1060" w:type="dxa"/>
            <w:vAlign w:val="bottom"/>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highlight w:val="lightGray"/>
              </w:rPr>
              <w:t xml:space="preserve">​3/5/2021 </w:t>
            </w:r>
            <w:r>
              <w:rPr>
                <w:rFonts w:ascii="Arial" w:cs="Arial" w:eastAsia="Arial" w:hAnsi="Arial"/>
                <w:sz w:val="26"/>
                <w:szCs w:val="26"/>
                <w:color w:val="auto"/>
                <w:highlight w:val="lightGray"/>
                <w:vertAlign w:val="superscript"/>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9"/>
                <w:szCs w:val="19"/>
                <w:color w:val="auto"/>
              </w:rPr>
            </w:pPr>
          </w:p>
        </w:tc>
        <w:tc>
          <w:tcPr>
            <w:tcW w:w="160" w:type="dxa"/>
            <w:vAlign w:val="bottom"/>
            <w:tcBorders>
              <w:right w:val="single" w:sz="8" w:color="CCCCCC"/>
            </w:tcBorders>
            <w:gridSpan w:val="3"/>
          </w:tcPr>
          <w:p>
            <w:pPr>
              <w:jc w:val="center"/>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0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460" w:type="dxa"/>
            <w:vAlign w:val="bottom"/>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1,917</w:t>
            </w:r>
          </w:p>
        </w:tc>
        <w:tc>
          <w:tcPr>
            <w:tcW w:w="80" w:type="dxa"/>
            <w:vAlign w:val="bottom"/>
          </w:tcPr>
          <w:p>
            <w:pPr>
              <w:spacing w:after="0"/>
              <w:rPr>
                <w:sz w:val="19"/>
                <w:szCs w:val="19"/>
                <w:color w:val="auto"/>
              </w:rPr>
            </w:pPr>
          </w:p>
        </w:tc>
        <w:tc>
          <w:tcPr>
            <w:tcW w:w="680" w:type="dxa"/>
            <w:vAlign w:val="bottom"/>
            <w:gridSpan w:val="4"/>
          </w:tcPr>
          <w:p>
            <w:pPr>
              <w:ind w:left="20"/>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 3,833</w:t>
            </w:r>
            <w:r>
              <w:rPr>
                <w:rFonts w:ascii="Arial" w:cs="Arial" w:eastAsia="Arial" w:hAnsi="Arial"/>
                <w:sz w:val="14"/>
                <w:szCs w:val="14"/>
                <w:color w:val="auto"/>
              </w:rPr>
              <w:t>​​</w:t>
            </w:r>
          </w:p>
        </w:tc>
        <w:tc>
          <w:tcPr>
            <w:tcW w:w="440" w:type="dxa"/>
            <w:vAlign w:val="bottom"/>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7,666</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4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4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175,015</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3C5896"/>
            </w:tcBorders>
            <w:shd w:val="clear" w:color="auto" w:fill="3C5896"/>
          </w:tcPr>
          <w:p>
            <w:pPr>
              <w:spacing w:after="0"/>
              <w:rPr>
                <w:sz w:val="18"/>
                <w:szCs w:val="18"/>
                <w:color w:val="auto"/>
              </w:rPr>
            </w:pPr>
          </w:p>
        </w:tc>
        <w:tc>
          <w:tcPr>
            <w:tcW w:w="300" w:type="dxa"/>
            <w:vAlign w:val="bottom"/>
            <w:tcBorders>
              <w:bottom w:val="single" w:sz="8" w:color="CCCCCC"/>
            </w:tcBorders>
            <w:shd w:val="clear" w:color="auto" w:fill="CCCCCC"/>
          </w:tcPr>
          <w:p>
            <w:pPr>
              <w:spacing w:after="0"/>
              <w:rPr>
                <w:sz w:val="18"/>
                <w:szCs w:val="18"/>
                <w:color w:val="auto"/>
              </w:rPr>
            </w:pPr>
          </w:p>
        </w:tc>
        <w:tc>
          <w:tcPr>
            <w:tcW w:w="1060" w:type="dxa"/>
            <w:vAlign w:val="bottom"/>
            <w:tcBorders>
              <w:bottom w:val="single" w:sz="8" w:color="CCCCCC"/>
            </w:tcBorders>
            <w:shd w:val="clear" w:color="auto" w:fill="CCCCCC"/>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CCCC"/>
            </w:tcBorders>
            <w:shd w:val="clear" w:color="auto" w:fill="CCCCCC"/>
          </w:tcPr>
          <w:p>
            <w:pPr>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highlight w:val="lightGray"/>
              </w:rPr>
              <w:t>​3/5/2021</w:t>
            </w:r>
          </w:p>
        </w:tc>
        <w:tc>
          <w:tcPr>
            <w:tcW w:w="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4"/>
                <w:szCs w:val="14"/>
                <w:color w:val="auto"/>
                <w:highlight w:val="lightGray"/>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CCCC"/>
            </w:tcBorders>
            <w:shd w:val="clear" w:color="auto" w:fill="CCCCCC"/>
          </w:tcPr>
          <w:p>
            <w:pPr>
              <w:spacing w:after="0"/>
              <w:rPr>
                <w:sz w:val="18"/>
                <w:szCs w:val="18"/>
                <w:color w:val="auto"/>
              </w:rPr>
            </w:pPr>
          </w:p>
        </w:tc>
        <w:tc>
          <w:tcPr>
            <w:tcW w:w="160" w:type="dxa"/>
            <w:vAlign w:val="bottom"/>
            <w:tcBorders>
              <w:right w:val="single" w:sz="8" w:color="CCCCCC"/>
            </w:tcBorders>
            <w:gridSpan w:val="3"/>
          </w:tcPr>
          <w:p>
            <w:pPr>
              <w:jc w:val="center"/>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CCCC"/>
            </w:tcBorders>
            <w:shd w:val="clear" w:color="auto" w:fill="CCCCCC"/>
          </w:tcPr>
          <w:p>
            <w:pPr>
              <w:jc w:val="right"/>
              <w:ind w:right="40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CCCC"/>
            </w:tcBorders>
            <w:shd w:val="clear" w:color="auto" w:fill="CCCCCC"/>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CCCC"/>
            </w:tcBorders>
            <w:shd w:val="clear" w:color="auto" w:fill="CCCCCC"/>
          </w:tcPr>
          <w:p>
            <w:pPr>
              <w:jc w:val="right"/>
              <w:ind w:right="329"/>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8"/>
                <w:szCs w:val="18"/>
                <w:color w:val="auto"/>
              </w:rPr>
            </w:pPr>
          </w:p>
        </w:tc>
        <w:tc>
          <w:tcPr>
            <w:tcW w:w="440" w:type="dxa"/>
            <w:vAlign w:val="bottom"/>
            <w:tcBorders>
              <w:bottom w:val="single" w:sz="8" w:color="CCCCCC"/>
            </w:tcBorders>
            <w:shd w:val="clear" w:color="auto" w:fill="CCCCCC"/>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highlight w:val="lightGray"/>
              </w:rPr>
              <w:t>​ 1,917</w:t>
            </w:r>
          </w:p>
        </w:tc>
        <w:tc>
          <w:tcPr>
            <w:tcW w:w="100" w:type="dxa"/>
            <w:vAlign w:val="bottom"/>
            <w:tcBorders>
              <w:bottom w:val="single" w:sz="8" w:color="CCCCCC"/>
            </w:tcBorders>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highlight w:val="lightGray"/>
              </w:rPr>
              <w:t>​</w:t>
            </w:r>
          </w:p>
        </w:tc>
        <w:tc>
          <w:tcPr>
            <w:tcW w:w="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440" w:type="dxa"/>
            <w:vAlign w:val="bottom"/>
            <w:tcBorders>
              <w:bottom w:val="single" w:sz="8" w:color="CCCCCC"/>
            </w:tcBorders>
            <w:shd w:val="clear" w:color="auto" w:fill="CCCCCC"/>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color w:val="auto"/>
                <w:highlight w:val="lightGray"/>
              </w:rPr>
              <w:t>​</w:t>
            </w:r>
          </w:p>
        </w:tc>
        <w:tc>
          <w:tcPr>
            <w:tcW w:w="6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87,530</w:t>
            </w:r>
          </w:p>
        </w:tc>
        <w:tc>
          <w:tcPr>
            <w:tcW w:w="80" w:type="dxa"/>
            <w:vAlign w:val="bottom"/>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00" w:type="dxa"/>
            <w:vAlign w:val="bottom"/>
            <w:shd w:val="clear" w:color="auto" w:fill="CCCCCC"/>
          </w:tcPr>
          <w:p>
            <w:pPr>
              <w:spacing w:after="0"/>
              <w:rPr>
                <w:sz w:val="19"/>
                <w:szCs w:val="19"/>
                <w:color w:val="auto"/>
              </w:rPr>
            </w:pPr>
          </w:p>
        </w:tc>
        <w:tc>
          <w:tcPr>
            <w:tcW w:w="1060" w:type="dxa"/>
            <w:vAlign w:val="bottom"/>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CCCC"/>
          </w:tcPr>
          <w:p>
            <w:pPr>
              <w:spacing w:after="0" w:line="230" w:lineRule="exact"/>
              <w:rPr>
                <w:sz w:val="20"/>
                <w:szCs w:val="20"/>
                <w:color w:val="auto"/>
              </w:rPr>
            </w:pPr>
            <w:r>
              <w:rPr>
                <w:rFonts w:ascii="Arial" w:cs="Arial" w:eastAsia="Arial" w:hAnsi="Arial"/>
                <w:sz w:val="26"/>
                <w:szCs w:val="26"/>
                <w:color w:val="auto"/>
                <w:w w:val="99"/>
                <w:vertAlign w:val="superscript"/>
              </w:rPr>
              <w:t>​</w:t>
            </w:r>
            <w:r>
              <w:rPr>
                <w:rFonts w:ascii="Arial" w:cs="Arial" w:eastAsia="Arial" w:hAnsi="Arial"/>
                <w:sz w:val="14"/>
                <w:szCs w:val="14"/>
                <w:color w:val="auto"/>
                <w:w w:val="99"/>
              </w:rPr>
              <w:t>​3/5/2021</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CCCC"/>
          </w:tcPr>
          <w:p>
            <w:pPr>
              <w:spacing w:after="0"/>
              <w:rPr>
                <w:sz w:val="19"/>
                <w:szCs w:val="19"/>
                <w:color w:val="auto"/>
              </w:rPr>
            </w:pPr>
          </w:p>
        </w:tc>
        <w:tc>
          <w:tcPr>
            <w:tcW w:w="160" w:type="dxa"/>
            <w:vAlign w:val="bottom"/>
            <w:tcBorders>
              <w:right w:val="single" w:sz="8" w:color="CCCCCC"/>
            </w:tcBorders>
            <w:gridSpan w:val="3"/>
          </w:tcPr>
          <w:p>
            <w:pPr>
              <w:jc w:val="center"/>
              <w:spacing w:after="0"/>
              <w:rPr>
                <w:sz w:val="20"/>
                <w:szCs w:val="20"/>
                <w:color w:val="auto"/>
              </w:rPr>
            </w:pPr>
            <w:r>
              <w:rPr>
                <w:rFonts w:ascii="Arial" w:cs="Arial" w:eastAsia="Arial" w:hAnsi="Arial"/>
                <w:sz w:val="14"/>
                <w:szCs w:val="14"/>
                <w:color w:val="auto"/>
              </w:rPr>
              <w:t>​​​​</w:t>
            </w:r>
          </w:p>
        </w:tc>
        <w:tc>
          <w:tcPr>
            <w:tcW w:w="520" w:type="dxa"/>
            <w:vAlign w:val="bottom"/>
            <w:shd w:val="clear" w:color="auto" w:fill="CCCCCC"/>
          </w:tcPr>
          <w:p>
            <w:pPr>
              <w:jc w:val="right"/>
              <w:ind w:right="409"/>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CCCC"/>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CCCC"/>
          </w:tcPr>
          <w:p>
            <w:pPr>
              <w:jc w:val="right"/>
              <w:ind w:right="329"/>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9"/>
                <w:szCs w:val="19"/>
                <w:color w:val="auto"/>
              </w:rPr>
            </w:pPr>
          </w:p>
        </w:tc>
        <w:tc>
          <w:tcPr>
            <w:tcW w:w="440" w:type="dxa"/>
            <w:vAlign w:val="bottom"/>
            <w:shd w:val="clear" w:color="auto" w:fill="CCCCCC"/>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40" w:type="dxa"/>
            <w:vAlign w:val="bottom"/>
            <w:shd w:val="clear" w:color="auto" w:fill="CCCCCC"/>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3,779</w:t>
            </w:r>
          </w:p>
        </w:tc>
        <w:tc>
          <w:tcPr>
            <w:tcW w:w="10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380" w:type="dxa"/>
            <w:vAlign w:val="bottom"/>
            <w:shd w:val="clear" w:color="auto" w:fill="CCCCCC"/>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​45.66</w:t>
            </w:r>
          </w:p>
        </w:tc>
        <w:tc>
          <w:tcPr>
            <w:tcW w:w="16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87,522</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shd w:val="clear" w:color="auto" w:fill="3C5896"/>
          </w:tcPr>
          <w:p>
            <w:pPr>
              <w:spacing w:after="0"/>
              <w:rPr>
                <w:sz w:val="14"/>
                <w:szCs w:val="14"/>
                <w:color w:val="auto"/>
              </w:rPr>
            </w:pPr>
          </w:p>
        </w:tc>
        <w:tc>
          <w:tcPr>
            <w:tcW w:w="1360" w:type="dxa"/>
            <w:vAlign w:val="bottom"/>
            <w:gridSpan w:val="2"/>
          </w:tcPr>
          <w:p>
            <w:pPr>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Bill Clark</w:t>
            </w:r>
          </w:p>
        </w:tc>
        <w:tc>
          <w:tcPr>
            <w:tcW w:w="660" w:type="dxa"/>
            <w:vAlign w:val="bottom"/>
            <w:gridSpan w:val="4"/>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740" w:type="dxa"/>
            <w:vAlign w:val="bottom"/>
            <w:gridSpan w:val="6"/>
          </w:tcPr>
          <w:p>
            <w:pPr>
              <w:spacing w:after="0" w:line="166" w:lineRule="exact"/>
              <w:rPr>
                <w:sz w:val="20"/>
                <w:szCs w:val="20"/>
                <w:color w:val="auto"/>
              </w:rPr>
            </w:pPr>
            <w:r>
              <w:rPr>
                <w:rFonts w:ascii="Arial" w:cs="Arial" w:eastAsia="Arial" w:hAnsi="Arial"/>
                <w:sz w:val="19"/>
                <w:szCs w:val="19"/>
                <w:color w:val="auto"/>
                <w:vertAlign w:val="superscript"/>
              </w:rPr>
              <w:t>​​​​ ​</w:t>
            </w:r>
            <w:r>
              <w:rPr>
                <w:rFonts w:ascii="Arial" w:cs="Arial" w:eastAsia="Arial" w:hAnsi="Arial"/>
                <w:sz w:val="11"/>
                <w:szCs w:val="11"/>
                <w:color w:val="auto"/>
              </w:rPr>
              <w:t>​ 90,125</w:t>
            </w:r>
          </w:p>
        </w:tc>
        <w:tc>
          <w:tcPr>
            <w:tcW w:w="800" w:type="dxa"/>
            <w:vAlign w:val="bottom"/>
            <w:gridSpan w:val="6"/>
          </w:tcPr>
          <w:p>
            <w:pPr>
              <w:jc w:val="right"/>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​180,250</w:t>
            </w: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700" w:type="dxa"/>
            <w:vAlign w:val="bottom"/>
            <w:gridSpan w:val="3"/>
          </w:tcPr>
          <w:p>
            <w:pPr>
              <w:jc w:val="right"/>
              <w:spacing w:after="0" w:line="166" w:lineRule="exact"/>
              <w:rPr>
                <w:sz w:val="20"/>
                <w:szCs w:val="20"/>
                <w:color w:val="auto"/>
              </w:rPr>
            </w:pPr>
            <w:r>
              <w:rPr>
                <w:rFonts w:ascii="Arial" w:cs="Arial" w:eastAsia="Arial" w:hAnsi="Arial"/>
                <w:sz w:val="11"/>
                <w:szCs w:val="11"/>
                <w:color w:val="auto"/>
              </w:rPr>
              <w:t>360,500</w:t>
            </w:r>
            <w:r>
              <w:rPr>
                <w:rFonts w:ascii="Arial" w:cs="Arial" w:eastAsia="Arial" w:hAnsi="Arial"/>
                <w:sz w:val="19"/>
                <w:szCs w:val="19"/>
                <w:color w:val="auto"/>
                <w:vertAlign w:val="superscript"/>
              </w:rPr>
              <w: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​3/5/2021 </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26"/>
                <w:szCs w:val="26"/>
                <w:b w:val="1"/>
                <w:bCs w:val="1"/>
                <w:color w:val="auto"/>
                <w:vertAlign w:val="superscript"/>
              </w:rPr>
              <w:t>​</w:t>
            </w:r>
          </w:p>
        </w:tc>
        <w:tc>
          <w:tcPr>
            <w:tcW w:w="440" w:type="dxa"/>
            <w:vAlign w:val="bottom"/>
          </w:tcPr>
          <w:p>
            <w:pPr>
              <w:spacing w:after="0"/>
              <w:rPr>
                <w:sz w:val="19"/>
                <w:szCs w:val="19"/>
                <w:color w:val="auto"/>
              </w:rPr>
            </w:pPr>
          </w:p>
        </w:tc>
        <w:tc>
          <w:tcPr>
            <w:tcW w:w="680" w:type="dxa"/>
            <w:vAlign w:val="bottom"/>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1,917</w:t>
            </w:r>
          </w:p>
        </w:tc>
        <w:tc>
          <w:tcPr>
            <w:tcW w:w="80" w:type="dxa"/>
            <w:vAlign w:val="bottom"/>
          </w:tcPr>
          <w:p>
            <w:pPr>
              <w:spacing w:after="0"/>
              <w:rPr>
                <w:sz w:val="19"/>
                <w:szCs w:val="19"/>
                <w:color w:val="auto"/>
              </w:rPr>
            </w:pPr>
          </w:p>
        </w:tc>
        <w:tc>
          <w:tcPr>
            <w:tcW w:w="1120" w:type="dxa"/>
            <w:vAlign w:val="bottom"/>
            <w:gridSpan w:val="5"/>
          </w:tcPr>
          <w:p>
            <w:pPr>
              <w:ind w:left="2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3,833</w:t>
            </w:r>
            <w:r>
              <w:rPr>
                <w:rFonts w:ascii="Arial" w:cs="Arial" w:eastAsia="Arial" w:hAnsi="Arial"/>
                <w:sz w:val="26"/>
                <w:szCs w:val="26"/>
                <w:color w:val="auto"/>
                <w:vertAlign w:val="superscript"/>
              </w:rPr>
              <w:t>​​ ​</w:t>
            </w:r>
            <w:r>
              <w:rPr>
                <w:rFonts w:ascii="Arial" w:cs="Arial" w:eastAsia="Arial" w:hAnsi="Arial"/>
                <w:sz w:val="14"/>
                <w:szCs w:val="14"/>
                <w:color w:val="auto"/>
              </w:rPr>
              <w:t>​ 7,666</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175,015</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3C5896"/>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7"/>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​3/5/2021 </w:t>
            </w: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Arial" w:cs="Arial" w:eastAsia="Arial" w:hAnsi="Arial"/>
                <w:sz w:val="26"/>
                <w:szCs w:val="26"/>
                <w:b w:val="1"/>
                <w:bCs w:val="1"/>
                <w:color w:val="auto"/>
                <w:vertAlign w:val="superscript"/>
              </w:rPr>
              <w:t>​</w:t>
            </w:r>
          </w:p>
        </w:tc>
        <w:tc>
          <w:tcPr>
            <w:tcW w:w="440" w:type="dxa"/>
            <w:vAlign w:val="bottom"/>
          </w:tcPr>
          <w:p>
            <w:pPr>
              <w:spacing w:after="0"/>
              <w:rPr>
                <w:sz w:val="19"/>
                <w:szCs w:val="19"/>
                <w:color w:val="auto"/>
              </w:rPr>
            </w:pPr>
          </w:p>
        </w:tc>
        <w:tc>
          <w:tcPr>
            <w:tcW w:w="680" w:type="dxa"/>
            <w:vAlign w:val="bottom"/>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1,917</w:t>
            </w:r>
          </w:p>
        </w:tc>
        <w:tc>
          <w:tcPr>
            <w:tcW w:w="100" w:type="dxa"/>
            <w:vAlign w:val="bottom"/>
          </w:tcPr>
          <w:p>
            <w:pPr>
              <w:spacing w:after="0"/>
              <w:rPr>
                <w:sz w:val="19"/>
                <w:szCs w:val="19"/>
                <w:color w:val="auto"/>
              </w:rPr>
            </w:pPr>
          </w:p>
        </w:tc>
        <w:tc>
          <w:tcPr>
            <w:tcW w:w="1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87,530</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9"/>
        </w:trPr>
        <w:tc>
          <w:tcPr>
            <w:tcW w:w="20" w:type="dxa"/>
            <w:vAlign w:val="bottom"/>
            <w:tcBorders>
              <w:bottom w:val="single" w:sz="8" w:color="3C5896"/>
            </w:tcBorders>
            <w:shd w:val="clear" w:color="auto" w:fill="3C5896"/>
          </w:tcPr>
          <w:p>
            <w:pPr>
              <w:spacing w:after="0"/>
              <w:rPr>
                <w:sz w:val="24"/>
                <w:szCs w:val="24"/>
                <w:color w:val="auto"/>
              </w:rPr>
            </w:pPr>
          </w:p>
        </w:tc>
        <w:tc>
          <w:tcPr>
            <w:tcW w:w="300" w:type="dxa"/>
            <w:vAlign w:val="bottom"/>
            <w:tcBorders>
              <w:bottom w:val="single" w:sz="8" w:color="3C5896"/>
            </w:tcBorders>
          </w:tcPr>
          <w:p>
            <w:pPr>
              <w:spacing w:after="0"/>
              <w:rPr>
                <w:sz w:val="24"/>
                <w:szCs w:val="24"/>
                <w:color w:val="auto"/>
              </w:rPr>
            </w:pPr>
          </w:p>
        </w:tc>
        <w:tc>
          <w:tcPr>
            <w:tcW w:w="1060" w:type="dxa"/>
            <w:vAlign w:val="bottom"/>
            <w:tcBorders>
              <w:bottom w:val="single" w:sz="8" w:color="3C5896"/>
            </w:tcBorders>
          </w:tcPr>
          <w:p>
            <w:pPr>
              <w:spacing w:after="0"/>
              <w:rPr>
                <w:sz w:val="24"/>
                <w:szCs w:val="24"/>
                <w:color w:val="auto"/>
              </w:rPr>
            </w:pPr>
          </w:p>
        </w:tc>
        <w:tc>
          <w:tcPr>
            <w:tcW w:w="20" w:type="dxa"/>
            <w:vAlign w:val="bottom"/>
            <w:tcBorders>
              <w:bottom w:val="single" w:sz="8" w:color="3C5896"/>
            </w:tcBorders>
          </w:tcPr>
          <w:p>
            <w:pPr>
              <w:spacing w:after="0"/>
              <w:rPr>
                <w:sz w:val="24"/>
                <w:szCs w:val="24"/>
                <w:color w:val="auto"/>
              </w:rPr>
            </w:pPr>
          </w:p>
        </w:tc>
        <w:tc>
          <w:tcPr>
            <w:tcW w:w="900" w:type="dxa"/>
            <w:vAlign w:val="bottom"/>
            <w:tcBorders>
              <w:bottom w:val="single" w:sz="8" w:color="3C5896"/>
            </w:tcBorders>
            <w:gridSpan w:val="7"/>
          </w:tcPr>
          <w:p>
            <w:pPr>
              <w:jc w:val="right"/>
              <w:spacing w:after="0" w:line="28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​3/5/2021 </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r>
              <w:rPr>
                <w:rFonts w:ascii="Arial" w:cs="Arial" w:eastAsia="Arial" w:hAnsi="Arial"/>
                <w:sz w:val="28"/>
                <w:szCs w:val="28"/>
                <w:b w:val="1"/>
                <w:bCs w:val="1"/>
                <w:color w:val="auto"/>
                <w:vertAlign w:val="superscript"/>
              </w:rPr>
              <w:t>​</w:t>
            </w:r>
          </w:p>
        </w:tc>
        <w:tc>
          <w:tcPr>
            <w:tcW w:w="440" w:type="dxa"/>
            <w:vAlign w:val="bottom"/>
            <w:tcBorders>
              <w:bottom w:val="single" w:sz="8" w:color="3C5896"/>
            </w:tcBorders>
          </w:tcPr>
          <w:p>
            <w:pPr>
              <w:spacing w:after="0"/>
              <w:rPr>
                <w:sz w:val="24"/>
                <w:szCs w:val="24"/>
                <w:color w:val="auto"/>
              </w:rPr>
            </w:pPr>
          </w:p>
        </w:tc>
        <w:tc>
          <w:tcPr>
            <w:tcW w:w="680" w:type="dxa"/>
            <w:vAlign w:val="bottom"/>
            <w:tcBorders>
              <w:bottom w:val="single" w:sz="8" w:color="3C5896"/>
            </w:tcBorders>
            <w:gridSpan w:val="4"/>
          </w:tcPr>
          <w:p>
            <w:pPr>
              <w:jc w:val="right"/>
              <w:ind w:right="40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160" w:type="dxa"/>
            <w:vAlign w:val="bottom"/>
            <w:tcBorders>
              <w:bottom w:val="single" w:sz="8" w:color="3C5896"/>
            </w:tcBorders>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60" w:type="dxa"/>
            <w:vAlign w:val="bottom"/>
            <w:tcBorders>
              <w:bottom w:val="single" w:sz="8" w:color="3C5896"/>
            </w:tcBorders>
          </w:tcPr>
          <w:p>
            <w:pPr>
              <w:spacing w:after="0"/>
              <w:rPr>
                <w:sz w:val="24"/>
                <w:szCs w:val="24"/>
                <w:color w:val="auto"/>
              </w:rPr>
            </w:pPr>
          </w:p>
        </w:tc>
        <w:tc>
          <w:tcPr>
            <w:tcW w:w="140" w:type="dxa"/>
            <w:vAlign w:val="bottom"/>
            <w:tcBorders>
              <w:bottom w:val="single" w:sz="8" w:color="3C5896"/>
            </w:tcBorders>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3C5896"/>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3C5896"/>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3C5896"/>
            </w:tcBorders>
            <w:gridSpan w:val="2"/>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580" w:type="dxa"/>
            <w:vAlign w:val="bottom"/>
            <w:tcBorders>
              <w:bottom w:val="single" w:sz="8" w:color="3C5896"/>
            </w:tcBorders>
            <w:gridSpan w:val="3"/>
          </w:tcPr>
          <w:p>
            <w:pPr>
              <w:jc w:val="right"/>
              <w:ind w:right="329"/>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200" w:type="dxa"/>
            <w:vAlign w:val="bottom"/>
            <w:tcBorders>
              <w:bottom w:val="single" w:sz="8" w:color="3C5896"/>
            </w:tcBorders>
            <w:gridSpan w:val="4"/>
          </w:tcPr>
          <w:p>
            <w:pPr>
              <w:jc w:val="right"/>
              <w:spacing w:after="0"/>
              <w:rPr>
                <w:sz w:val="20"/>
                <w:szCs w:val="20"/>
                <w:color w:val="auto"/>
              </w:rPr>
            </w:pPr>
            <w:r>
              <w:rPr>
                <w:rFonts w:ascii="Arial" w:cs="Arial" w:eastAsia="Arial" w:hAnsi="Arial"/>
                <w:sz w:val="14"/>
                <w:szCs w:val="14"/>
                <w:color w:val="auto"/>
              </w:rPr>
              <w:t>​ ​​​</w:t>
            </w:r>
          </w:p>
        </w:tc>
        <w:tc>
          <w:tcPr>
            <w:tcW w:w="520" w:type="dxa"/>
            <w:vAlign w:val="bottom"/>
            <w:tcBorders>
              <w:bottom w:val="single" w:sz="8" w:color="3C5896"/>
            </w:tcBorders>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3C5896"/>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3C5896"/>
            </w:tcBorders>
            <w:gridSpan w:val="4"/>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3C5896"/>
            </w:tcBorders>
            <w:gridSpan w:val="2"/>
          </w:tcPr>
          <w:p>
            <w:pPr>
              <w:jc w:val="right"/>
              <w:spacing w:after="0" w:line="28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3,779</w:t>
            </w:r>
          </w:p>
        </w:tc>
        <w:tc>
          <w:tcPr>
            <w:tcW w:w="100" w:type="dxa"/>
            <w:vAlign w:val="bottom"/>
            <w:tcBorders>
              <w:bottom w:val="single" w:sz="8" w:color="3C5896"/>
            </w:tcBorders>
          </w:tcPr>
          <w:p>
            <w:pPr>
              <w:spacing w:after="0"/>
              <w:rPr>
                <w:sz w:val="24"/>
                <w:szCs w:val="24"/>
                <w:color w:val="auto"/>
              </w:rPr>
            </w:pPr>
          </w:p>
        </w:tc>
        <w:tc>
          <w:tcPr>
            <w:tcW w:w="180" w:type="dxa"/>
            <w:vAlign w:val="bottom"/>
            <w:tcBorders>
              <w:bottom w:val="single" w:sz="8" w:color="3C5896"/>
            </w:tcBorders>
            <w:gridSpan w:val="3"/>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3C5896"/>
            </w:tcBorders>
            <w:gridSpan w:val="2"/>
          </w:tcPr>
          <w:p>
            <w:pPr>
              <w:ind w:left="80"/>
              <w:spacing w:after="0" w:line="28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​45.66</w:t>
            </w:r>
          </w:p>
        </w:tc>
        <w:tc>
          <w:tcPr>
            <w:tcW w:w="160" w:type="dxa"/>
            <w:vAlign w:val="bottom"/>
            <w:tcBorders>
              <w:bottom w:val="single" w:sz="8" w:color="3C5896"/>
            </w:tcBorders>
          </w:tcPr>
          <w:p>
            <w:pPr>
              <w:spacing w:after="0"/>
              <w:rPr>
                <w:sz w:val="24"/>
                <w:szCs w:val="24"/>
                <w:color w:val="auto"/>
              </w:rPr>
            </w:pPr>
          </w:p>
        </w:tc>
        <w:tc>
          <w:tcPr>
            <w:tcW w:w="180" w:type="dxa"/>
            <w:vAlign w:val="bottom"/>
            <w:tcBorders>
              <w:bottom w:val="single" w:sz="8" w:color="3C5896"/>
            </w:tcBorders>
            <w:gridSpan w:val="3"/>
          </w:tcPr>
          <w:p>
            <w:pPr>
              <w:spacing w:after="0" w:line="280"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00" w:type="dxa"/>
            <w:vAlign w:val="bottom"/>
            <w:tcBorders>
              <w:bottom w:val="single" w:sz="8" w:color="3C5896"/>
            </w:tcBorders>
          </w:tcPr>
          <w:p>
            <w:pPr>
              <w:jc w:val="right"/>
              <w:spacing w:after="0"/>
              <w:rPr>
                <w:sz w:val="20"/>
                <w:szCs w:val="20"/>
                <w:color w:val="auto"/>
              </w:rPr>
            </w:pPr>
            <w:r>
              <w:rPr>
                <w:rFonts w:ascii="Arial" w:cs="Arial" w:eastAsia="Arial" w:hAnsi="Arial"/>
                <w:sz w:val="14"/>
                <w:szCs w:val="14"/>
                <w:color w:val="auto"/>
              </w:rPr>
              <w:t>87,522</w:t>
            </w:r>
          </w:p>
        </w:tc>
        <w:tc>
          <w:tcPr>
            <w:tcW w:w="80" w:type="dxa"/>
            <w:vAlign w:val="bottom"/>
            <w:tcBorders>
              <w:bottom w:val="single" w:sz="8" w:color="3C5896"/>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-3573780</wp:posOffset>
            </wp:positionV>
            <wp:extent cx="5837555" cy="3574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37555" cy="3574415"/>
                    </a:xfrm>
                    <a:prstGeom prst="rect">
                      <a:avLst/>
                    </a:prstGeom>
                    <a:noFill/>
                  </pic:spPr>
                </pic:pic>
              </a:graphicData>
            </a:graphic>
          </wp:anchor>
        </w:drawing>
      </w:r>
    </w:p>
    <w:p>
      <w:pPr>
        <w:spacing w:after="0" w:line="17" w:lineRule="exact"/>
        <w:rPr>
          <w:sz w:val="20"/>
          <w:szCs w:val="20"/>
          <w:color w:val="auto"/>
        </w:rPr>
      </w:pPr>
    </w:p>
    <w:p>
      <w:pPr>
        <w:jc w:val="both"/>
        <w:ind w:left="1120" w:hanging="358"/>
        <w:spacing w:after="0" w:line="269"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Reflects the possible payouts of cash incentive compensation under the STIP. See “Annual Cash Incentive Program” in the Compensation Discussion and Analysis section above for a description of the STIP. Potential payouts under the STIP were based on performance in 2021 and resulted in a payout percentage of 200% of the target bonus. The actual amounts paid are described in the “Non-Equity Incentive Plan Compensation” column of the “Summary Compensation Table.”</w:t>
      </w:r>
    </w:p>
    <w:p>
      <w:pPr>
        <w:spacing w:after="0" w:line="23" w:lineRule="exact"/>
        <w:rPr>
          <w:rFonts w:ascii="Arial" w:cs="Arial" w:eastAsia="Arial" w:hAnsi="Arial"/>
          <w:sz w:val="15"/>
          <w:szCs w:val="15"/>
          <w:color w:val="auto"/>
        </w:rPr>
      </w:pPr>
    </w:p>
    <w:p>
      <w:pPr>
        <w:jc w:val="both"/>
        <w:ind w:left="1120" w:hanging="358"/>
        <w:spacing w:after="0" w:line="257"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Reflects the number of PSUs granted in 2021 to the NEOs under the LTIP. The target number of shares in the table for the PSUs reflects the number of shares that will be awarded if, for the PSUs granted in 2021, the three-year total performance conditions are met at the target level. Actual shares, if any, will be awarded in March 2024 and may range from 50% to 200% of the target. See “2021 PSU Awards” in the Compensation Discussion and Analysis section above for additional information on the PSUs. For PSU awards granted in 2021 to Messrs. Fahs, Moore, and Francis, the grant date value of the PSUs assuming minimum, or target, or maximum performance are $687,503 or, $1,375,005, or $2,750,010; $175,015, or $350,030, or $700,060; $175,011, or $350,023, or $700,046 respectively. The grant date value of the PSUs assuming minimum, or target, or maximum performance for Messrs. Brandman and Clark are $87,507, or $175,015, or $350,030.</w:t>
      </w:r>
    </w:p>
    <w:p>
      <w:pPr>
        <w:spacing w:after="0" w:line="47"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Reflects the number of time-based RSUs granted to NEOs under the LTIP. The RSUs generally vest over a three-year period, with one-third of the total number of shares underlying the RSUs vesting on each of the first, second and third anniversaries of the 2021 grant date, subject to the executive’s continued employment through the applicable vesting date. The RSUs for Mr. Francis will vest over a 2 year period with 66% vesting after year one and 34% vesting after year two subject to his continued employment through the applicable vesting date.</w:t>
      </w:r>
    </w:p>
    <w:p>
      <w:pPr>
        <w:spacing w:after="0" w:line="40" w:lineRule="exact"/>
        <w:rPr>
          <w:rFonts w:ascii="Arial" w:cs="Arial" w:eastAsia="Arial" w:hAnsi="Arial"/>
          <w:sz w:val="15"/>
          <w:szCs w:val="15"/>
          <w:color w:val="auto"/>
        </w:rPr>
      </w:pPr>
    </w:p>
    <w:p>
      <w:pPr>
        <w:ind w:left="1120" w:hanging="358"/>
        <w:spacing w:after="0" w:line="283"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Reflects the number of stock options granted in 2021. See “2021 Option Awards” in the Compensation Discussion and Analysis section above for additional information on the 2021 stock option awards.</w:t>
      </w:r>
    </w:p>
    <w:p>
      <w:pPr>
        <w:spacing w:after="0" w:line="25"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Reflects the grant date fair value of awards of PSUs, RSUs, and stock options granted to each of the NEOs in 2021 under FASB ASC Topic 718. The grant date fair values are calculated using the NASDAQ closing price of our common stock on the date of grant for PSUs and RSUs and the Black-Scholes option pricing model for stock options. The grant date fair value of the PSUs, which have performance conditions, are computed based on the probable outcome of the performance condition as of the grant date for the award.</w:t>
      </w:r>
    </w:p>
    <w:p>
      <w:pPr>
        <w:spacing w:after="0" w:line="13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3114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00355" cy="231140"/>
                    </a:xfrm>
                    <a:prstGeom prst="rect">
                      <a:avLst/>
                    </a:prstGeom>
                    <a:noFill/>
                    <a:ln>
                      <a:noFill/>
                    </a:ln>
                  </pic:spPr>
                </pic:pic>
              </a:graphicData>
            </a:graphic>
          </wp:inline>
        </w:drawing>
      </w:r>
      <w:r>
        <w:rPr>
          <w:rFonts w:ascii="Arial" w:cs="Arial" w:eastAsia="Arial" w:hAnsi="Arial"/>
          <w:sz w:val="16"/>
          <w:szCs w:val="16"/>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Outstanding Equity Awards at 2021 Fiscal Year End</w:t>
      </w:r>
    </w:p>
    <w:p>
      <w:pPr>
        <w:spacing w:after="0" w:line="117" w:lineRule="exact"/>
        <w:rPr>
          <w:sz w:val="20"/>
          <w:szCs w:val="20"/>
          <w:color w:val="auto"/>
        </w:rPr>
      </w:pPr>
    </w:p>
    <w:p>
      <w:pPr>
        <w:ind w:left="760"/>
        <w:spacing w:after="0" w:line="303" w:lineRule="auto"/>
        <w:rPr>
          <w:sz w:val="20"/>
          <w:szCs w:val="20"/>
          <w:color w:val="auto"/>
        </w:rPr>
      </w:pPr>
      <w:r>
        <w:rPr>
          <w:rFonts w:ascii="Arial" w:cs="Arial" w:eastAsia="Arial" w:hAnsi="Arial"/>
          <w:sz w:val="18"/>
          <w:szCs w:val="18"/>
          <w:color w:val="auto"/>
        </w:rPr>
        <w:t>The following table sets forth information regarding outstanding equity awards held by our NEOs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57150</wp:posOffset>
            </wp:positionV>
            <wp:extent cx="5837555" cy="6995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37555" cy="699516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82" w:lineRule="exact"/>
        <w:rPr>
          <w:sz w:val="20"/>
          <w:szCs w:val="20"/>
          <w:color w:val="auto"/>
        </w:rPr>
      </w:pPr>
    </w:p>
    <w:p>
      <w:pPr>
        <w:ind w:left="760"/>
        <w:spacing w:after="0"/>
        <w:rPr>
          <w:sz w:val="20"/>
          <w:szCs w:val="20"/>
          <w:color w:val="auto"/>
        </w:rPr>
      </w:pPr>
      <w:r>
        <w:rPr>
          <w:sz w:val="1"/>
          <w:szCs w:val="1"/>
          <w:color w:val="auto"/>
        </w:rPr>
        <w:drawing>
          <wp:inline distT="0" distB="0" distL="0" distR="0">
            <wp:extent cx="2603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3"/>
          <w:szCs w:val="13"/>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80" w:hanging="491"/>
        <w:spacing w:after="0"/>
        <w:tabs>
          <w:tab w:leader="none" w:pos="1280" w:val="left"/>
        </w:tabs>
        <w:numPr>
          <w:ilvl w:val="0"/>
          <w:numId w:val="37"/>
        </w:numPr>
        <w:rPr>
          <w:rFonts w:ascii="Arial" w:cs="Arial" w:eastAsia="Arial" w:hAnsi="Arial"/>
          <w:sz w:val="13"/>
          <w:szCs w:val="13"/>
          <w:b w:val="1"/>
          <w:bCs w:val="1"/>
          <w:color w:val="FFFFFF"/>
        </w:rPr>
      </w:pPr>
      <w:r>
        <w:rPr>
          <w:rFonts w:ascii="Arial" w:cs="Arial" w:eastAsia="Arial" w:hAnsi="Arial"/>
          <w:sz w:val="13"/>
          <w:szCs w:val="13"/>
          <w:b w:val="1"/>
          <w:bCs w:val="1"/>
          <w:color w:val="FFFFFF"/>
        </w:rPr>
        <w:t>Name</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4"/>
          <w:szCs w:val="14"/>
          <w:color w:val="auto"/>
        </w:rPr>
        <w:t>​L. Reade Fahs</w:t>
      </w:r>
      <w:r>
        <w:rPr>
          <w:rFonts w:ascii="Arial" w:cs="Arial" w:eastAsia="Arial" w:hAnsi="Arial"/>
          <w:sz w:val="17"/>
          <w:szCs w:val="17"/>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spacing w:after="0"/>
        <w:rPr>
          <w:sz w:val="20"/>
          <w:szCs w:val="20"/>
          <w:color w:val="auto"/>
        </w:rPr>
      </w:pPr>
      <w:r>
        <w:rPr>
          <w:rFonts w:ascii="Arial" w:cs="Arial" w:eastAsia="Arial" w:hAnsi="Arial"/>
          <w:sz w:val="14"/>
          <w:szCs w:val="14"/>
          <w:color w:val="auto"/>
        </w:rPr>
        <w:t>​Patrick R. Moore</w:t>
      </w:r>
      <w:r>
        <w:rPr>
          <w:rFonts w:ascii="Arial" w:cs="Arial" w:eastAsia="Arial" w:hAnsi="Arial"/>
          <w:sz w:val="17"/>
          <w:szCs w:val="17"/>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80"/>
        <w:spacing w:after="0"/>
        <w:rPr>
          <w:sz w:val="20"/>
          <w:szCs w:val="20"/>
          <w:color w:val="auto"/>
        </w:rPr>
      </w:pPr>
      <w:r>
        <w:rPr>
          <w:rFonts w:ascii="Arial" w:cs="Arial" w:eastAsia="Arial" w:hAnsi="Arial"/>
          <w:sz w:val="14"/>
          <w:szCs w:val="14"/>
          <w:color w:val="auto"/>
        </w:rPr>
        <w:t>​Roger Francis</w:t>
      </w: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Arial" w:cs="Arial" w:eastAsia="Arial" w:hAnsi="Arial"/>
          <w:sz w:val="14"/>
          <w:szCs w:val="14"/>
          <w:color w:val="auto"/>
        </w:rPr>
        <w:t>​Jared Brandman</w:t>
      </w:r>
      <w:r>
        <w:rPr>
          <w:rFonts w:ascii="Arial" w:cs="Arial" w:eastAsia="Arial" w:hAnsi="Arial"/>
          <w:sz w:val="17"/>
          <w:szCs w:val="17"/>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​Bill Clark</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3C5896"/>
          </w:tcPr>
          <w:p>
            <w:pPr>
              <w:spacing w:after="0"/>
              <w:rPr>
                <w:sz w:val="17"/>
                <w:szCs w:val="17"/>
                <w:color w:val="auto"/>
              </w:rPr>
            </w:pPr>
          </w:p>
        </w:tc>
        <w:tc>
          <w:tcPr>
            <w:tcW w:w="80" w:type="dxa"/>
            <w:vAlign w:val="bottom"/>
            <w:shd w:val="clear" w:color="auto" w:fill="3C5896"/>
          </w:tcPr>
          <w:p>
            <w:pPr>
              <w:jc w:val="right"/>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3C5896"/>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3"/>
                <w:szCs w:val="13"/>
                <w:b w:val="1"/>
                <w:bCs w:val="1"/>
                <w:color w:val="FFFFFF"/>
              </w:rPr>
              <w:t>Option Awards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8"/>
          </w:tcPr>
          <w:p>
            <w:pPr>
              <w:ind w:left="220"/>
              <w:spacing w:after="0"/>
              <w:rPr>
                <w:sz w:val="20"/>
                <w:szCs w:val="20"/>
                <w:color w:val="auto"/>
              </w:rPr>
            </w:pPr>
            <w:r>
              <w:rPr>
                <w:rFonts w:ascii="Arial" w:cs="Arial" w:eastAsia="Arial" w:hAnsi="Arial"/>
                <w:sz w:val="13"/>
                <w:szCs w:val="13"/>
                <w:b w:val="1"/>
                <w:bCs w:val="1"/>
                <w:color w:val="FFFFFF"/>
              </w:rPr>
              <w:t>Stock Awards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FFFFFF"/>
                <w:w w:val="95"/>
              </w:rPr>
              <w:t>Equity</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FFFFFF"/>
                <w:w w:val="94"/>
              </w:rPr>
              <w:t>Plan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FFFFFF"/>
                <w:w w:val="97"/>
              </w:rPr>
              <w:t>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center"/>
              <w:ind w:right="148"/>
              <w:spacing w:after="0"/>
              <w:rPr>
                <w:sz w:val="20"/>
                <w:szCs w:val="20"/>
                <w:color w:val="auto"/>
              </w:rPr>
            </w:pPr>
            <w:r>
              <w:rPr>
                <w:rFonts w:ascii="Arial" w:cs="Arial" w:eastAsia="Arial" w:hAnsi="Arial"/>
                <w:sz w:val="13"/>
                <w:szCs w:val="13"/>
                <w:b w:val="1"/>
                <w:bCs w:val="1"/>
                <w:color w:val="FFFFFF"/>
                <w:w w:val="95"/>
              </w:rPr>
              <w:t>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5"/>
              </w:rPr>
              <w:t>Market 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0"/>
              <w:spacing w:after="0"/>
              <w:rPr>
                <w:sz w:val="20"/>
                <w:szCs w:val="20"/>
                <w:color w:val="auto"/>
              </w:rPr>
            </w:pPr>
            <w:r>
              <w:rPr>
                <w:rFonts w:ascii="Arial" w:cs="Arial" w:eastAsia="Arial" w:hAnsi="Arial"/>
                <w:sz w:val="13"/>
                <w:szCs w:val="13"/>
                <w:b w:val="1"/>
                <w:bCs w:val="1"/>
                <w:color w:val="FFFFFF"/>
                <w:w w:val="95"/>
              </w:rPr>
              <w:t>Equity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3"/>
                <w:szCs w:val="13"/>
                <w:b w:val="1"/>
                <w:bCs w:val="1"/>
                <w:color w:val="FFFFFF"/>
                <w:w w:val="95"/>
              </w:rPr>
              <w:t>Incentive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FFFFFF"/>
                <w:w w:val="96"/>
              </w:rPr>
              <w:t>Payout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w w:val="99"/>
              </w:rPr>
              <w:t>Incentive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FFFFFF"/>
              </w:rPr>
              <w:t>Plan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Arial" w:cs="Arial" w:eastAsia="Arial" w:hAnsi="Arial"/>
                <w:sz w:val="13"/>
                <w:szCs w:val="13"/>
                <w:b w:val="1"/>
                <w:bCs w:val="1"/>
                <w:color w:val="FFFFFF"/>
                <w:w w:val="94"/>
              </w:rPr>
              <w:t>Value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rPr>
              <w:t>Plan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center"/>
              <w:ind w:right="8"/>
              <w:spacing w:after="0"/>
              <w:rPr>
                <w:sz w:val="20"/>
                <w:szCs w:val="20"/>
                <w:color w:val="auto"/>
              </w:rPr>
            </w:pPr>
            <w:r>
              <w:rPr>
                <w:rFonts w:ascii="Arial" w:cs="Arial" w:eastAsia="Arial" w:hAnsi="Arial"/>
                <w:sz w:val="13"/>
                <w:szCs w:val="13"/>
                <w:b w:val="1"/>
                <w:bCs w:val="1"/>
                <w:color w:val="FFFFFF"/>
                <w:w w:val="93"/>
              </w:rPr>
              <w:t>Awards: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ind w:right="16"/>
              <w:spacing w:after="0"/>
              <w:rPr>
                <w:sz w:val="20"/>
                <w:szCs w:val="20"/>
                <w:color w:val="auto"/>
              </w:rPr>
            </w:pPr>
            <w:r>
              <w:rPr>
                <w:rFonts w:ascii="Arial" w:cs="Arial" w:eastAsia="Arial" w:hAnsi="Arial"/>
                <w:sz w:val="13"/>
                <w:szCs w:val="13"/>
                <w:b w:val="1"/>
                <w:bCs w:val="1"/>
                <w:color w:val="FFFFFF"/>
                <w:w w:val="95"/>
              </w:rPr>
              <w:t>Market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center"/>
              <w:ind w:right="8"/>
              <w:spacing w:after="0"/>
              <w:rPr>
                <w:sz w:val="20"/>
                <w:szCs w:val="20"/>
                <w:color w:val="auto"/>
              </w:rPr>
            </w:pPr>
            <w:r>
              <w:rPr>
                <w:rFonts w:ascii="Arial" w:cs="Arial" w:eastAsia="Arial" w:hAnsi="Arial"/>
                <w:sz w:val="13"/>
                <w:szCs w:val="13"/>
                <w:b w:val="1"/>
                <w:bCs w:val="1"/>
                <w:color w:val="FFFFFF"/>
                <w:w w:val="98"/>
              </w:rPr>
              <w:t>Number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FFFFFF"/>
                <w:w w:val="97"/>
              </w:rPr>
              <w:t>Shares,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5"/>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4"/>
              </w:rPr>
              <w:t>Value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center"/>
              <w:ind w:right="28"/>
              <w:spacing w:after="0"/>
              <w:rPr>
                <w:sz w:val="20"/>
                <w:szCs w:val="20"/>
                <w:color w:val="auto"/>
              </w:rPr>
            </w:pPr>
            <w:r>
              <w:rPr>
                <w:rFonts w:ascii="Arial" w:cs="Arial" w:eastAsia="Arial" w:hAnsi="Arial"/>
                <w:sz w:val="13"/>
                <w:szCs w:val="13"/>
                <w:b w:val="1"/>
                <w:bCs w:val="1"/>
                <w:color w:val="FFFFFF"/>
                <w:w w:val="96"/>
              </w:rPr>
              <w:t>Unearned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Arial" w:cs="Arial" w:eastAsia="Arial" w:hAnsi="Arial"/>
                <w:sz w:val="13"/>
                <w:szCs w:val="13"/>
                <w:b w:val="1"/>
                <w:bCs w:val="1"/>
                <w:color w:val="FFFFFF"/>
                <w:w w:val="97"/>
              </w:rPr>
              <w:t>Units 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tcPr>
          <w:p>
            <w:pPr>
              <w:jc w:val="center"/>
              <w:ind w:right="8"/>
              <w:spacing w:after="0"/>
              <w:rPr>
                <w:sz w:val="20"/>
                <w:szCs w:val="20"/>
                <w:color w:val="auto"/>
              </w:rPr>
            </w:pPr>
            <w:r>
              <w:rPr>
                <w:rFonts w:ascii="Arial" w:cs="Arial" w:eastAsia="Arial" w:hAnsi="Arial"/>
                <w:sz w:val="13"/>
                <w:szCs w:val="13"/>
                <w:b w:val="1"/>
                <w:bCs w:val="1"/>
                <w:color w:val="FFFFFF"/>
                <w:w w:val="96"/>
              </w:rPr>
              <w:t>Shares or</w:t>
            </w:r>
          </w:p>
        </w:tc>
        <w:tc>
          <w:tcPr>
            <w:tcW w:w="20" w:type="dxa"/>
            <w:vAlign w:val="bottom"/>
          </w:tcPr>
          <w:p>
            <w:pPr>
              <w:spacing w:after="0"/>
              <w:rPr>
                <w:sz w:val="12"/>
                <w:szCs w:val="12"/>
                <w:color w:val="auto"/>
              </w:rPr>
            </w:pPr>
          </w:p>
        </w:tc>
        <w:tc>
          <w:tcPr>
            <w:tcW w:w="760" w:type="dxa"/>
            <w:vAlign w:val="bottom"/>
            <w:gridSpan w:val="5"/>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128"/>
              <w:spacing w:after="0"/>
              <w:rPr>
                <w:sz w:val="20"/>
                <w:szCs w:val="20"/>
                <w:color w:val="auto"/>
              </w:rPr>
            </w:pPr>
            <w:r>
              <w:rPr>
                <w:rFonts w:ascii="Arial" w:cs="Arial" w:eastAsia="Arial" w:hAnsi="Arial"/>
                <w:sz w:val="13"/>
                <w:szCs w:val="13"/>
                <w:b w:val="1"/>
                <w:bCs w:val="1"/>
                <w:color w:val="FFFFFF"/>
                <w:w w:val="96"/>
              </w:rPr>
              <w:t>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FFFFFF"/>
                <w:w w:val="97"/>
              </w:rPr>
              <w:t>Other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4"/>
              </w:rPr>
              <w:t>Underlying</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w w:val="94"/>
              </w:rPr>
              <w:t>Underlying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center"/>
              <w:ind w:right="8"/>
              <w:spacing w:after="0"/>
              <w:rPr>
                <w:sz w:val="20"/>
                <w:szCs w:val="20"/>
                <w:color w:val="auto"/>
              </w:rPr>
            </w:pPr>
            <w:r>
              <w:rPr>
                <w:rFonts w:ascii="Arial" w:cs="Arial" w:eastAsia="Arial" w:hAnsi="Arial"/>
                <w:sz w:val="13"/>
                <w:szCs w:val="13"/>
                <w:b w:val="1"/>
                <w:bCs w:val="1"/>
                <w:color w:val="FFFFFF"/>
                <w:w w:val="94"/>
              </w:rPr>
              <w:t>Units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4"/>
              </w:rPr>
              <w:t>Units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center"/>
              <w:ind w:right="8"/>
              <w:spacing w:after="0"/>
              <w:rPr>
                <w:sz w:val="20"/>
                <w:szCs w:val="20"/>
                <w:color w:val="auto"/>
              </w:rPr>
            </w:pPr>
            <w:r>
              <w:rPr>
                <w:rFonts w:ascii="Arial" w:cs="Arial" w:eastAsia="Arial" w:hAnsi="Arial"/>
                <w:sz w:val="13"/>
                <w:szCs w:val="13"/>
                <w:b w:val="1"/>
                <w:bCs w:val="1"/>
                <w:color w:val="FFFFFF"/>
                <w:w w:val="97"/>
              </w:rPr>
              <w:t>Units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FFFFFF"/>
                <w:w w:val="93"/>
              </w:rPr>
              <w:t>Rights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8"/>
              </w:rPr>
              <w:t>Unexercised</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8"/>
              </w:rPr>
              <w:t>Unexercised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5"/>
          </w:tcPr>
          <w:p>
            <w:pPr>
              <w:jc w:val="center"/>
              <w:spacing w:after="0"/>
              <w:rPr>
                <w:sz w:val="20"/>
                <w:szCs w:val="20"/>
                <w:color w:val="auto"/>
              </w:rPr>
            </w:pPr>
            <w:r>
              <w:rPr>
                <w:rFonts w:ascii="Arial" w:cs="Arial" w:eastAsia="Arial" w:hAnsi="Arial"/>
                <w:sz w:val="13"/>
                <w:szCs w:val="13"/>
                <w:b w:val="1"/>
                <w:bCs w:val="1"/>
                <w:color w:val="FFFFFF"/>
                <w:w w:val="96"/>
              </w:rPr>
              <w:t>Stock That</w:t>
            </w:r>
          </w:p>
        </w:tc>
        <w:tc>
          <w:tcPr>
            <w:tcW w:w="20" w:type="dxa"/>
            <w:vAlign w:val="bottom"/>
          </w:tcPr>
          <w:p>
            <w:pPr>
              <w:spacing w:after="0"/>
              <w:rPr>
                <w:sz w:val="14"/>
                <w:szCs w:val="14"/>
                <w:color w:val="auto"/>
              </w:rPr>
            </w:pPr>
          </w:p>
        </w:tc>
        <w:tc>
          <w:tcPr>
            <w:tcW w:w="760" w:type="dxa"/>
            <w:vAlign w:val="bottom"/>
            <w:gridSpan w:val="5"/>
          </w:tcPr>
          <w:p>
            <w:pPr>
              <w:jc w:val="right"/>
              <w:ind w:right="8"/>
              <w:spacing w:after="0"/>
              <w:rPr>
                <w:sz w:val="20"/>
                <w:szCs w:val="20"/>
                <w:color w:val="auto"/>
              </w:rPr>
            </w:pPr>
            <w:r>
              <w:rPr>
                <w:rFonts w:ascii="Arial" w:cs="Arial" w:eastAsia="Arial" w:hAnsi="Arial"/>
                <w:sz w:val="13"/>
                <w:szCs w:val="13"/>
                <w:b w:val="1"/>
                <w:bCs w:val="1"/>
                <w:color w:val="FFFFFF"/>
                <w:w w:val="99"/>
              </w:rPr>
              <w:t>Stock That</w:t>
            </w:r>
          </w:p>
        </w:tc>
        <w:tc>
          <w:tcPr>
            <w:tcW w:w="840" w:type="dxa"/>
            <w:vAlign w:val="bottom"/>
            <w:gridSpan w:val="5"/>
          </w:tcPr>
          <w:p>
            <w:pPr>
              <w:jc w:val="center"/>
              <w:spacing w:after="0"/>
              <w:rPr>
                <w:sz w:val="20"/>
                <w:szCs w:val="20"/>
                <w:color w:val="auto"/>
              </w:rPr>
            </w:pPr>
            <w:r>
              <w:rPr>
                <w:rFonts w:ascii="Arial" w:cs="Arial" w:eastAsia="Arial" w:hAnsi="Arial"/>
                <w:sz w:val="13"/>
                <w:szCs w:val="13"/>
                <w:b w:val="1"/>
                <w:bCs w:val="1"/>
                <w:color w:val="FFFFFF"/>
                <w:w w:val="96"/>
              </w:rPr>
              <w:t>Other Rights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FFFFFF"/>
                <w:w w:val="94"/>
              </w:rPr>
              <w:t>That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100" w:type="dxa"/>
            <w:vAlign w:val="bottom"/>
          </w:tcPr>
          <w:p>
            <w:pPr>
              <w:spacing w:after="0"/>
              <w:rPr>
                <w:sz w:val="14"/>
                <w:szCs w:val="14"/>
                <w:color w:val="auto"/>
              </w:rPr>
            </w:pPr>
          </w:p>
        </w:tc>
        <w:tc>
          <w:tcPr>
            <w:tcW w:w="740" w:type="dxa"/>
            <w:vAlign w:val="bottom"/>
          </w:tcPr>
          <w:p>
            <w:pPr>
              <w:jc w:val="center"/>
              <w:ind w:right="10"/>
              <w:spacing w:after="0"/>
              <w:rPr>
                <w:sz w:val="20"/>
                <w:szCs w:val="20"/>
                <w:color w:val="auto"/>
              </w:rPr>
            </w:pPr>
            <w:r>
              <w:rPr>
                <w:rFonts w:ascii="Arial" w:cs="Arial" w:eastAsia="Arial" w:hAnsi="Arial"/>
                <w:sz w:val="13"/>
                <w:szCs w:val="13"/>
                <w:b w:val="1"/>
                <w:bCs w:val="1"/>
                <w:color w:val="FFFFFF"/>
                <w:w w:val="96"/>
              </w:rPr>
              <w:t>Unearned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70"/>
              <w:spacing w:after="0"/>
              <w:rPr>
                <w:sz w:val="20"/>
                <w:szCs w:val="20"/>
                <w:color w:val="auto"/>
              </w:rPr>
            </w:pPr>
            <w:r>
              <w:rPr>
                <w:rFonts w:ascii="Arial" w:cs="Arial" w:eastAsia="Arial" w:hAnsi="Arial"/>
                <w:sz w:val="13"/>
                <w:szCs w:val="13"/>
                <w:b w:val="1"/>
                <w:bCs w:val="1"/>
                <w:color w:val="FFFFFF"/>
                <w:w w:val="95"/>
              </w:rPr>
              <w:t>Option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center"/>
              <w:ind w:right="8"/>
              <w:spacing w:after="0"/>
              <w:rPr>
                <w:sz w:val="20"/>
                <w:szCs w:val="20"/>
                <w:color w:val="auto"/>
              </w:rPr>
            </w:pPr>
            <w:r>
              <w:rPr>
                <w:rFonts w:ascii="Arial" w:cs="Arial" w:eastAsia="Arial" w:hAnsi="Arial"/>
                <w:sz w:val="13"/>
                <w:szCs w:val="13"/>
                <w:b w:val="1"/>
                <w:bCs w:val="1"/>
                <w:color w:val="FFFFFF"/>
                <w:w w:val="95"/>
              </w:rPr>
              <w:t>Have Not</w:t>
            </w:r>
          </w:p>
        </w:tc>
        <w:tc>
          <w:tcPr>
            <w:tcW w:w="20" w:type="dxa"/>
            <w:vAlign w:val="bottom"/>
          </w:tcPr>
          <w:p>
            <w:pPr>
              <w:spacing w:after="0"/>
              <w:rPr>
                <w:sz w:val="14"/>
                <w:szCs w:val="14"/>
                <w:color w:val="auto"/>
              </w:rPr>
            </w:pPr>
          </w:p>
        </w:tc>
        <w:tc>
          <w:tcPr>
            <w:tcW w:w="640" w:type="dxa"/>
            <w:vAlign w:val="bottom"/>
            <w:gridSpan w:val="3"/>
          </w:tcPr>
          <w:p>
            <w:pPr>
              <w:jc w:val="center"/>
              <w:ind w:left="35"/>
              <w:spacing w:after="0"/>
              <w:rPr>
                <w:sz w:val="20"/>
                <w:szCs w:val="20"/>
                <w:color w:val="auto"/>
              </w:rPr>
            </w:pPr>
            <w:r>
              <w:rPr>
                <w:rFonts w:ascii="Arial" w:cs="Arial" w:eastAsia="Arial" w:hAnsi="Arial"/>
                <w:sz w:val="13"/>
                <w:szCs w:val="13"/>
                <w:b w:val="1"/>
                <w:bCs w:val="1"/>
                <w:color w:val="FFFFFF"/>
                <w:w w:val="95"/>
              </w:rPr>
              <w:t>Have Not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center"/>
              <w:ind w:right="8"/>
              <w:spacing w:after="0"/>
              <w:rPr>
                <w:sz w:val="20"/>
                <w:szCs w:val="20"/>
                <w:color w:val="auto"/>
              </w:rPr>
            </w:pPr>
            <w:r>
              <w:rPr>
                <w:rFonts w:ascii="Arial" w:cs="Arial" w:eastAsia="Arial" w:hAnsi="Arial"/>
                <w:sz w:val="13"/>
                <w:szCs w:val="13"/>
                <w:b w:val="1"/>
                <w:bCs w:val="1"/>
                <w:color w:val="FFFFFF"/>
                <w:w w:val="96"/>
              </w:rPr>
              <w:t>That Have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69"/>
              <w:spacing w:after="0"/>
              <w:rPr>
                <w:sz w:val="20"/>
                <w:szCs w:val="20"/>
                <w:color w:val="auto"/>
              </w:rPr>
            </w:pPr>
            <w:r>
              <w:rPr>
                <w:rFonts w:ascii="Arial" w:cs="Arial" w:eastAsia="Arial" w:hAnsi="Arial"/>
                <w:sz w:val="13"/>
                <w:szCs w:val="13"/>
                <w:b w:val="1"/>
                <w:bCs w:val="1"/>
                <w:color w:val="FFFFFF"/>
              </w:rPr>
              <w:t>Grant</w:t>
            </w:r>
          </w:p>
        </w:tc>
        <w:tc>
          <w:tcPr>
            <w:tcW w:w="20" w:type="dxa"/>
            <w:vAlign w:val="bottom"/>
          </w:tcPr>
          <w:p>
            <w:pPr>
              <w:spacing w:after="0"/>
              <w:rPr>
                <w:sz w:val="13"/>
                <w:szCs w:val="13"/>
                <w:color w:val="auto"/>
              </w:rPr>
            </w:pPr>
          </w:p>
        </w:tc>
        <w:tc>
          <w:tcPr>
            <w:tcW w:w="760" w:type="dxa"/>
            <w:vAlign w:val="bottom"/>
            <w:gridSpan w:val="4"/>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8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Arial" w:cs="Arial" w:eastAsia="Arial" w:hAnsi="Arial"/>
                <w:sz w:val="13"/>
                <w:szCs w:val="13"/>
                <w:b w:val="1"/>
                <w:bCs w:val="1"/>
                <w:color w:val="FFFFFF"/>
                <w:w w:val="95"/>
              </w:rPr>
              <w:t>Unexercisable</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w w:val="97"/>
              </w:rPr>
              <w:t>Options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center"/>
              <w:ind w:right="28"/>
              <w:spacing w:after="0"/>
              <w:rPr>
                <w:sz w:val="20"/>
                <w:szCs w:val="20"/>
                <w:color w:val="auto"/>
              </w:rPr>
            </w:pPr>
            <w:r>
              <w:rPr>
                <w:rFonts w:ascii="Arial" w:cs="Arial" w:eastAsia="Arial" w:hAnsi="Arial"/>
                <w:sz w:val="13"/>
                <w:szCs w:val="13"/>
                <w:b w:val="1"/>
                <w:bCs w:val="1"/>
                <w:color w:val="FFFFFF"/>
                <w:w w:val="94"/>
              </w:rPr>
              <w:t>Price</w:t>
            </w:r>
          </w:p>
        </w:tc>
        <w:tc>
          <w:tcPr>
            <w:tcW w:w="4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right="88"/>
              <w:spacing w:after="0"/>
              <w:rPr>
                <w:sz w:val="20"/>
                <w:szCs w:val="20"/>
                <w:color w:val="auto"/>
              </w:rPr>
            </w:pPr>
            <w:r>
              <w:rPr>
                <w:rFonts w:ascii="Arial" w:cs="Arial" w:eastAsia="Arial" w:hAnsi="Arial"/>
                <w:sz w:val="13"/>
                <w:szCs w:val="13"/>
                <w:b w:val="1"/>
                <w:bCs w:val="1"/>
                <w:color w:val="FFFFFF"/>
                <w:w w:val="98"/>
              </w:rPr>
              <w:t>Vested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center"/>
              <w:ind w:right="16"/>
              <w:spacing w:after="0"/>
              <w:rPr>
                <w:sz w:val="20"/>
                <w:szCs w:val="20"/>
                <w:color w:val="auto"/>
              </w:rPr>
            </w:pPr>
            <w:r>
              <w:rPr>
                <w:rFonts w:ascii="Arial" w:cs="Arial" w:eastAsia="Arial" w:hAnsi="Arial"/>
                <w:sz w:val="13"/>
                <w:szCs w:val="13"/>
                <w:b w:val="1"/>
                <w:bCs w:val="1"/>
                <w:color w:val="FFFFFF"/>
                <w:w w:val="93"/>
              </w:rPr>
              <w:t>Vested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center"/>
              <w:ind w:right="8"/>
              <w:spacing w:after="0"/>
              <w:rPr>
                <w:sz w:val="20"/>
                <w:szCs w:val="20"/>
                <w:color w:val="auto"/>
              </w:rPr>
            </w:pPr>
            <w:r>
              <w:rPr>
                <w:rFonts w:ascii="Arial" w:cs="Arial" w:eastAsia="Arial" w:hAnsi="Arial"/>
                <w:sz w:val="13"/>
                <w:szCs w:val="13"/>
                <w:b w:val="1"/>
                <w:bCs w:val="1"/>
                <w:color w:val="FFFFFF"/>
                <w:w w:val="94"/>
              </w:rPr>
              <w:t>Not Vested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jc w:val="center"/>
              <w:ind w:right="13"/>
              <w:spacing w:after="0"/>
              <w:rPr>
                <w:sz w:val="20"/>
                <w:szCs w:val="20"/>
                <w:color w:val="auto"/>
              </w:rPr>
            </w:pPr>
            <w:r>
              <w:rPr>
                <w:rFonts w:ascii="Arial" w:cs="Arial" w:eastAsia="Arial" w:hAnsi="Arial"/>
                <w:sz w:val="13"/>
                <w:szCs w:val="13"/>
                <w:b w:val="1"/>
                <w:bCs w:val="1"/>
                <w:color w:val="FFFFFF"/>
                <w:w w:val="93"/>
              </w:rPr>
              <w:t>Vested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0" w:type="dxa"/>
            <w:vAlign w:val="bottom"/>
            <w:gridSpan w:val="2"/>
          </w:tcPr>
          <w:p>
            <w:pPr>
              <w:spacing w:after="0"/>
              <w:rPr>
                <w:sz w:val="20"/>
                <w:szCs w:val="20"/>
                <w:color w:val="auto"/>
              </w:rPr>
            </w:pPr>
            <w:r>
              <w:rPr>
                <w:rFonts w:ascii="Arial" w:cs="Arial" w:eastAsia="Arial" w:hAnsi="Arial"/>
                <w:sz w:val="13"/>
                <w:szCs w:val="13"/>
                <w:b w:val="1"/>
                <w:bCs w:val="1"/>
                <w:color w:val="FFFFFF"/>
              </w:rPr>
              <w:t>​​</w:t>
            </w:r>
          </w:p>
        </w:tc>
        <w:tc>
          <w:tcPr>
            <w:tcW w:w="680" w:type="dxa"/>
            <w:vAlign w:val="bottom"/>
          </w:tcPr>
          <w:p>
            <w:pPr>
              <w:jc w:val="right"/>
              <w:ind w:right="169"/>
              <w:spacing w:after="0"/>
              <w:rPr>
                <w:sz w:val="20"/>
                <w:szCs w:val="20"/>
                <w:color w:val="auto"/>
              </w:rPr>
            </w:pPr>
            <w:r>
              <w:rPr>
                <w:rFonts w:ascii="Arial" w:cs="Arial" w:eastAsia="Arial" w:hAnsi="Arial"/>
                <w:sz w:val="13"/>
                <w:szCs w:val="13"/>
                <w:b w:val="1"/>
                <w:bCs w:val="1"/>
                <w:color w:val="FFFFFF"/>
              </w:rPr>
              <w:t>Date</w:t>
            </w:r>
          </w:p>
        </w:tc>
        <w:tc>
          <w:tcPr>
            <w:tcW w:w="6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580" w:type="dxa"/>
            <w:vAlign w:val="bottom"/>
            <w:gridSpan w:val="2"/>
          </w:tcPr>
          <w:p>
            <w:pPr>
              <w:jc w:val="center"/>
              <w:ind w:left="70"/>
              <w:spacing w:after="0"/>
              <w:rPr>
                <w:sz w:val="20"/>
                <w:szCs w:val="20"/>
                <w:color w:val="auto"/>
              </w:rPr>
            </w:pPr>
            <w:r>
              <w:rPr>
                <w:rFonts w:ascii="Arial" w:cs="Arial" w:eastAsia="Arial" w:hAnsi="Arial"/>
                <w:sz w:val="13"/>
                <w:szCs w:val="13"/>
                <w:b w:val="1"/>
                <w:bCs w:val="1"/>
                <w:color w:val="FFFFFF"/>
              </w:rPr>
              <w:t>(#)</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620" w:type="dxa"/>
            <w:vAlign w:val="bottom"/>
            <w:gridSpan w:val="2"/>
          </w:tcPr>
          <w:p>
            <w:pPr>
              <w:jc w:val="center"/>
              <w:ind w:left="111"/>
              <w:spacing w:after="0" w:line="203" w:lineRule="exact"/>
              <w:rPr>
                <w:sz w:val="20"/>
                <w:szCs w:val="20"/>
                <w:color w:val="auto"/>
              </w:rPr>
            </w:pPr>
            <w:r>
              <w:rPr>
                <w:rFonts w:ascii="Arial" w:cs="Arial" w:eastAsia="Arial" w:hAnsi="Arial"/>
                <w:sz w:val="23"/>
                <w:szCs w:val="23"/>
                <w:b w:val="1"/>
                <w:bCs w:val="1"/>
                <w:color w:val="FFFFFF"/>
                <w:w w:val="83"/>
                <w:vertAlign w:val="subscript"/>
              </w:rPr>
              <w:t>(#)</w:t>
            </w:r>
            <w:r>
              <w:rPr>
                <w:rFonts w:ascii="Arial" w:cs="Arial" w:eastAsia="Arial" w:hAnsi="Arial"/>
                <w:sz w:val="8"/>
                <w:szCs w:val="8"/>
                <w:b w:val="1"/>
                <w:bCs w:val="1"/>
                <w:color w:val="FFFFFF"/>
                <w:w w:val="83"/>
              </w:rPr>
              <w:t>(1)</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3"/>
                <w:szCs w:val="13"/>
                <w:b w:val="1"/>
                <w:bCs w:val="1"/>
                <w:color w:val="FFFFFF"/>
              </w:rPr>
              <w:t>​​</w:t>
            </w:r>
          </w:p>
        </w:tc>
        <w:tc>
          <w:tcPr>
            <w:tcW w:w="30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100" w:type="dxa"/>
            <w:vAlign w:val="bottom"/>
          </w:tcPr>
          <w:p>
            <w:pPr>
              <w:spacing w:after="0"/>
              <w:rPr>
                <w:sz w:val="17"/>
                <w:szCs w:val="17"/>
                <w:color w:val="auto"/>
              </w:rPr>
            </w:pPr>
          </w:p>
        </w:tc>
        <w:tc>
          <w:tcPr>
            <w:tcW w:w="140" w:type="dxa"/>
            <w:vAlign w:val="bottom"/>
            <w:gridSpan w:val="2"/>
          </w:tcPr>
          <w:p>
            <w:pPr>
              <w:jc w:val="right"/>
              <w:ind w:right="8"/>
              <w:spacing w:after="0"/>
              <w:rPr>
                <w:sz w:val="20"/>
                <w:szCs w:val="20"/>
                <w:color w:val="auto"/>
              </w:rPr>
            </w:pPr>
            <w:r>
              <w:rPr>
                <w:rFonts w:ascii="Arial" w:cs="Arial" w:eastAsia="Arial" w:hAnsi="Arial"/>
                <w:sz w:val="13"/>
                <w:szCs w:val="13"/>
                <w:b w:val="1"/>
                <w:bCs w:val="1"/>
                <w:color w:val="FFFFFF"/>
              </w:rPr>
              <w:t>​​</w:t>
            </w:r>
          </w:p>
        </w:tc>
        <w:tc>
          <w:tcPr>
            <w:tcW w:w="660" w:type="dxa"/>
            <w:vAlign w:val="bottom"/>
          </w:tcPr>
          <w:p>
            <w:pPr>
              <w:jc w:val="center"/>
              <w:ind w:right="50"/>
              <w:spacing w:after="0"/>
              <w:rPr>
                <w:sz w:val="20"/>
                <w:szCs w:val="20"/>
                <w:color w:val="auto"/>
              </w:rPr>
            </w:pPr>
            <w:r>
              <w:rPr>
                <w:rFonts w:ascii="Arial" w:cs="Arial" w:eastAsia="Arial" w:hAnsi="Arial"/>
                <w:sz w:val="13"/>
                <w:szCs w:val="13"/>
                <w:b w:val="1"/>
                <w:bCs w:val="1"/>
                <w:color w:val="FFFFFF"/>
                <w:w w:val="92"/>
              </w:rPr>
              <w:t>Date</w:t>
            </w:r>
            <w:r>
              <w:rPr>
                <w:rFonts w:ascii="Arial" w:cs="Arial" w:eastAsia="Arial" w:hAnsi="Arial"/>
                <w:sz w:val="16"/>
                <w:szCs w:val="16"/>
                <w:b w:val="1"/>
                <w:bCs w:val="1"/>
                <w:color w:val="FFFFFF"/>
                <w:w w:val="92"/>
                <w:vertAlign w:val="superscript"/>
              </w:rPr>
              <w:t>(2)</w:t>
            </w:r>
          </w:p>
        </w:tc>
        <w:tc>
          <w:tcPr>
            <w:tcW w:w="6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center"/>
              <w:spacing w:after="0" w:line="203" w:lineRule="exact"/>
              <w:rPr>
                <w:sz w:val="20"/>
                <w:szCs w:val="20"/>
                <w:color w:val="auto"/>
              </w:rPr>
            </w:pPr>
            <w:r>
              <w:rPr>
                <w:rFonts w:ascii="Arial" w:cs="Arial" w:eastAsia="Arial" w:hAnsi="Arial"/>
                <w:sz w:val="23"/>
                <w:szCs w:val="23"/>
                <w:b w:val="1"/>
                <w:bCs w:val="1"/>
                <w:color w:val="FFFFFF"/>
                <w:w w:val="91"/>
                <w:vertAlign w:val="subscript"/>
              </w:rPr>
              <w:t>(#)</w:t>
            </w:r>
            <w:r>
              <w:rPr>
                <w:rFonts w:ascii="Arial" w:cs="Arial" w:eastAsia="Arial" w:hAnsi="Arial"/>
                <w:sz w:val="8"/>
                <w:szCs w:val="8"/>
                <w:b w:val="1"/>
                <w:bCs w:val="1"/>
                <w:color w:val="FFFFFF"/>
                <w:w w:val="91"/>
              </w:rPr>
              <w:t>(3)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3"/>
                <w:szCs w:val="13"/>
                <w:b w:val="1"/>
                <w:bCs w:val="1"/>
                <w:color w:val="FFFFFF"/>
              </w:rPr>
              <w:t>​​</w:t>
            </w:r>
          </w:p>
        </w:tc>
        <w:tc>
          <w:tcPr>
            <w:tcW w:w="480" w:type="dxa"/>
            <w:vAlign w:val="bottom"/>
          </w:tcPr>
          <w:p>
            <w:pPr>
              <w:jc w:val="center"/>
              <w:spacing w:after="0" w:line="203" w:lineRule="exact"/>
              <w:rPr>
                <w:sz w:val="20"/>
                <w:szCs w:val="20"/>
                <w:color w:val="auto"/>
              </w:rPr>
            </w:pPr>
            <w:r>
              <w:rPr>
                <w:rFonts w:ascii="Arial" w:cs="Arial" w:eastAsia="Arial" w:hAnsi="Arial"/>
                <w:sz w:val="23"/>
                <w:szCs w:val="23"/>
                <w:b w:val="1"/>
                <w:bCs w:val="1"/>
                <w:color w:val="FFFFFF"/>
                <w:w w:val="91"/>
                <w:vertAlign w:val="subscript"/>
              </w:rPr>
              <w:t>($)</w:t>
            </w:r>
            <w:r>
              <w:rPr>
                <w:rFonts w:ascii="Arial" w:cs="Arial" w:eastAsia="Arial" w:hAnsi="Arial"/>
                <w:sz w:val="8"/>
                <w:szCs w:val="8"/>
                <w:b w:val="1"/>
                <w:bCs w:val="1"/>
                <w:color w:val="FFFFFF"/>
                <w:w w:val="91"/>
              </w:rPr>
              <w:t>(4)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FFFFFF"/>
                <w:w w:val="89"/>
              </w:rPr>
              <w:t>(#)</w:t>
            </w:r>
            <w:r>
              <w:rPr>
                <w:rFonts w:ascii="Arial" w:cs="Arial" w:eastAsia="Arial" w:hAnsi="Arial"/>
                <w:sz w:val="16"/>
                <w:szCs w:val="16"/>
                <w:b w:val="1"/>
                <w:bCs w:val="1"/>
                <w:color w:val="FFFFFF"/>
                <w:w w:val="89"/>
                <w:vertAlign w:val="superscript"/>
              </w:rPr>
              <w:t>(5)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FFFFFF"/>
                <w:w w:val="87"/>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66"/>
        </w:trPr>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3/1/2019</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52,742</w:t>
            </w:r>
          </w:p>
        </w:tc>
        <w:tc>
          <w:tcPr>
            <w:tcW w:w="1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26,372</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80" w:type="dxa"/>
            <w:vAlign w:val="bottom"/>
            <w:gridSpan w:val="5"/>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35.19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3/1/2029</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3/1/2019</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31,970</w:t>
            </w:r>
          </w:p>
        </w:tc>
        <w:tc>
          <w:tcPr>
            <w:tcW w:w="780" w:type="dxa"/>
            <w:vAlign w:val="bottom"/>
            <w:gridSpan w:val="5"/>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1,534,240​​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13,696</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27,393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34.82</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2/28/2030</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32,310</w:t>
            </w:r>
          </w:p>
        </w:tc>
        <w:tc>
          <w:tcPr>
            <w:tcW w:w="780" w:type="dxa"/>
            <w:vAlign w:val="bottom"/>
            <w:gridSpan w:val="5"/>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1,550,557​​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4"/>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10,770</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516,852</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3/5/2021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29,685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48.68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3/5/2031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3/5/2021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30,114</w:t>
            </w:r>
          </w:p>
        </w:tc>
        <w:tc>
          <w:tcPr>
            <w:tcW w:w="780" w:type="dxa"/>
            <w:vAlign w:val="bottom"/>
            <w:gridSpan w:val="5"/>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1,445,171​​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3/5/2021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660" w:type="dxa"/>
            <w:vAlign w:val="bottom"/>
            <w:gridSpan w:val="4"/>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15,057</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722,585</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9/16/2014</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21,360</w:t>
            </w:r>
          </w:p>
        </w:tc>
        <w:tc>
          <w:tcPr>
            <w:tcW w:w="1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highlight w:val="lightGray"/>
              </w:rPr>
              <w:t xml:space="preserve">​​ </w:t>
            </w:r>
            <w:r>
              <w:rPr>
                <w:rFonts w:ascii="Arial" w:cs="Arial" w:eastAsia="Arial" w:hAnsi="Arial"/>
                <w:sz w:val="14"/>
                <w:szCs w:val="14"/>
                <w:b w:val="1"/>
                <w:bCs w:val="1"/>
                <w:color w:val="auto"/>
                <w:highlight w:val="lightGray"/>
              </w:rPr>
              <w:t>​</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highlight w:val="lightGray"/>
              </w:rPr>
              <w:t>7.25</w:t>
            </w:r>
          </w:p>
        </w:tc>
        <w:tc>
          <w:tcPr>
            <w:tcW w:w="40" w:type="dxa"/>
            <w:vAlign w:val="bottom"/>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9/16/2024</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highlight w:val="lightGray"/>
              </w:rPr>
              <w:t>​</w:t>
            </w:r>
            <w:r>
              <w:rPr>
                <w:rFonts w:ascii="Arial" w:cs="Arial" w:eastAsia="Arial" w:hAnsi="Arial"/>
                <w:sz w:val="14"/>
                <w:szCs w:val="14"/>
                <w:color w:val="auto"/>
                <w:highlight w:val="lightGray"/>
              </w:rPr>
              <w:t>92,443</w:t>
            </w:r>
          </w:p>
        </w:tc>
        <w:tc>
          <w:tcPr>
            <w:tcW w:w="140" w:type="dxa"/>
            <w:vAlign w:val="bottom"/>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80" w:type="dxa"/>
            <w:vAlign w:val="bottom"/>
            <w:vMerge w:val="restart"/>
          </w:tcPr>
          <w:p>
            <w:pPr>
              <w:spacing w:after="0"/>
              <w:rPr>
                <w:sz w:val="20"/>
                <w:szCs w:val="20"/>
                <w:color w:val="auto"/>
              </w:rPr>
            </w:pPr>
            <w:r>
              <w:rPr>
                <w:rFonts w:ascii="Arial" w:cs="Arial" w:eastAsia="Arial" w:hAnsi="Arial"/>
                <w:sz w:val="14"/>
                <w:szCs w:val="14"/>
                <w:color w:val="auto"/>
                <w:highlight w:val="lightGray"/>
              </w:rPr>
              <w:t>​</w:t>
            </w:r>
          </w:p>
        </w:tc>
        <w:tc>
          <w:tcPr>
            <w:tcW w:w="480" w:type="dxa"/>
            <w:vAlign w:val="bottom"/>
            <w:gridSpan w:val="3"/>
            <w:vMerge w:val="restart"/>
          </w:tcPr>
          <w:p>
            <w:pPr>
              <w:spacing w:after="0"/>
              <w:rPr>
                <w:sz w:val="20"/>
                <w:szCs w:val="20"/>
                <w:color w:val="auto"/>
              </w:rPr>
            </w:pPr>
            <w:r>
              <w:rPr>
                <w:rFonts w:ascii="Arial" w:cs="Arial" w:eastAsia="Arial" w:hAnsi="Arial"/>
                <w:sz w:val="14"/>
                <w:szCs w:val="14"/>
                <w:b w:val="1"/>
                <w:bCs w:val="1"/>
                <w:color w:val="auto"/>
                <w:highlight w:val="lightGray"/>
              </w:rPr>
              <w:t>​</w:t>
            </w:r>
            <w:r>
              <w:rPr>
                <w:rFonts w:ascii="Arial" w:cs="Arial" w:eastAsia="Arial" w:hAnsi="Arial"/>
                <w:sz w:val="14"/>
                <w:szCs w:val="14"/>
                <w:color w:val="auto"/>
                <w:highlight w:val="lightGray"/>
              </w:rPr>
              <w:t>22.00</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760" w:type="dxa"/>
            <w:vAlign w:val="bottom"/>
            <w:gridSpan w:val="2"/>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line="20" w:lineRule="exact"/>
              <w:rPr>
                <w:sz w:val="1"/>
                <w:szCs w:val="1"/>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highlight w:val="lightGray"/>
              </w:rPr>
              <w:t>10/25/2017</w:t>
            </w:r>
          </w:p>
        </w:tc>
        <w:tc>
          <w:tcPr>
            <w:tcW w:w="20" w:type="dxa"/>
            <w:vAlign w:val="bottom"/>
            <w:vMerge w:val="continue"/>
          </w:tcPr>
          <w:p>
            <w:pPr>
              <w:spacing w:after="0"/>
              <w:rPr>
                <w:sz w:val="15"/>
                <w:szCs w:val="15"/>
                <w:color w:val="auto"/>
              </w:rPr>
            </w:pP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highlight w:val="lightGray"/>
              </w:rPr>
              <w:t>​</w:t>
            </w:r>
          </w:p>
        </w:tc>
        <w:tc>
          <w:tcPr>
            <w:tcW w:w="120" w:type="dxa"/>
            <w:vAlign w:val="bottom"/>
            <w:shd w:val="clear" w:color="auto" w:fill="CCCCCC"/>
          </w:tcPr>
          <w:p>
            <w:pPr>
              <w:spacing w:after="0"/>
              <w:rPr>
                <w:sz w:val="15"/>
                <w:szCs w:val="15"/>
                <w:color w:val="auto"/>
              </w:rPr>
            </w:pPr>
          </w:p>
        </w:tc>
        <w:tc>
          <w:tcPr>
            <w:tcW w:w="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highlight w:val="lightGray"/>
              </w:rPr>
              <w:t>10/25/2027</w:t>
            </w:r>
          </w:p>
        </w:tc>
        <w:tc>
          <w:tcPr>
            <w:tcW w:w="20" w:type="dxa"/>
            <w:vAlign w:val="bottom"/>
            <w:vMerge w:val="continue"/>
          </w:tcPr>
          <w:p>
            <w:pPr>
              <w:spacing w:after="0"/>
              <w:rPr>
                <w:sz w:val="15"/>
                <w:szCs w:val="15"/>
                <w:color w:val="auto"/>
              </w:rPr>
            </w:pP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highlight w:val="lightGray"/>
              </w:rPr>
              <w:t>​</w:t>
            </w:r>
          </w:p>
        </w:tc>
        <w:tc>
          <w:tcPr>
            <w:tcW w:w="680" w:type="dxa"/>
            <w:vAlign w:val="bottom"/>
            <w:shd w:val="clear" w:color="auto" w:fill="CCCCCC"/>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7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highlight w:val="lightGray"/>
              </w:rPr>
              <w:t>​</w:t>
            </w:r>
          </w:p>
        </w:tc>
        <w:tc>
          <w:tcPr>
            <w:tcW w:w="66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highlight w:val="lightGray"/>
              </w:rPr>
              <w:t>3/1/2029</w:t>
            </w: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vMerge w:val="continue"/>
            <w:shd w:val="clear" w:color="auto" w:fill="CCCCCC"/>
          </w:tcPr>
          <w:p>
            <w:pPr>
              <w:spacing w:after="0"/>
              <w:rPr>
                <w:sz w:val="15"/>
                <w:szCs w:val="15"/>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highlight w:val="lightGray"/>
              </w:rPr>
              <w:t>3/1/2019</w:t>
            </w:r>
          </w:p>
        </w:tc>
        <w:tc>
          <w:tcPr>
            <w:tcW w:w="20" w:type="dxa"/>
            <w:vAlign w:val="bottom"/>
            <w:vMerge w:val="continue"/>
          </w:tcPr>
          <w:p>
            <w:pPr>
              <w:spacing w:after="0"/>
              <w:rPr>
                <w:sz w:val="15"/>
                <w:szCs w:val="15"/>
                <w:color w:val="auto"/>
              </w:rPr>
            </w:pPr>
          </w:p>
        </w:tc>
        <w:tc>
          <w:tcPr>
            <w:tcW w:w="40" w:type="dxa"/>
            <w:vAlign w:val="bottom"/>
            <w:vMerge w:val="continue"/>
            <w:shd w:val="clear" w:color="auto" w:fill="CCCCCC"/>
          </w:tcPr>
          <w:p>
            <w:pPr>
              <w:spacing w:after="0"/>
              <w:rPr>
                <w:sz w:val="15"/>
                <w:szCs w:val="15"/>
                <w:color w:val="auto"/>
              </w:rPr>
            </w:pPr>
          </w:p>
        </w:tc>
        <w:tc>
          <w:tcPr>
            <w:tcW w:w="120" w:type="dxa"/>
            <w:vAlign w:val="bottom"/>
            <w:shd w:val="clear" w:color="auto" w:fill="CCCCCC"/>
          </w:tcPr>
          <w:p>
            <w:pPr>
              <w:spacing w:after="0"/>
              <w:rPr>
                <w:sz w:val="15"/>
                <w:szCs w:val="15"/>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highlight w:val="lightGray"/>
              </w:rPr>
              <w:t>​</w:t>
            </w:r>
            <w:r>
              <w:rPr>
                <w:rFonts w:ascii="Arial" w:cs="Arial" w:eastAsia="Arial" w:hAnsi="Arial"/>
                <w:sz w:val="14"/>
                <w:szCs w:val="14"/>
                <w:color w:val="auto"/>
                <w:highlight w:val="lightGray"/>
              </w:rPr>
              <w:t>14,065</w:t>
            </w:r>
          </w:p>
        </w:tc>
        <w:tc>
          <w:tcPr>
            <w:tcW w:w="140" w:type="dxa"/>
            <w:vAlign w:val="bottom"/>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highlight w:val="lightGray"/>
              </w:rPr>
              <w:t xml:space="preserve">​ </w:t>
            </w:r>
            <w:r>
              <w:rPr>
                <w:rFonts w:ascii="Arial" w:cs="Arial" w:eastAsia="Arial" w:hAnsi="Arial"/>
                <w:sz w:val="14"/>
                <w:szCs w:val="14"/>
                <w:color w:val="auto"/>
                <w:highlight w:val="lightGray"/>
              </w:rPr>
              <w:t>7,033</w:t>
            </w:r>
          </w:p>
        </w:tc>
        <w:tc>
          <w:tcPr>
            <w:tcW w:w="2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380" w:type="dxa"/>
            <w:vAlign w:val="bottom"/>
            <w:gridSpan w:val="2"/>
            <w:shd w:val="clear" w:color="auto" w:fill="CCCCCC"/>
          </w:tcPr>
          <w:p>
            <w:pPr>
              <w:spacing w:after="0"/>
              <w:rPr>
                <w:sz w:val="20"/>
                <w:szCs w:val="20"/>
                <w:color w:val="auto"/>
              </w:rPr>
            </w:pPr>
            <w:r>
              <w:rPr>
                <w:rFonts w:ascii="Arial" w:cs="Arial" w:eastAsia="Arial" w:hAnsi="Arial"/>
                <w:sz w:val="14"/>
                <w:szCs w:val="14"/>
                <w:b w:val="1"/>
                <w:bCs w:val="1"/>
                <w:color w:val="auto"/>
                <w:highlight w:val="lightGray"/>
              </w:rPr>
              <w:t>​</w:t>
            </w:r>
            <w:r>
              <w:rPr>
                <w:rFonts w:ascii="Arial" w:cs="Arial" w:eastAsia="Arial" w:hAnsi="Arial"/>
                <w:sz w:val="14"/>
                <w:szCs w:val="14"/>
                <w:color w:val="auto"/>
                <w:highlight w:val="lightGray"/>
              </w:rPr>
              <w:t>35.19</w:t>
            </w:r>
          </w:p>
        </w:tc>
        <w:tc>
          <w:tcPr>
            <w:tcW w:w="1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vMerge w:val="continue"/>
            <w:shd w:val="clear" w:color="auto" w:fill="CCCCCC"/>
          </w:tcPr>
          <w:p>
            <w:pPr>
              <w:spacing w:after="0"/>
              <w:rPr>
                <w:sz w:val="15"/>
                <w:szCs w:val="15"/>
                <w:color w:val="auto"/>
              </w:rPr>
            </w:pPr>
          </w:p>
        </w:tc>
        <w:tc>
          <w:tcPr>
            <w:tcW w:w="660" w:type="dxa"/>
            <w:vAlign w:val="bottom"/>
            <w:vMerge w:val="continue"/>
            <w:shd w:val="clear" w:color="auto" w:fill="CCCCCC"/>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CCCC"/>
          </w:tcPr>
          <w:p>
            <w:pPr>
              <w:spacing w:after="0" w:line="20" w:lineRule="exact"/>
              <w:rPr>
                <w:sz w:val="1"/>
                <w:szCs w:val="1"/>
                <w:color w:val="auto"/>
              </w:rPr>
            </w:pPr>
          </w:p>
        </w:tc>
        <w:tc>
          <w:tcPr>
            <w:tcW w:w="460" w:type="dxa"/>
            <w:vAlign w:val="bottom"/>
            <w:vMerge w:val="restart"/>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color w:val="auto"/>
                <w:highlight w:val="lightGray"/>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60" w:type="dxa"/>
            <w:vAlign w:val="bottom"/>
            <w:vMerge w:val="restart"/>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highlight w:val="lightGray"/>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7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20" w:type="dxa"/>
            <w:vAlign w:val="bottom"/>
            <w:vMerge w:val="restart"/>
            <w:shd w:val="clear" w:color="auto" w:fill="CCCCCC"/>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CCCC"/>
          </w:tcPr>
          <w:p>
            <w:pPr>
              <w:spacing w:after="0" w:line="20" w:lineRule="exact"/>
              <w:rPr>
                <w:sz w:val="1"/>
                <w:szCs w:val="1"/>
                <w:color w:val="auto"/>
              </w:rPr>
            </w:pPr>
          </w:p>
        </w:tc>
        <w:tc>
          <w:tcPr>
            <w:tcW w:w="6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8,526</w:t>
            </w:r>
          </w:p>
        </w:tc>
        <w:tc>
          <w:tcPr>
            <w:tcW w:w="180" w:type="dxa"/>
            <w:vAlign w:val="bottom"/>
          </w:tcPr>
          <w:p>
            <w:pPr>
              <w:spacing w:after="0" w:line="20" w:lineRule="exact"/>
              <w:rPr>
                <w:sz w:val="1"/>
                <w:szCs w:val="1"/>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409,163​​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Borders>
              <w:bottom w:val="single" w:sz="8" w:color="CCCCCC"/>
            </w:tcBorders>
            <w:vMerge w:val="continue"/>
            <w:shd w:val="clear" w:color="auto" w:fill="CCCCCC"/>
          </w:tcPr>
          <w:p>
            <w:pPr>
              <w:spacing w:after="0"/>
              <w:rPr>
                <w:sz w:val="15"/>
                <w:szCs w:val="15"/>
                <w:color w:val="auto"/>
              </w:rPr>
            </w:pPr>
          </w:p>
        </w:tc>
        <w:tc>
          <w:tcPr>
            <w:tcW w:w="680" w:type="dxa"/>
            <w:vAlign w:val="bottom"/>
            <w:tcBorders>
              <w:bottom w:val="single" w:sz="8" w:color="CCCCCC"/>
            </w:tcBorders>
            <w:vMerge w:val="continue"/>
            <w:shd w:val="clear" w:color="auto" w:fill="CCCCCC"/>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tcBorders>
              <w:bottom w:val="single" w:sz="8" w:color="CCCCCC"/>
            </w:tcBorders>
            <w:vMerge w:val="continue"/>
            <w:shd w:val="clear" w:color="auto" w:fill="CCCCCC"/>
          </w:tcPr>
          <w:p>
            <w:pPr>
              <w:spacing w:after="0"/>
              <w:rPr>
                <w:sz w:val="15"/>
                <w:szCs w:val="15"/>
                <w:color w:val="auto"/>
              </w:rPr>
            </w:pPr>
          </w:p>
        </w:tc>
        <w:tc>
          <w:tcPr>
            <w:tcW w:w="120" w:type="dxa"/>
            <w:vAlign w:val="bottom"/>
            <w:tcBorders>
              <w:bottom w:val="single" w:sz="8" w:color="CCCCCC"/>
            </w:tcBorders>
            <w:vMerge w:val="continue"/>
            <w:shd w:val="clear" w:color="auto" w:fill="CCCCCC"/>
          </w:tcPr>
          <w:p>
            <w:pPr>
              <w:spacing w:after="0"/>
              <w:rPr>
                <w:sz w:val="15"/>
                <w:szCs w:val="15"/>
                <w:color w:val="auto"/>
              </w:rPr>
            </w:pPr>
          </w:p>
        </w:tc>
        <w:tc>
          <w:tcPr>
            <w:tcW w:w="460" w:type="dxa"/>
            <w:vAlign w:val="bottom"/>
            <w:tcBorders>
              <w:bottom w:val="single" w:sz="8" w:color="CCCCCC"/>
            </w:tcBorders>
            <w:vMerge w:val="continue"/>
            <w:shd w:val="clear" w:color="auto" w:fill="CCCCCC"/>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60" w:type="dxa"/>
            <w:vAlign w:val="bottom"/>
            <w:tcBorders>
              <w:bottom w:val="single" w:sz="8" w:color="CCCCCC"/>
            </w:tcBorders>
            <w:vMerge w:val="continue"/>
            <w:shd w:val="clear" w:color="auto" w:fill="CCCCCC"/>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Borders>
              <w:bottom w:val="single" w:sz="8" w:color="CCCCCC"/>
            </w:tcBorders>
            <w:vMerge w:val="continue"/>
            <w:shd w:val="clear" w:color="auto" w:fill="CCCCCC"/>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80" w:type="dxa"/>
            <w:vAlign w:val="bottom"/>
            <w:tcBorders>
              <w:bottom w:val="single" w:sz="8" w:color="CCCCCC"/>
            </w:tcBorders>
            <w:vMerge w:val="continue"/>
            <w:shd w:val="clear" w:color="auto" w:fill="CCCCCC"/>
          </w:tcPr>
          <w:p>
            <w:pPr>
              <w:spacing w:after="0"/>
              <w:rPr>
                <w:sz w:val="15"/>
                <w:szCs w:val="15"/>
                <w:color w:val="auto"/>
              </w:rPr>
            </w:pPr>
          </w:p>
        </w:tc>
        <w:tc>
          <w:tcPr>
            <w:tcW w:w="300" w:type="dxa"/>
            <w:vAlign w:val="bottom"/>
            <w:tcBorders>
              <w:bottom w:val="single" w:sz="8" w:color="CCCCCC"/>
            </w:tcBorders>
            <w:shd w:val="clear" w:color="auto" w:fill="CCCCCC"/>
          </w:tcPr>
          <w:p>
            <w:pPr>
              <w:spacing w:after="0"/>
              <w:rPr>
                <w:sz w:val="15"/>
                <w:szCs w:val="15"/>
                <w:color w:val="auto"/>
              </w:rPr>
            </w:pPr>
          </w:p>
        </w:tc>
        <w:tc>
          <w:tcPr>
            <w:tcW w:w="10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4"/>
                <w:szCs w:val="14"/>
                <w:color w:val="auto"/>
                <w:highlight w:val="lightGray"/>
              </w:rPr>
              <w:t>​</w:t>
            </w:r>
          </w:p>
        </w:tc>
        <w:tc>
          <w:tcPr>
            <w:tcW w:w="40" w:type="dxa"/>
            <w:vAlign w:val="bottom"/>
            <w:vMerge w:val="continue"/>
          </w:tcPr>
          <w:p>
            <w:pPr>
              <w:spacing w:after="0"/>
              <w:rPr>
                <w:sz w:val="15"/>
                <w:szCs w:val="15"/>
                <w:color w:val="auto"/>
              </w:rPr>
            </w:pPr>
          </w:p>
        </w:tc>
        <w:tc>
          <w:tcPr>
            <w:tcW w:w="100" w:type="dxa"/>
            <w:vAlign w:val="bottom"/>
            <w:tcBorders>
              <w:bottom w:val="single" w:sz="8" w:color="CCCCCC"/>
            </w:tcBorders>
            <w:vMerge w:val="continue"/>
            <w:shd w:val="clear" w:color="auto" w:fill="CCCCCC"/>
          </w:tcPr>
          <w:p>
            <w:pPr>
              <w:spacing w:after="0"/>
              <w:rPr>
                <w:sz w:val="15"/>
                <w:szCs w:val="15"/>
                <w:color w:val="auto"/>
              </w:rPr>
            </w:pPr>
          </w:p>
        </w:tc>
        <w:tc>
          <w:tcPr>
            <w:tcW w:w="660" w:type="dxa"/>
            <w:vAlign w:val="bottom"/>
            <w:tcBorders>
              <w:bottom w:val="single" w:sz="8" w:color="CCCCCC"/>
            </w:tcBorders>
            <w:shd w:val="clear" w:color="auto" w:fill="CCCCCC"/>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tcBorders>
              <w:bottom w:val="single" w:sz="8" w:color="CCCCCC"/>
            </w:tcBorders>
            <w:vMerge w:val="continue"/>
            <w:shd w:val="clear" w:color="auto" w:fill="CCCCCC"/>
          </w:tcPr>
          <w:p>
            <w:pPr>
              <w:spacing w:after="0"/>
              <w:rPr>
                <w:sz w:val="15"/>
                <w:szCs w:val="15"/>
                <w:color w:val="auto"/>
              </w:rPr>
            </w:pPr>
          </w:p>
        </w:tc>
        <w:tc>
          <w:tcPr>
            <w:tcW w:w="80" w:type="dxa"/>
            <w:vAlign w:val="bottom"/>
            <w:tcBorders>
              <w:bottom w:val="single" w:sz="8" w:color="CCCCCC"/>
            </w:tcBorders>
            <w:vMerge w:val="continue"/>
            <w:shd w:val="clear" w:color="auto" w:fill="CCCCCC"/>
          </w:tcPr>
          <w:p>
            <w:pPr>
              <w:spacing w:after="0"/>
              <w:rPr>
                <w:sz w:val="15"/>
                <w:szCs w:val="15"/>
                <w:color w:val="auto"/>
              </w:rPr>
            </w:pPr>
          </w:p>
        </w:tc>
        <w:tc>
          <w:tcPr>
            <w:tcW w:w="60" w:type="dxa"/>
            <w:vAlign w:val="bottom"/>
            <w:tcBorders>
              <w:bottom w:val="single" w:sz="8" w:color="CCCCCC"/>
            </w:tcBorders>
            <w:vMerge w:val="continue"/>
            <w:shd w:val="clear" w:color="auto" w:fill="CCCCCC"/>
          </w:tcPr>
          <w:p>
            <w:pPr>
              <w:spacing w:after="0"/>
              <w:rPr>
                <w:sz w:val="15"/>
                <w:szCs w:val="15"/>
                <w:color w:val="auto"/>
              </w:rPr>
            </w:pPr>
          </w:p>
        </w:tc>
        <w:tc>
          <w:tcPr>
            <w:tcW w:w="380" w:type="dxa"/>
            <w:vAlign w:val="bottom"/>
            <w:tcBorders>
              <w:bottom w:val="single" w:sz="8" w:color="CCCCCC"/>
            </w:tcBorders>
            <w:shd w:val="clear" w:color="auto" w:fill="CCCCCC"/>
          </w:tcPr>
          <w:p>
            <w:pPr>
              <w:spacing w:after="0"/>
              <w:rPr>
                <w:sz w:val="15"/>
                <w:szCs w:val="15"/>
                <w:color w:val="auto"/>
              </w:rPr>
            </w:pPr>
          </w:p>
        </w:tc>
        <w:tc>
          <w:tcPr>
            <w:tcW w:w="140" w:type="dxa"/>
            <w:vAlign w:val="bottom"/>
            <w:tcBorders>
              <w:bottom w:val="single" w:sz="8" w:color="CCCCCC"/>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highlight w:val="lightGray"/>
              </w:rPr>
              <w:t>​</w:t>
            </w:r>
          </w:p>
        </w:tc>
        <w:tc>
          <w:tcPr>
            <w:tcW w:w="2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
                <w:szCs w:val="1"/>
                <w:color w:val="auto"/>
                <w:highlight w:val="lightGray"/>
                <w:w w:val="4294942296"/>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CCCC"/>
            </w:tcBorders>
            <w:vMerge w:val="continue"/>
            <w:shd w:val="clear" w:color="auto" w:fill="CCCCCC"/>
          </w:tcPr>
          <w:p>
            <w:pPr>
              <w:spacing w:after="0"/>
              <w:rPr>
                <w:sz w:val="15"/>
                <w:szCs w:val="15"/>
                <w:color w:val="auto"/>
              </w:rPr>
            </w:pPr>
          </w:p>
        </w:tc>
        <w:tc>
          <w:tcPr>
            <w:tcW w:w="480" w:type="dxa"/>
            <w:vAlign w:val="bottom"/>
            <w:tcBorders>
              <w:bottom w:val="single" w:sz="8" w:color="CCCCCC"/>
            </w:tcBorders>
            <w:shd w:val="clear" w:color="auto" w:fill="CCCCCC"/>
          </w:tcPr>
          <w:p>
            <w:pPr>
              <w:spacing w:after="0"/>
              <w:rPr>
                <w:sz w:val="15"/>
                <w:szCs w:val="15"/>
                <w:color w:val="auto"/>
              </w:rPr>
            </w:pP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highlight w:val="lightGray"/>
              </w:rPr>
              <w:t>​</w:t>
            </w:r>
          </w:p>
        </w:tc>
        <w:tc>
          <w:tcPr>
            <w:tcW w:w="4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color w:val="auto"/>
                <w:highlight w:val="lightGray"/>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5"/>
                <w:szCs w:val="15"/>
                <w:color w:val="auto"/>
              </w:rPr>
            </w:pPr>
          </w:p>
        </w:tc>
        <w:tc>
          <w:tcPr>
            <w:tcW w:w="60" w:type="dxa"/>
            <w:vAlign w:val="bottom"/>
            <w:tcBorders>
              <w:bottom w:val="single" w:sz="8" w:color="CCCCCC"/>
            </w:tcBorders>
            <w:vMerge w:val="continue"/>
            <w:shd w:val="clear" w:color="auto" w:fill="CCCCCC"/>
          </w:tcPr>
          <w:p>
            <w:pPr>
              <w:spacing w:after="0"/>
              <w:rPr>
                <w:sz w:val="15"/>
                <w:szCs w:val="15"/>
                <w:color w:val="auto"/>
              </w:rPr>
            </w:pPr>
          </w:p>
        </w:tc>
        <w:tc>
          <w:tcPr>
            <w:tcW w:w="400" w:type="dxa"/>
            <w:vAlign w:val="bottom"/>
            <w:tcBorders>
              <w:bottom w:val="single" w:sz="8" w:color="CCCCCC"/>
            </w:tcBorders>
            <w:vMerge w:val="continue"/>
            <w:shd w:val="clear" w:color="auto" w:fill="CCCCCC"/>
          </w:tcPr>
          <w:p>
            <w:pPr>
              <w:spacing w:after="0"/>
              <w:rPr>
                <w:sz w:val="15"/>
                <w:szCs w:val="15"/>
                <w:color w:val="auto"/>
              </w:rPr>
            </w:pPr>
          </w:p>
        </w:tc>
        <w:tc>
          <w:tcPr>
            <w:tcW w:w="180" w:type="dxa"/>
            <w:vAlign w:val="bottom"/>
            <w:tcBorders>
              <w:bottom w:val="single" w:sz="8" w:color="CCCCCC"/>
              <w:right w:val="single" w:sz="8" w:color="CCCCCC"/>
            </w:tcBorders>
            <w:shd w:val="clear" w:color="auto" w:fill="CCCCCC"/>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40" w:type="dxa"/>
            <w:vAlign w:val="bottom"/>
            <w:tcBorders>
              <w:bottom w:val="single" w:sz="8" w:color="CCCCCC"/>
            </w:tcBorders>
            <w:vMerge w:val="continue"/>
            <w:shd w:val="clear" w:color="auto" w:fill="CCCCCC"/>
          </w:tcPr>
          <w:p>
            <w:pPr>
              <w:spacing w:after="0"/>
              <w:rPr>
                <w:sz w:val="15"/>
                <w:szCs w:val="15"/>
                <w:color w:val="auto"/>
              </w:rPr>
            </w:pPr>
          </w:p>
        </w:tc>
        <w:tc>
          <w:tcPr>
            <w:tcW w:w="600" w:type="dxa"/>
            <w:vAlign w:val="bottom"/>
            <w:tcBorders>
              <w:bottom w:val="single" w:sz="8" w:color="CCCCCC"/>
            </w:tcBorders>
            <w:vMerge w:val="continue"/>
            <w:shd w:val="clear" w:color="auto" w:fill="CCCCC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11/18/2019</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5"/>
                <w:szCs w:val="15"/>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rPr>
                <w:sz w:val="15"/>
                <w:szCs w:val="15"/>
                <w:color w:val="auto"/>
              </w:rPr>
            </w:pPr>
          </w:p>
        </w:tc>
        <w:tc>
          <w:tcPr>
            <w:tcW w:w="1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rPr>
                <w:sz w:val="15"/>
                <w:szCs w:val="15"/>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ind w:left="40"/>
              <w:spacing w:after="0"/>
              <w:rPr>
                <w:sz w:val="20"/>
                <w:szCs w:val="20"/>
                <w:color w:val="auto"/>
              </w:rPr>
            </w:pPr>
            <w:r>
              <w:rPr>
                <w:rFonts w:ascii="Arial" w:cs="Arial" w:eastAsia="Arial" w:hAnsi="Arial"/>
                <w:sz w:val="14"/>
                <w:szCs w:val="14"/>
                <w:color w:val="auto"/>
                <w:w w:val="91"/>
              </w:rPr>
              <w:t>5,489</w:t>
            </w:r>
          </w:p>
        </w:tc>
        <w:tc>
          <w:tcPr>
            <w:tcW w:w="140" w:type="dxa"/>
            <w:vAlign w:val="bottom"/>
            <w:tcBorders>
              <w:right w:val="single" w:sz="8" w:color="CCCCCC"/>
            </w:tcBorders>
            <w:shd w:val="clear" w:color="auto" w:fill="CCCCCC"/>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263,417</w:t>
            </w:r>
          </w:p>
        </w:tc>
        <w:tc>
          <w:tcPr>
            <w:tcW w:w="80" w:type="dxa"/>
            <w:vAlign w:val="bottom"/>
            <w:shd w:val="clear" w:color="auto" w:fill="CCCCCC"/>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rPr>
                <w:sz w:val="15"/>
                <w:szCs w:val="15"/>
                <w:color w:val="auto"/>
              </w:rPr>
            </w:pPr>
          </w:p>
        </w:tc>
        <w:tc>
          <w:tcPr>
            <w:tcW w:w="1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6"/>
                <w:szCs w:val="16"/>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6,087</w:t>
            </w:r>
          </w:p>
        </w:tc>
        <w:tc>
          <w:tcPr>
            <w:tcW w:w="1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12,175</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6"/>
                <w:szCs w:val="16"/>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CCCC"/>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34.82</w:t>
            </w:r>
          </w:p>
        </w:tc>
        <w:tc>
          <w:tcPr>
            <w:tcW w:w="100" w:type="dxa"/>
            <w:vAlign w:val="bottom"/>
            <w:tcBorders>
              <w:right w:val="single" w:sz="8" w:color="CCCCCC"/>
            </w:tcBorders>
            <w:shd w:val="clear" w:color="auto" w:fill="CCCCCC"/>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2/28/2030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6"/>
                <w:szCs w:val="16"/>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6"/>
                <w:szCs w:val="16"/>
                <w:color w:val="auto"/>
              </w:rPr>
            </w:pPr>
          </w:p>
        </w:tc>
        <w:tc>
          <w:tcPr>
            <w:tcW w:w="140" w:type="dxa"/>
            <w:vAlign w:val="bottom"/>
            <w:tcBorders>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6"/>
                <w:szCs w:val="16"/>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rPr>
                <w:sz w:val="16"/>
                <w:szCs w:val="16"/>
                <w:color w:val="auto"/>
              </w:rPr>
            </w:pPr>
          </w:p>
        </w:tc>
        <w:tc>
          <w:tcPr>
            <w:tcW w:w="1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rPr>
                <w:sz w:val="17"/>
                <w:szCs w:val="17"/>
                <w:color w:val="auto"/>
              </w:rPr>
            </w:pPr>
          </w:p>
        </w:tc>
        <w:tc>
          <w:tcPr>
            <w:tcW w:w="1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7"/>
                <w:szCs w:val="17"/>
                <w:color w:val="auto"/>
              </w:rPr>
            </w:pPr>
          </w:p>
        </w:tc>
        <w:tc>
          <w:tcPr>
            <w:tcW w:w="140" w:type="dxa"/>
            <w:vAlign w:val="bottom"/>
            <w:tcBorders>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60" w:type="dxa"/>
            <w:vAlign w:val="bottom"/>
            <w:gridSpan w:val="2"/>
            <w:shd w:val="clear" w:color="auto" w:fill="CCCCCC"/>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14,360</w:t>
            </w:r>
          </w:p>
        </w:tc>
        <w:tc>
          <w:tcPr>
            <w:tcW w:w="180" w:type="dxa"/>
            <w:vAlign w:val="bottom"/>
            <w:tcBorders>
              <w:right w:val="single" w:sz="8" w:color="CCCCCC"/>
            </w:tcBorders>
            <w:shd w:val="clear" w:color="auto" w:fill="CCCCCC"/>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689,136​​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rPr>
                <w:sz w:val="17"/>
                <w:szCs w:val="17"/>
                <w:color w:val="auto"/>
              </w:rPr>
            </w:pPr>
          </w:p>
        </w:tc>
        <w:tc>
          <w:tcPr>
            <w:tcW w:w="1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ind w:left="40"/>
              <w:spacing w:after="0"/>
              <w:rPr>
                <w:sz w:val="20"/>
                <w:szCs w:val="20"/>
                <w:color w:val="auto"/>
              </w:rPr>
            </w:pPr>
            <w:r>
              <w:rPr>
                <w:rFonts w:ascii="Arial" w:cs="Arial" w:eastAsia="Arial" w:hAnsi="Arial"/>
                <w:sz w:val="14"/>
                <w:szCs w:val="14"/>
                <w:color w:val="auto"/>
                <w:w w:val="91"/>
              </w:rPr>
              <w:t>4,787</w:t>
            </w:r>
          </w:p>
        </w:tc>
        <w:tc>
          <w:tcPr>
            <w:tcW w:w="140" w:type="dxa"/>
            <w:vAlign w:val="bottom"/>
            <w:tcBorders>
              <w:right w:val="single" w:sz="8" w:color="CCCCCC"/>
            </w:tcBorders>
            <w:shd w:val="clear" w:color="auto" w:fill="CCCCCC"/>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229,728</w:t>
            </w:r>
          </w:p>
        </w:tc>
        <w:tc>
          <w:tcPr>
            <w:tcW w:w="80" w:type="dxa"/>
            <w:vAlign w:val="bottom"/>
            <w:shd w:val="clear" w:color="auto" w:fill="CCCCCC"/>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rPr>
                <w:sz w:val="17"/>
                <w:szCs w:val="17"/>
                <w:color w:val="auto"/>
              </w:rPr>
            </w:pPr>
          </w:p>
        </w:tc>
        <w:tc>
          <w:tcPr>
            <w:tcW w:w="1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3/5/2021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7,557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CCCC"/>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45.66</w:t>
            </w:r>
          </w:p>
        </w:tc>
        <w:tc>
          <w:tcPr>
            <w:tcW w:w="100" w:type="dxa"/>
            <w:vAlign w:val="bottom"/>
            <w:tcBorders>
              <w:right w:val="single" w:sz="8" w:color="CCCCCC"/>
            </w:tcBorders>
            <w:shd w:val="clear" w:color="auto" w:fill="CCCCCC"/>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3/5/2031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7"/>
                <w:szCs w:val="17"/>
                <w:color w:val="auto"/>
              </w:rPr>
            </w:pPr>
          </w:p>
        </w:tc>
        <w:tc>
          <w:tcPr>
            <w:tcW w:w="140" w:type="dxa"/>
            <w:vAlign w:val="bottom"/>
            <w:tcBorders>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rPr>
                <w:sz w:val="17"/>
                <w:szCs w:val="17"/>
                <w:color w:val="auto"/>
              </w:rPr>
            </w:pPr>
          </w:p>
        </w:tc>
        <w:tc>
          <w:tcPr>
            <w:tcW w:w="1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3/5/2021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rPr>
                <w:sz w:val="17"/>
                <w:szCs w:val="17"/>
                <w:color w:val="auto"/>
              </w:rPr>
            </w:pPr>
          </w:p>
        </w:tc>
        <w:tc>
          <w:tcPr>
            <w:tcW w:w="1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7"/>
                <w:szCs w:val="17"/>
                <w:color w:val="auto"/>
              </w:rPr>
            </w:pPr>
          </w:p>
        </w:tc>
        <w:tc>
          <w:tcPr>
            <w:tcW w:w="140" w:type="dxa"/>
            <w:vAlign w:val="bottom"/>
            <w:tcBorders>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7,666</w:t>
            </w:r>
          </w:p>
        </w:tc>
        <w:tc>
          <w:tcPr>
            <w:tcW w:w="180" w:type="dxa"/>
            <w:vAlign w:val="bottom"/>
            <w:tcBorders>
              <w:right w:val="single" w:sz="8" w:color="CCCCCC"/>
            </w:tcBorders>
            <w:shd w:val="clear" w:color="auto" w:fill="CCCCCC"/>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367,891​​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3/5/2021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CCCCCC"/>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CCCC"/>
            </w:tcBorders>
            <w:shd w:val="clear" w:color="auto" w:fill="CCCCCC"/>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CCCC"/>
            </w:tcBorders>
            <w:shd w:val="clear" w:color="auto" w:fill="CCCCCC"/>
          </w:tcPr>
          <w:p>
            <w:pPr>
              <w:spacing w:after="0"/>
              <w:rPr>
                <w:sz w:val="18"/>
                <w:szCs w:val="18"/>
                <w:color w:val="auto"/>
              </w:rPr>
            </w:pPr>
          </w:p>
        </w:tc>
        <w:tc>
          <w:tcPr>
            <w:tcW w:w="10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CCCCCC"/>
            </w:tcBorders>
            <w:shd w:val="clear" w:color="auto" w:fill="CCCCCC"/>
          </w:tcPr>
          <w:p>
            <w:pPr>
              <w:spacing w:after="0"/>
              <w:rPr>
                <w:sz w:val="18"/>
                <w:szCs w:val="18"/>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4"/>
                <w:szCs w:val="14"/>
                <w:color w:val="auto"/>
                <w:w w:val="91"/>
              </w:rPr>
              <w:t>3,833</w:t>
            </w:r>
          </w:p>
        </w:tc>
        <w:tc>
          <w:tcPr>
            <w:tcW w:w="140" w:type="dxa"/>
            <w:vAlign w:val="bottom"/>
            <w:tcBorders>
              <w:bottom w:val="single" w:sz="8" w:color="CCCCCC"/>
              <w:right w:val="single" w:sz="8" w:color="CCCCCC"/>
            </w:tcBorders>
            <w:shd w:val="clear" w:color="auto" w:fill="CCCCCC"/>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183,946</w:t>
            </w:r>
          </w:p>
        </w:tc>
        <w:tc>
          <w:tcPr>
            <w:tcW w:w="80" w:type="dxa"/>
            <w:vAlign w:val="bottom"/>
            <w:tcBorders>
              <w:bottom w:val="single" w:sz="8" w:color="CCCCCC"/>
            </w:tcBorders>
            <w:shd w:val="clear" w:color="auto" w:fill="CCCCCC"/>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CCCC"/>
            </w:tcBorders>
            <w:shd w:val="clear" w:color="auto" w:fill="CCCCCC"/>
          </w:tcPr>
          <w:p>
            <w:pPr>
              <w:spacing w:after="0"/>
              <w:rPr>
                <w:sz w:val="18"/>
                <w:szCs w:val="18"/>
                <w:color w:val="auto"/>
              </w:rPr>
            </w:pPr>
          </w:p>
        </w:tc>
        <w:tc>
          <w:tcPr>
            <w:tcW w:w="18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CCCC"/>
            </w:tcBorders>
            <w:shd w:val="clear" w:color="auto" w:fill="CCCCCC"/>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3" w:lineRule="exact"/>
              <w:rPr>
                <w:sz w:val="20"/>
                <w:szCs w:val="20"/>
                <w:color w:val="auto"/>
              </w:rPr>
            </w:pPr>
            <w:r>
              <w:rPr>
                <w:rFonts w:ascii="Arial" w:cs="Arial" w:eastAsia="Arial" w:hAnsi="Arial"/>
                <w:sz w:val="14"/>
                <w:szCs w:val="14"/>
                <w:color w:val="auto"/>
              </w:rPr>
              <w:t>5/3/2021</w:t>
            </w:r>
          </w:p>
        </w:tc>
        <w:tc>
          <w:tcPr>
            <w:tcW w:w="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6,685</w:t>
            </w:r>
          </w:p>
        </w:tc>
        <w:tc>
          <w:tcPr>
            <w:tcW w:w="200" w:type="dxa"/>
            <w:vAlign w:val="bottom"/>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740" w:type="dxa"/>
            <w:vAlign w:val="bottom"/>
          </w:tcPr>
          <w:p>
            <w:pPr>
              <w:ind w:left="36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80" w:type="dxa"/>
            <w:vAlign w:val="bottom"/>
            <w:gridSpan w:val="5"/>
          </w:tcPr>
          <w:p>
            <w:pPr>
              <w:spacing w:after="0" w:line="153"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52.11</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5/3/2031</w:t>
            </w:r>
          </w:p>
        </w:tc>
        <w:tc>
          <w:tcPr>
            <w:tcW w:w="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4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20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 ​​​</w:t>
            </w:r>
          </w:p>
        </w:tc>
        <w:tc>
          <w:tcPr>
            <w:tcW w:w="120" w:type="dxa"/>
            <w:vAlign w:val="bottom"/>
          </w:tcPr>
          <w:p>
            <w:pPr>
              <w:spacing w:after="0"/>
              <w:rPr>
                <w:sz w:val="13"/>
                <w:szCs w:val="13"/>
                <w:color w:val="auto"/>
              </w:rPr>
            </w:pPr>
          </w:p>
        </w:tc>
        <w:tc>
          <w:tcPr>
            <w:tcW w:w="60" w:type="dxa"/>
            <w:vAlign w:val="bottom"/>
          </w:tcPr>
          <w:p>
            <w:pPr>
              <w:spacing w:after="0" w:line="153"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1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5/3/2021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color w:val="auto"/>
              </w:rPr>
              <w:t>6,717</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322,349​​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5/3/2021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40"/>
              <w:spacing w:after="0"/>
              <w:rPr>
                <w:sz w:val="20"/>
                <w:szCs w:val="20"/>
                <w:color w:val="auto"/>
              </w:rPr>
            </w:pPr>
            <w:r>
              <w:rPr>
                <w:rFonts w:ascii="Arial" w:cs="Arial" w:eastAsia="Arial" w:hAnsi="Arial"/>
                <w:sz w:val="14"/>
                <w:szCs w:val="14"/>
                <w:color w:val="auto"/>
              </w:rPr>
              <w:t>3,359</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161,198</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8/14/2017</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32,549</w:t>
            </w:r>
          </w:p>
        </w:tc>
        <w:tc>
          <w:tcPr>
            <w:tcW w:w="1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auto"/>
                <w:highlight w:val="lightGray"/>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highlight w:val="lightGray"/>
              </w:rPr>
              <w:t xml:space="preserve">​ </w:t>
            </w:r>
            <w:r>
              <w:rPr>
                <w:rFonts w:ascii="Arial" w:cs="Arial" w:eastAsia="Arial" w:hAnsi="Arial"/>
                <w:sz w:val="14"/>
                <w:szCs w:val="14"/>
                <w:color w:val="auto"/>
                <w:highlight w:val="lightGray"/>
              </w:rPr>
              <w:t>8,137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580" w:type="dxa"/>
            <w:vAlign w:val="bottom"/>
            <w:gridSpan w:val="5"/>
          </w:tcPr>
          <w:p>
            <w:pPr>
              <w:spacing w:after="0"/>
              <w:rPr>
                <w:sz w:val="20"/>
                <w:szCs w:val="20"/>
                <w:color w:val="auto"/>
              </w:rPr>
            </w:pPr>
            <w:r>
              <w:rPr>
                <w:rFonts w:ascii="Arial" w:cs="Arial" w:eastAsia="Arial" w:hAnsi="Arial"/>
                <w:sz w:val="14"/>
                <w:szCs w:val="14"/>
                <w:color w:val="auto"/>
                <w:highlight w:val="lightGray"/>
              </w:rPr>
              <w:t xml:space="preserve">​​ </w:t>
            </w:r>
            <w:r>
              <w:rPr>
                <w:rFonts w:ascii="Arial" w:cs="Arial" w:eastAsia="Arial" w:hAnsi="Arial"/>
                <w:sz w:val="14"/>
                <w:szCs w:val="14"/>
                <w:b w:val="1"/>
                <w:bCs w:val="1"/>
                <w:color w:val="auto"/>
                <w:highlight w:val="lightGray"/>
              </w:rPr>
              <w:t>​</w:t>
            </w:r>
            <w:r>
              <w:rPr>
                <w:rFonts w:ascii="Arial" w:cs="Arial" w:eastAsia="Arial" w:hAnsi="Arial"/>
                <w:sz w:val="14"/>
                <w:szCs w:val="14"/>
                <w:color w:val="auto"/>
                <w:highlight w:val="lightGray"/>
              </w:rPr>
              <w:t>15.74</w:t>
            </w:r>
          </w:p>
        </w:tc>
        <w:tc>
          <w:tcPr>
            <w:tcW w:w="40" w:type="dxa"/>
            <w:vAlign w:val="bottom"/>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8/14/2027</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7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3/1/2019</w:t>
            </w:r>
          </w:p>
        </w:tc>
        <w:tc>
          <w:tcPr>
            <w:tcW w:w="20" w:type="dxa"/>
            <w:vAlign w:val="bottom"/>
            <w:vMerge w:val="continue"/>
          </w:tcPr>
          <w:p>
            <w:pPr>
              <w:spacing w:after="0"/>
              <w:rPr>
                <w:sz w:val="15"/>
                <w:szCs w:val="15"/>
                <w:color w:val="auto"/>
              </w:rPr>
            </w:pP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highlight w:val="lightGray"/>
              </w:rPr>
              <w:t>​</w:t>
            </w:r>
          </w:p>
        </w:tc>
        <w:tc>
          <w:tcPr>
            <w:tcW w:w="120" w:type="dxa"/>
            <w:vAlign w:val="bottom"/>
            <w:shd w:val="clear" w:color="auto" w:fill="CCCCCC"/>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highlight w:val="lightGray"/>
              </w:rPr>
              <w:t xml:space="preserve">​ </w:t>
            </w:r>
            <w:r>
              <w:rPr>
                <w:rFonts w:ascii="Arial" w:cs="Arial" w:eastAsia="Arial" w:hAnsi="Arial"/>
                <w:sz w:val="14"/>
                <w:szCs w:val="14"/>
                <w:color w:val="auto"/>
                <w:highlight w:val="lightGray"/>
              </w:rPr>
              <w:t>5,860</w:t>
            </w:r>
          </w:p>
        </w:tc>
        <w:tc>
          <w:tcPr>
            <w:tcW w:w="14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
                <w:szCs w:val="1"/>
                <w:color w:val="auto"/>
                <w:highlight w:val="lightGray"/>
                <w:w w:val="4294942296"/>
              </w:rPr>
              <w:t>​</w:t>
            </w:r>
          </w:p>
        </w:tc>
        <w:tc>
          <w:tcPr>
            <w:tcW w:w="16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highlight w:val="lightGray"/>
              </w:rPr>
              <w:t xml:space="preserve">​ </w:t>
            </w:r>
            <w:r>
              <w:rPr>
                <w:rFonts w:ascii="Arial" w:cs="Arial" w:eastAsia="Arial" w:hAnsi="Arial"/>
                <w:sz w:val="14"/>
                <w:szCs w:val="14"/>
                <w:color w:val="auto"/>
                <w:highlight w:val="lightGray"/>
              </w:rPr>
              <w:t>2,931</w:t>
            </w:r>
          </w:p>
        </w:tc>
        <w:tc>
          <w:tcPr>
            <w:tcW w:w="2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80" w:type="dxa"/>
            <w:vAlign w:val="bottom"/>
          </w:tcPr>
          <w:p>
            <w:pPr>
              <w:spacing w:after="0"/>
              <w:rPr>
                <w:sz w:val="20"/>
                <w:szCs w:val="20"/>
                <w:color w:val="auto"/>
              </w:rPr>
            </w:pPr>
            <w:r>
              <w:rPr>
                <w:rFonts w:ascii="Arial" w:cs="Arial" w:eastAsia="Arial" w:hAnsi="Arial"/>
                <w:sz w:val="14"/>
                <w:szCs w:val="14"/>
                <w:color w:val="auto"/>
                <w:highlight w:val="lightGray"/>
              </w:rPr>
              <w:t>​</w:t>
            </w: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highlight w:val="lightGray"/>
              </w:rPr>
              <w:t>​</w:t>
            </w:r>
            <w:r>
              <w:rPr>
                <w:rFonts w:ascii="Arial" w:cs="Arial" w:eastAsia="Arial" w:hAnsi="Arial"/>
                <w:sz w:val="14"/>
                <w:szCs w:val="14"/>
                <w:color w:val="auto"/>
                <w:highlight w:val="lightGray"/>
              </w:rPr>
              <w:t>35.19</w:t>
            </w:r>
          </w:p>
        </w:tc>
        <w:tc>
          <w:tcPr>
            <w:tcW w:w="40" w:type="dxa"/>
            <w:vAlign w:val="bottom"/>
            <w:vMerge w:val="continue"/>
          </w:tcPr>
          <w:p>
            <w:pPr>
              <w:spacing w:after="0"/>
              <w:rPr>
                <w:sz w:val="15"/>
                <w:szCs w:val="15"/>
                <w:color w:val="auto"/>
              </w:rPr>
            </w:pP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3/1/2029</w:t>
            </w:r>
          </w:p>
        </w:tc>
        <w:tc>
          <w:tcPr>
            <w:tcW w:w="20" w:type="dxa"/>
            <w:vAlign w:val="bottom"/>
            <w:vMerge w:val="continue"/>
          </w:tcPr>
          <w:p>
            <w:pPr>
              <w:spacing w:after="0"/>
              <w:rPr>
                <w:sz w:val="15"/>
                <w:szCs w:val="15"/>
                <w:color w:val="auto"/>
              </w:rPr>
            </w:pP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highlight w:val="lightGray"/>
              </w:rPr>
              <w:t>​</w:t>
            </w:r>
          </w:p>
        </w:tc>
        <w:tc>
          <w:tcPr>
            <w:tcW w:w="680" w:type="dxa"/>
            <w:vAlign w:val="bottom"/>
            <w:shd w:val="clear" w:color="auto" w:fill="CCCCCC"/>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vMerge w:val="continue"/>
            <w:shd w:val="clear" w:color="auto" w:fill="CCCCCC"/>
          </w:tcPr>
          <w:p>
            <w:pPr>
              <w:spacing w:after="0"/>
              <w:rPr>
                <w:sz w:val="15"/>
                <w:szCs w:val="15"/>
                <w:color w:val="auto"/>
              </w:rPr>
            </w:pP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highlight w:val="lightGray"/>
              </w:rPr>
              <w:t>3/1/2019</w:t>
            </w:r>
          </w:p>
        </w:tc>
        <w:tc>
          <w:tcPr>
            <w:tcW w:w="20" w:type="dxa"/>
            <w:vAlign w:val="bottom"/>
            <w:vMerge w:val="continue"/>
          </w:tcPr>
          <w:p>
            <w:pPr>
              <w:spacing w:after="0"/>
              <w:rPr>
                <w:sz w:val="15"/>
                <w:szCs w:val="15"/>
                <w:color w:val="auto"/>
              </w:rPr>
            </w:pPr>
          </w:p>
        </w:tc>
        <w:tc>
          <w:tcPr>
            <w:tcW w:w="40" w:type="dxa"/>
            <w:vAlign w:val="bottom"/>
            <w:vMerge w:val="continue"/>
            <w:shd w:val="clear" w:color="auto" w:fill="CCCCCC"/>
          </w:tcPr>
          <w:p>
            <w:pPr>
              <w:spacing w:after="0"/>
              <w:rPr>
                <w:sz w:val="15"/>
                <w:szCs w:val="15"/>
                <w:color w:val="auto"/>
              </w:rPr>
            </w:pPr>
          </w:p>
        </w:tc>
        <w:tc>
          <w:tcPr>
            <w:tcW w:w="120" w:type="dxa"/>
            <w:vAlign w:val="bottom"/>
            <w:shd w:val="clear" w:color="auto" w:fill="CCCCCC"/>
          </w:tcPr>
          <w:p>
            <w:pPr>
              <w:spacing w:after="0"/>
              <w:rPr>
                <w:sz w:val="15"/>
                <w:szCs w:val="15"/>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shd w:val="clear" w:color="auto" w:fill="CCCCCC"/>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8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vMerge w:val="continue"/>
            <w:shd w:val="clear" w:color="auto" w:fill="CCCCCC"/>
          </w:tcPr>
          <w:p>
            <w:pPr>
              <w:spacing w:after="0"/>
              <w:rPr>
                <w:sz w:val="15"/>
                <w:szCs w:val="15"/>
                <w:color w:val="auto"/>
              </w:rPr>
            </w:pPr>
          </w:p>
        </w:tc>
        <w:tc>
          <w:tcPr>
            <w:tcW w:w="660" w:type="dxa"/>
            <w:vAlign w:val="bottom"/>
            <w:shd w:val="clear" w:color="auto" w:fill="CCCCCC"/>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shd w:val="clear" w:color="auto" w:fill="CCCCCC"/>
          </w:tcPr>
          <w:p>
            <w:pPr>
              <w:spacing w:after="0"/>
              <w:rPr>
                <w:sz w:val="15"/>
                <w:szCs w:val="15"/>
                <w:color w:val="auto"/>
              </w:rPr>
            </w:pPr>
          </w:p>
        </w:tc>
        <w:tc>
          <w:tcPr>
            <w:tcW w:w="80" w:type="dxa"/>
            <w:vAlign w:val="bottom"/>
            <w:shd w:val="clear" w:color="auto" w:fill="CCCCCC"/>
          </w:tcPr>
          <w:p>
            <w:pPr>
              <w:spacing w:after="0"/>
              <w:rPr>
                <w:sz w:val="15"/>
                <w:szCs w:val="15"/>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highlight w:val="lightGray"/>
              </w:rPr>
              <w:t>​</w:t>
            </w:r>
          </w:p>
        </w:tc>
        <w:tc>
          <w:tcPr>
            <w:tcW w:w="400" w:type="dxa"/>
            <w:vAlign w:val="bottom"/>
            <w:shd w:val="clear" w:color="auto" w:fill="CCCCCC"/>
          </w:tcPr>
          <w:p>
            <w:pPr>
              <w:jc w:val="right"/>
              <w:spacing w:after="0"/>
              <w:rPr>
                <w:sz w:val="20"/>
                <w:szCs w:val="20"/>
                <w:color w:val="auto"/>
              </w:rPr>
            </w:pPr>
            <w:r>
              <w:rPr>
                <w:rFonts w:ascii="Arial" w:cs="Arial" w:eastAsia="Arial" w:hAnsi="Arial"/>
                <w:sz w:val="14"/>
                <w:szCs w:val="14"/>
                <w:color w:val="auto"/>
                <w:highlight w:val="lightGray"/>
              </w:rPr>
              <w:t>3,553</w:t>
            </w:r>
          </w:p>
        </w:tc>
        <w:tc>
          <w:tcPr>
            <w:tcW w:w="180" w:type="dxa"/>
            <w:vAlign w:val="bottom"/>
            <w:tcBorders>
              <w:right w:val="single" w:sz="8" w:color="CCCCCC"/>
            </w:tcBorders>
            <w:shd w:val="clear" w:color="auto" w:fill="CCCCCC"/>
          </w:tcPr>
          <w:p>
            <w:pPr>
              <w:spacing w:after="0"/>
              <w:rPr>
                <w:sz w:val="15"/>
                <w:szCs w:val="15"/>
                <w:color w:val="auto"/>
              </w:rPr>
            </w:pPr>
          </w:p>
        </w:tc>
        <w:tc>
          <w:tcPr>
            <w:tcW w:w="20" w:type="dxa"/>
            <w:vAlign w:val="bottom"/>
            <w:shd w:val="clear" w:color="auto" w:fill="CCCCCC"/>
          </w:tcPr>
          <w:p>
            <w:pPr>
              <w:jc w:val="right"/>
              <w:spacing w:after="0"/>
              <w:rPr>
                <w:sz w:val="20"/>
                <w:szCs w:val="20"/>
                <w:color w:val="auto"/>
              </w:rPr>
            </w:pPr>
            <w:r>
              <w:rPr>
                <w:rFonts w:ascii="Arial" w:cs="Arial" w:eastAsia="Arial" w:hAnsi="Arial"/>
                <w:sz w:val="1"/>
                <w:szCs w:val="1"/>
                <w:color w:val="auto"/>
                <w:highlight w:val="lightGray"/>
                <w:w w:val="4294942296"/>
              </w:rPr>
              <w:t>​</w:t>
            </w: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highlight w:val="lightGray"/>
              </w:rPr>
              <w:t xml:space="preserve">​ </w:t>
            </w:r>
            <w:r>
              <w:rPr>
                <w:rFonts w:ascii="Arial" w:cs="Arial" w:eastAsia="Arial" w:hAnsi="Arial"/>
                <w:sz w:val="14"/>
                <w:szCs w:val="14"/>
                <w:color w:val="auto"/>
                <w:highlight w:val="lightGray"/>
              </w:rPr>
              <w:t>170,508​</w:t>
            </w: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60" w:type="dxa"/>
            <w:vAlign w:val="bottom"/>
            <w:gridSpan w:val="2"/>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11/18/2019</w:t>
            </w: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CCCC"/>
          </w:tcPr>
          <w:p>
            <w:pPr>
              <w:spacing w:after="0" w:line="20" w:lineRule="exact"/>
              <w:rPr>
                <w:sz w:val="1"/>
                <w:szCs w:val="1"/>
                <w:color w:val="auto"/>
              </w:rPr>
            </w:pPr>
          </w:p>
        </w:tc>
        <w:tc>
          <w:tcPr>
            <w:tcW w:w="460" w:type="dxa"/>
            <w:vAlign w:val="bottom"/>
            <w:vMerge w:val="restart"/>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color w:val="auto"/>
                <w:highlight w:val="lightGray"/>
              </w:rPr>
              <w:t>​</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60" w:type="dxa"/>
            <w:vAlign w:val="bottom"/>
            <w:vMerge w:val="restart"/>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highlight w:val="lightGray"/>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7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20" w:type="dxa"/>
            <w:vAlign w:val="bottom"/>
            <w:vMerge w:val="restart"/>
            <w:shd w:val="clear" w:color="auto" w:fill="CCCCCC"/>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CCCC"/>
          </w:tcPr>
          <w:p>
            <w:pPr>
              <w:spacing w:after="0" w:line="20" w:lineRule="exact"/>
              <w:rPr>
                <w:sz w:val="1"/>
                <w:szCs w:val="1"/>
                <w:color w:val="auto"/>
              </w:rPr>
            </w:pPr>
          </w:p>
        </w:tc>
        <w:tc>
          <w:tcPr>
            <w:tcW w:w="6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shd w:val="clear" w:color="auto" w:fill="CCCCCC"/>
          </w:tcPr>
          <w:p>
            <w:pPr>
              <w:ind w:left="40"/>
              <w:spacing w:after="0"/>
              <w:rPr>
                <w:sz w:val="20"/>
                <w:szCs w:val="20"/>
                <w:color w:val="auto"/>
              </w:rPr>
            </w:pPr>
            <w:r>
              <w:rPr>
                <w:rFonts w:ascii="Arial" w:cs="Arial" w:eastAsia="Arial" w:hAnsi="Arial"/>
                <w:sz w:val="14"/>
                <w:szCs w:val="14"/>
                <w:color w:val="auto"/>
                <w:w w:val="91"/>
              </w:rPr>
              <w:t>5,489</w:t>
            </w: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263,417</w:t>
            </w: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line="20" w:lineRule="exact"/>
              <w:rPr>
                <w:sz w:val="1"/>
                <w:szCs w:val="1"/>
                <w:color w:val="auto"/>
              </w:rPr>
            </w:pPr>
          </w:p>
        </w:tc>
        <w:tc>
          <w:tcPr>
            <w:tcW w:w="180" w:type="dxa"/>
            <w:vAlign w:val="bottom"/>
            <w:tcBorders>
              <w:right w:val="single" w:sz="8" w:color="CCCCCC"/>
            </w:tcBorders>
            <w:vMerge w:val="restart"/>
            <w:shd w:val="clear" w:color="auto" w:fill="CCCCCC"/>
          </w:tcPr>
          <w:p>
            <w:pPr>
              <w:spacing w:after="0"/>
              <w:rPr>
                <w:sz w:val="20"/>
                <w:szCs w:val="20"/>
                <w:color w:val="auto"/>
              </w:rPr>
            </w:pPr>
            <w:r>
              <w:rPr>
                <w:rFonts w:ascii="Arial" w:cs="Arial" w:eastAsia="Arial" w:hAnsi="Arial"/>
                <w:sz w:val="14"/>
                <w:szCs w:val="14"/>
                <w:color w:val="auto"/>
                <w:highlight w:val="lightGray"/>
              </w:rPr>
              <w:t>​</w:t>
            </w:r>
          </w:p>
        </w:tc>
        <w:tc>
          <w:tcPr>
            <w:tcW w:w="20" w:type="dxa"/>
            <w:vAlign w:val="bottom"/>
            <w:shd w:val="clear" w:color="auto" w:fill="CCCCCC"/>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Borders>
              <w:bottom w:val="single" w:sz="8" w:color="CCCCCC"/>
            </w:tcBorders>
            <w:gridSpan w:val="2"/>
            <w:vMerge w:val="continue"/>
            <w:shd w:val="clear" w:color="auto" w:fill="CCCCCC"/>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tcBorders>
              <w:bottom w:val="single" w:sz="8" w:color="CCCCCC"/>
            </w:tcBorders>
            <w:vMerge w:val="continue"/>
            <w:shd w:val="clear" w:color="auto" w:fill="CCCCCC"/>
          </w:tcPr>
          <w:p>
            <w:pPr>
              <w:spacing w:after="0"/>
              <w:rPr>
                <w:sz w:val="15"/>
                <w:szCs w:val="15"/>
                <w:color w:val="auto"/>
              </w:rPr>
            </w:pPr>
          </w:p>
        </w:tc>
        <w:tc>
          <w:tcPr>
            <w:tcW w:w="120" w:type="dxa"/>
            <w:vAlign w:val="bottom"/>
            <w:tcBorders>
              <w:bottom w:val="single" w:sz="8" w:color="CCCCCC"/>
            </w:tcBorders>
            <w:vMerge w:val="continue"/>
            <w:shd w:val="clear" w:color="auto" w:fill="CCCCCC"/>
          </w:tcPr>
          <w:p>
            <w:pPr>
              <w:spacing w:after="0"/>
              <w:rPr>
                <w:sz w:val="15"/>
                <w:szCs w:val="15"/>
                <w:color w:val="auto"/>
              </w:rPr>
            </w:pPr>
          </w:p>
        </w:tc>
        <w:tc>
          <w:tcPr>
            <w:tcW w:w="460" w:type="dxa"/>
            <w:vAlign w:val="bottom"/>
            <w:tcBorders>
              <w:bottom w:val="single" w:sz="8" w:color="CCCCCC"/>
            </w:tcBorders>
            <w:vMerge w:val="continue"/>
            <w:shd w:val="clear" w:color="auto" w:fill="CCCCCC"/>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60" w:type="dxa"/>
            <w:vAlign w:val="bottom"/>
            <w:tcBorders>
              <w:bottom w:val="single" w:sz="8" w:color="CCCCCC"/>
            </w:tcBorders>
            <w:vMerge w:val="continue"/>
            <w:shd w:val="clear" w:color="auto" w:fill="CCCCCC"/>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Borders>
              <w:bottom w:val="single" w:sz="8" w:color="CCCCCC"/>
            </w:tcBorders>
            <w:vMerge w:val="continue"/>
            <w:shd w:val="clear" w:color="auto" w:fill="CCCCCC"/>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80" w:type="dxa"/>
            <w:vAlign w:val="bottom"/>
            <w:tcBorders>
              <w:bottom w:val="single" w:sz="8" w:color="CCCCCC"/>
            </w:tcBorders>
            <w:vMerge w:val="continue"/>
            <w:shd w:val="clear" w:color="auto" w:fill="CCCCCC"/>
          </w:tcPr>
          <w:p>
            <w:pPr>
              <w:spacing w:after="0"/>
              <w:rPr>
                <w:sz w:val="15"/>
                <w:szCs w:val="15"/>
                <w:color w:val="auto"/>
              </w:rPr>
            </w:pPr>
          </w:p>
        </w:tc>
        <w:tc>
          <w:tcPr>
            <w:tcW w:w="300" w:type="dxa"/>
            <w:vAlign w:val="bottom"/>
            <w:tcBorders>
              <w:bottom w:val="single" w:sz="8" w:color="CCCCCC"/>
            </w:tcBorders>
            <w:shd w:val="clear" w:color="auto" w:fill="CCCCCC"/>
          </w:tcPr>
          <w:p>
            <w:pPr>
              <w:spacing w:after="0"/>
              <w:rPr>
                <w:sz w:val="15"/>
                <w:szCs w:val="15"/>
                <w:color w:val="auto"/>
              </w:rPr>
            </w:pPr>
          </w:p>
        </w:tc>
        <w:tc>
          <w:tcPr>
            <w:tcW w:w="10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4"/>
                <w:szCs w:val="14"/>
                <w:color w:val="auto"/>
                <w:highlight w:val="lightGray"/>
              </w:rPr>
              <w:t>​</w:t>
            </w:r>
          </w:p>
        </w:tc>
        <w:tc>
          <w:tcPr>
            <w:tcW w:w="40" w:type="dxa"/>
            <w:vAlign w:val="bottom"/>
          </w:tcPr>
          <w:p>
            <w:pPr>
              <w:jc w:val="right"/>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p>
        </w:tc>
        <w:tc>
          <w:tcPr>
            <w:tcW w:w="100" w:type="dxa"/>
            <w:vAlign w:val="bottom"/>
            <w:tcBorders>
              <w:bottom w:val="single" w:sz="8" w:color="CCCCCC"/>
            </w:tcBorders>
            <w:vMerge w:val="continue"/>
            <w:shd w:val="clear" w:color="auto" w:fill="CCCCCC"/>
          </w:tcPr>
          <w:p>
            <w:pPr>
              <w:spacing w:after="0"/>
              <w:rPr>
                <w:sz w:val="15"/>
                <w:szCs w:val="15"/>
                <w:color w:val="auto"/>
              </w:rPr>
            </w:pPr>
          </w:p>
        </w:tc>
        <w:tc>
          <w:tcPr>
            <w:tcW w:w="660" w:type="dxa"/>
            <w:vAlign w:val="bottom"/>
            <w:tcBorders>
              <w:bottom w:val="single" w:sz="8" w:color="CCCCCC"/>
            </w:tcBorders>
            <w:shd w:val="clear" w:color="auto" w:fill="CCCCCC"/>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tcBorders>
              <w:bottom w:val="single" w:sz="8" w:color="CCCCCC"/>
            </w:tcBorders>
            <w:vMerge w:val="continue"/>
            <w:shd w:val="clear" w:color="auto" w:fill="CCCCCC"/>
          </w:tcPr>
          <w:p>
            <w:pPr>
              <w:spacing w:after="0"/>
              <w:rPr>
                <w:sz w:val="15"/>
                <w:szCs w:val="15"/>
                <w:color w:val="auto"/>
              </w:rPr>
            </w:pPr>
          </w:p>
        </w:tc>
        <w:tc>
          <w:tcPr>
            <w:tcW w:w="80" w:type="dxa"/>
            <w:vAlign w:val="bottom"/>
            <w:tcBorders>
              <w:bottom w:val="single" w:sz="8" w:color="CCCCCC"/>
            </w:tcBorders>
            <w:vMerge w:val="continue"/>
            <w:shd w:val="clear" w:color="auto" w:fill="CCCCCC"/>
          </w:tcPr>
          <w:p>
            <w:pPr>
              <w:spacing w:after="0"/>
              <w:rPr>
                <w:sz w:val="15"/>
                <w:szCs w:val="15"/>
                <w:color w:val="auto"/>
              </w:rPr>
            </w:pPr>
          </w:p>
        </w:tc>
        <w:tc>
          <w:tcPr>
            <w:tcW w:w="60" w:type="dxa"/>
            <w:vAlign w:val="bottom"/>
            <w:tcBorders>
              <w:bottom w:val="single" w:sz="8" w:color="CCCCCC"/>
            </w:tcBorders>
            <w:vMerge w:val="continue"/>
            <w:shd w:val="clear" w:color="auto" w:fill="CCCCCC"/>
          </w:tcPr>
          <w:p>
            <w:pPr>
              <w:spacing w:after="0"/>
              <w:rPr>
                <w:sz w:val="15"/>
                <w:szCs w:val="15"/>
                <w:color w:val="auto"/>
              </w:rPr>
            </w:pPr>
          </w:p>
        </w:tc>
        <w:tc>
          <w:tcPr>
            <w:tcW w:w="380" w:type="dxa"/>
            <w:vAlign w:val="bottom"/>
            <w:tcBorders>
              <w:bottom w:val="single" w:sz="8" w:color="CCCCCC"/>
            </w:tcBorders>
            <w:vMerge w:val="continue"/>
            <w:shd w:val="clear" w:color="auto" w:fill="CCCCCC"/>
          </w:tcPr>
          <w:p>
            <w:pPr>
              <w:spacing w:after="0"/>
              <w:rPr>
                <w:sz w:val="15"/>
                <w:szCs w:val="15"/>
                <w:color w:val="auto"/>
              </w:rPr>
            </w:pPr>
          </w:p>
        </w:tc>
        <w:tc>
          <w:tcPr>
            <w:tcW w:w="140" w:type="dxa"/>
            <w:vAlign w:val="bottom"/>
            <w:tcBorders>
              <w:bottom w:val="single" w:sz="8" w:color="CCCCCC"/>
              <w:right w:val="single" w:sz="8" w:color="CCCCCC"/>
            </w:tcBorders>
            <w:shd w:val="clear" w:color="auto" w:fill="CCCCCC"/>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CCCC"/>
            </w:tcBorders>
            <w:gridSpan w:val="2"/>
            <w:vMerge w:val="continue"/>
            <w:shd w:val="clear" w:color="auto" w:fill="CCCCCC"/>
          </w:tcPr>
          <w:p>
            <w:pPr>
              <w:spacing w:after="0"/>
              <w:rPr>
                <w:sz w:val="15"/>
                <w:szCs w:val="15"/>
                <w:color w:val="auto"/>
              </w:rPr>
            </w:pPr>
          </w:p>
        </w:tc>
        <w:tc>
          <w:tcPr>
            <w:tcW w:w="80" w:type="dxa"/>
            <w:vAlign w:val="bottom"/>
            <w:tcBorders>
              <w:bottom w:val="single" w:sz="8" w:color="CCCCCC"/>
            </w:tcBorders>
            <w:shd w:val="clear" w:color="auto" w:fill="CCCCCC"/>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Borders>
              <w:bottom w:val="single" w:sz="8" w:color="CCCCCC"/>
            </w:tcBorders>
            <w:vMerge w:val="continue"/>
            <w:shd w:val="clear" w:color="auto" w:fill="CCCCCC"/>
          </w:tcPr>
          <w:p>
            <w:pPr>
              <w:spacing w:after="0"/>
              <w:rPr>
                <w:sz w:val="15"/>
                <w:szCs w:val="15"/>
                <w:color w:val="auto"/>
              </w:rPr>
            </w:pPr>
          </w:p>
        </w:tc>
        <w:tc>
          <w:tcPr>
            <w:tcW w:w="400" w:type="dxa"/>
            <w:vAlign w:val="bottom"/>
            <w:tcBorders>
              <w:bottom w:val="single" w:sz="8" w:color="CCCCCC"/>
            </w:tcBorders>
            <w:shd w:val="clear" w:color="auto" w:fill="CCCCCC"/>
          </w:tcPr>
          <w:p>
            <w:pPr>
              <w:spacing w:after="0"/>
              <w:rPr>
                <w:sz w:val="15"/>
                <w:szCs w:val="15"/>
                <w:color w:val="auto"/>
              </w:rPr>
            </w:pPr>
          </w:p>
        </w:tc>
        <w:tc>
          <w:tcPr>
            <w:tcW w:w="180" w:type="dxa"/>
            <w:vAlign w:val="bottom"/>
            <w:tcBorders>
              <w:bottom w:val="single" w:sz="8" w:color="CCCCCC"/>
              <w:right w:val="single" w:sz="8" w:color="CCCCCC"/>
            </w:tcBorders>
            <w:vMerge w:val="continue"/>
            <w:shd w:val="clear" w:color="auto" w:fill="CCCCCC"/>
          </w:tcPr>
          <w:p>
            <w:pPr>
              <w:spacing w:after="0"/>
              <w:rPr>
                <w:sz w:val="15"/>
                <w:szCs w:val="15"/>
                <w:color w:val="auto"/>
              </w:rPr>
            </w:pPr>
          </w:p>
        </w:tc>
        <w:tc>
          <w:tcPr>
            <w:tcW w:w="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
                <w:szCs w:val="1"/>
                <w:color w:val="auto"/>
                <w:highlight w:val="lightGray"/>
                <w:w w:val="4294942296"/>
              </w:rPr>
              <w:t>​</w:t>
            </w:r>
          </w:p>
        </w:tc>
        <w:tc>
          <w:tcPr>
            <w:tcW w:w="60" w:type="dxa"/>
            <w:vAlign w:val="bottom"/>
            <w:vMerge w:val="continue"/>
          </w:tcPr>
          <w:p>
            <w:pPr>
              <w:spacing w:after="0"/>
              <w:rPr>
                <w:sz w:val="15"/>
                <w:szCs w:val="15"/>
                <w:color w:val="auto"/>
              </w:rPr>
            </w:pPr>
          </w:p>
        </w:tc>
        <w:tc>
          <w:tcPr>
            <w:tcW w:w="40" w:type="dxa"/>
            <w:vAlign w:val="bottom"/>
            <w:tcBorders>
              <w:bottom w:val="single" w:sz="8" w:color="CCCCCC"/>
            </w:tcBorders>
            <w:vMerge w:val="continue"/>
            <w:shd w:val="clear" w:color="auto" w:fill="CCCCCC"/>
          </w:tcPr>
          <w:p>
            <w:pPr>
              <w:spacing w:after="0"/>
              <w:rPr>
                <w:sz w:val="15"/>
                <w:szCs w:val="15"/>
                <w:color w:val="auto"/>
              </w:rPr>
            </w:pPr>
          </w:p>
        </w:tc>
        <w:tc>
          <w:tcPr>
            <w:tcW w:w="600" w:type="dxa"/>
            <w:vAlign w:val="bottom"/>
            <w:tcBorders>
              <w:bottom w:val="single" w:sz="8" w:color="CCCCCC"/>
            </w:tcBorders>
            <w:shd w:val="clear" w:color="auto" w:fill="CCCCCC"/>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5"/>
                <w:szCs w:val="15"/>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1,522</w:t>
            </w:r>
          </w:p>
        </w:tc>
        <w:tc>
          <w:tcPr>
            <w:tcW w:w="1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3,044</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CCCC"/>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34.82</w:t>
            </w:r>
          </w:p>
        </w:tc>
        <w:tc>
          <w:tcPr>
            <w:tcW w:w="100" w:type="dxa"/>
            <w:vAlign w:val="bottom"/>
            <w:tcBorders>
              <w:right w:val="single" w:sz="8" w:color="CCCCCC"/>
            </w:tcBorders>
            <w:shd w:val="clear" w:color="auto" w:fill="CCCCCC"/>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2/28/2030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5"/>
                <w:szCs w:val="15"/>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5"/>
                <w:szCs w:val="15"/>
                <w:color w:val="auto"/>
              </w:rPr>
            </w:pPr>
          </w:p>
        </w:tc>
        <w:tc>
          <w:tcPr>
            <w:tcW w:w="140" w:type="dxa"/>
            <w:vAlign w:val="bottom"/>
            <w:tcBorders>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5"/>
                <w:szCs w:val="15"/>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rPr>
                <w:sz w:val="15"/>
                <w:szCs w:val="15"/>
                <w:color w:val="auto"/>
              </w:rPr>
            </w:pPr>
          </w:p>
        </w:tc>
        <w:tc>
          <w:tcPr>
            <w:tcW w:w="1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6"/>
                <w:szCs w:val="16"/>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6"/>
                <w:szCs w:val="16"/>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rPr>
                <w:sz w:val="16"/>
                <w:szCs w:val="16"/>
                <w:color w:val="auto"/>
              </w:rPr>
            </w:pPr>
          </w:p>
        </w:tc>
        <w:tc>
          <w:tcPr>
            <w:tcW w:w="1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rPr>
                <w:sz w:val="16"/>
                <w:szCs w:val="16"/>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6"/>
                <w:szCs w:val="16"/>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6"/>
                <w:szCs w:val="16"/>
                <w:color w:val="auto"/>
              </w:rPr>
            </w:pPr>
          </w:p>
        </w:tc>
        <w:tc>
          <w:tcPr>
            <w:tcW w:w="140" w:type="dxa"/>
            <w:vAlign w:val="bottom"/>
            <w:tcBorders>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6"/>
                <w:szCs w:val="16"/>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3,590</w:t>
            </w:r>
          </w:p>
        </w:tc>
        <w:tc>
          <w:tcPr>
            <w:tcW w:w="180" w:type="dxa"/>
            <w:vAlign w:val="bottom"/>
            <w:tcBorders>
              <w:right w:val="single" w:sz="8" w:color="CCCCCC"/>
            </w:tcBorders>
            <w:shd w:val="clear" w:color="auto" w:fill="CCCCCC"/>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172,284​​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shd w:val="clear" w:color="auto" w:fill="CCCCCC"/>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rPr>
                <w:sz w:val="17"/>
                <w:szCs w:val="17"/>
                <w:color w:val="auto"/>
              </w:rPr>
            </w:pPr>
          </w:p>
        </w:tc>
        <w:tc>
          <w:tcPr>
            <w:tcW w:w="1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ind w:left="40"/>
              <w:spacing w:after="0"/>
              <w:rPr>
                <w:sz w:val="20"/>
                <w:szCs w:val="20"/>
                <w:color w:val="auto"/>
              </w:rPr>
            </w:pPr>
            <w:r>
              <w:rPr>
                <w:rFonts w:ascii="Arial" w:cs="Arial" w:eastAsia="Arial" w:hAnsi="Arial"/>
                <w:sz w:val="14"/>
                <w:szCs w:val="14"/>
                <w:color w:val="auto"/>
                <w:w w:val="91"/>
              </w:rPr>
              <w:t>1,197</w:t>
            </w:r>
          </w:p>
        </w:tc>
        <w:tc>
          <w:tcPr>
            <w:tcW w:w="140" w:type="dxa"/>
            <w:vAlign w:val="bottom"/>
            <w:tcBorders>
              <w:right w:val="single" w:sz="8" w:color="CCCCCC"/>
            </w:tcBorders>
            <w:shd w:val="clear" w:color="auto" w:fill="CCCCCC"/>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57,444</w:t>
            </w:r>
          </w:p>
        </w:tc>
        <w:tc>
          <w:tcPr>
            <w:tcW w:w="80" w:type="dxa"/>
            <w:vAlign w:val="bottom"/>
            <w:shd w:val="clear" w:color="auto" w:fill="CCCCCC"/>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rPr>
                <w:sz w:val="17"/>
                <w:szCs w:val="17"/>
                <w:color w:val="auto"/>
              </w:rPr>
            </w:pPr>
          </w:p>
        </w:tc>
        <w:tc>
          <w:tcPr>
            <w:tcW w:w="1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3/5/2021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3,779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CCCC"/>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45.66</w:t>
            </w:r>
          </w:p>
        </w:tc>
        <w:tc>
          <w:tcPr>
            <w:tcW w:w="100" w:type="dxa"/>
            <w:vAlign w:val="bottom"/>
            <w:tcBorders>
              <w:right w:val="single" w:sz="8" w:color="CCCCCC"/>
            </w:tcBorders>
            <w:shd w:val="clear" w:color="auto" w:fill="CCCCCC"/>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3/5/2031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7"/>
                <w:szCs w:val="17"/>
                <w:color w:val="auto"/>
              </w:rPr>
            </w:pPr>
          </w:p>
        </w:tc>
        <w:tc>
          <w:tcPr>
            <w:tcW w:w="140" w:type="dxa"/>
            <w:vAlign w:val="bottom"/>
            <w:tcBorders>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spacing w:after="0"/>
              <w:rPr>
                <w:sz w:val="17"/>
                <w:szCs w:val="17"/>
                <w:color w:val="auto"/>
              </w:rPr>
            </w:pPr>
          </w:p>
        </w:tc>
        <w:tc>
          <w:tcPr>
            <w:tcW w:w="18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3/5/2021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CCCC"/>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CCCC"/>
          </w:tcPr>
          <w:p>
            <w:pPr>
              <w:spacing w:after="0"/>
              <w:rPr>
                <w:sz w:val="17"/>
                <w:szCs w:val="17"/>
                <w:color w:val="auto"/>
              </w:rPr>
            </w:pPr>
          </w:p>
        </w:tc>
        <w:tc>
          <w:tcPr>
            <w:tcW w:w="100" w:type="dxa"/>
            <w:vAlign w:val="bottom"/>
            <w:tcBorders>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CCCC"/>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CCCC"/>
          </w:tcPr>
          <w:p>
            <w:pPr>
              <w:spacing w:after="0"/>
              <w:rPr>
                <w:sz w:val="17"/>
                <w:szCs w:val="17"/>
                <w:color w:val="auto"/>
              </w:rPr>
            </w:pP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CCCC"/>
          </w:tcPr>
          <w:p>
            <w:pPr>
              <w:spacing w:after="0"/>
              <w:rPr>
                <w:sz w:val="17"/>
                <w:szCs w:val="17"/>
                <w:color w:val="auto"/>
              </w:rPr>
            </w:pPr>
          </w:p>
        </w:tc>
        <w:tc>
          <w:tcPr>
            <w:tcW w:w="140" w:type="dxa"/>
            <w:vAlign w:val="bottom"/>
            <w:tcBorders>
              <w:right w:val="single" w:sz="8" w:color="CCCCCC"/>
            </w:tcBorders>
            <w:shd w:val="clear" w:color="auto" w:fill="CCCCCC"/>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CCCC"/>
          </w:tcPr>
          <w:p>
            <w:pPr>
              <w:spacing w:after="0"/>
              <w:rPr>
                <w:sz w:val="17"/>
                <w:szCs w:val="17"/>
                <w:color w:val="auto"/>
              </w:rPr>
            </w:pPr>
          </w:p>
        </w:tc>
        <w:tc>
          <w:tcPr>
            <w:tcW w:w="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3,833</w:t>
            </w:r>
          </w:p>
        </w:tc>
        <w:tc>
          <w:tcPr>
            <w:tcW w:w="180" w:type="dxa"/>
            <w:vAlign w:val="bottom"/>
            <w:tcBorders>
              <w:right w:val="single" w:sz="8" w:color="CCCCCC"/>
            </w:tcBorders>
            <w:shd w:val="clear" w:color="auto" w:fill="CCCCCC"/>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183,946​​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3/5/2021</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CCCC"/>
            </w:tcBorders>
            <w:shd w:val="clear" w:color="auto" w:fill="CCCCCC"/>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4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CCCC"/>
            </w:tcBorders>
            <w:shd w:val="clear" w:color="auto" w:fill="CCCCCC"/>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CCCC"/>
            </w:tcBorders>
            <w:shd w:val="clear" w:color="auto" w:fill="CCCCCC"/>
          </w:tcPr>
          <w:p>
            <w:pPr>
              <w:spacing w:after="0"/>
              <w:rPr>
                <w:sz w:val="18"/>
                <w:szCs w:val="18"/>
                <w:color w:val="auto"/>
              </w:rPr>
            </w:pPr>
          </w:p>
        </w:tc>
        <w:tc>
          <w:tcPr>
            <w:tcW w:w="10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CCCCCC"/>
            </w:tcBorders>
            <w:shd w:val="clear" w:color="auto" w:fill="CCCCCC"/>
          </w:tcPr>
          <w:p>
            <w:pPr>
              <w:spacing w:after="0"/>
              <w:rPr>
                <w:sz w:val="18"/>
                <w:szCs w:val="18"/>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CCCC"/>
            </w:tcBorders>
            <w:shd w:val="clear" w:color="auto" w:fill="CCCCCC"/>
          </w:tcPr>
          <w:p>
            <w:pPr>
              <w:spacing w:after="0"/>
              <w:rPr>
                <w:sz w:val="18"/>
                <w:szCs w:val="18"/>
                <w:color w:val="auto"/>
              </w:rPr>
            </w:pPr>
          </w:p>
        </w:tc>
        <w:tc>
          <w:tcPr>
            <w:tcW w:w="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4"/>
                <w:szCs w:val="14"/>
                <w:color w:val="auto"/>
                <w:w w:val="91"/>
              </w:rPr>
              <w:t>1,917</w:t>
            </w:r>
          </w:p>
        </w:tc>
        <w:tc>
          <w:tcPr>
            <w:tcW w:w="140" w:type="dxa"/>
            <w:vAlign w:val="bottom"/>
            <w:tcBorders>
              <w:bottom w:val="single" w:sz="8" w:color="CCCCCC"/>
              <w:right w:val="single" w:sz="8" w:color="CCCCCC"/>
            </w:tcBorders>
            <w:shd w:val="clear" w:color="auto" w:fill="CCCCCC"/>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91,997</w:t>
            </w:r>
          </w:p>
        </w:tc>
        <w:tc>
          <w:tcPr>
            <w:tcW w:w="80" w:type="dxa"/>
            <w:vAlign w:val="bottom"/>
            <w:tcBorders>
              <w:bottom w:val="single" w:sz="8" w:color="CCCCCC"/>
            </w:tcBorders>
            <w:shd w:val="clear" w:color="auto" w:fill="CCCCCC"/>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CCCC"/>
            </w:tcBorders>
            <w:shd w:val="clear" w:color="auto" w:fill="CCCCCC"/>
          </w:tcPr>
          <w:p>
            <w:pPr>
              <w:spacing w:after="0"/>
              <w:rPr>
                <w:sz w:val="18"/>
                <w:szCs w:val="18"/>
                <w:color w:val="auto"/>
              </w:rPr>
            </w:pPr>
          </w:p>
        </w:tc>
        <w:tc>
          <w:tcPr>
            <w:tcW w:w="18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CCCC"/>
            </w:tcBorders>
            <w:shd w:val="clear" w:color="auto" w:fill="CCCCCC"/>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7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 6/11/2019</w:t>
            </w:r>
          </w:p>
        </w:tc>
        <w:tc>
          <w:tcPr>
            <w:tcW w:w="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15,753</w:t>
            </w:r>
          </w:p>
        </w:tc>
        <w:tc>
          <w:tcPr>
            <w:tcW w:w="140" w:type="dxa"/>
            <w:vAlign w:val="bottom"/>
          </w:tcPr>
          <w:p>
            <w:pPr>
              <w:spacing w:after="0"/>
              <w:rPr>
                <w:sz w:val="13"/>
                <w:szCs w:val="13"/>
                <w:color w:val="auto"/>
              </w:rPr>
            </w:pPr>
          </w:p>
        </w:tc>
        <w:tc>
          <w:tcPr>
            <w:tcW w:w="12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7,877</w:t>
            </w:r>
          </w:p>
        </w:tc>
        <w:tc>
          <w:tcPr>
            <w:tcW w:w="200" w:type="dxa"/>
            <w:vAlign w:val="bottom"/>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740" w:type="dxa"/>
            <w:vAlign w:val="bottom"/>
          </w:tcPr>
          <w:p>
            <w:pPr>
              <w:ind w:left="360"/>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80" w:type="dxa"/>
            <w:vAlign w:val="bottom"/>
            <w:gridSpan w:val="5"/>
          </w:tcPr>
          <w:p>
            <w:pPr>
              <w:spacing w:after="0" w:line="153"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28.48</w:t>
            </w:r>
          </w:p>
        </w:tc>
        <w:tc>
          <w:tcPr>
            <w:tcW w:w="80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 6/11/2029</w:t>
            </w:r>
          </w:p>
        </w:tc>
        <w:tc>
          <w:tcPr>
            <w:tcW w:w="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40" w:type="dxa"/>
            <w:vAlign w:val="bottom"/>
          </w:tcPr>
          <w:p>
            <w:pPr>
              <w:ind w:left="20"/>
              <w:spacing w:after="0" w:line="153" w:lineRule="exact"/>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20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 ​​​</w:t>
            </w:r>
          </w:p>
        </w:tc>
        <w:tc>
          <w:tcPr>
            <w:tcW w:w="120" w:type="dxa"/>
            <w:vAlign w:val="bottom"/>
          </w:tcPr>
          <w:p>
            <w:pPr>
              <w:spacing w:after="0"/>
              <w:rPr>
                <w:sz w:val="13"/>
                <w:szCs w:val="13"/>
                <w:color w:val="auto"/>
              </w:rPr>
            </w:pPr>
          </w:p>
        </w:tc>
        <w:tc>
          <w:tcPr>
            <w:tcW w:w="60" w:type="dxa"/>
            <w:vAlign w:val="bottom"/>
          </w:tcPr>
          <w:p>
            <w:pPr>
              <w:spacing w:after="0" w:line="153"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180" w:type="dxa"/>
            <w:vAlign w:val="bottom"/>
          </w:tcPr>
          <w:p>
            <w:pPr>
              <w:spacing w:after="0" w:line="153" w:lineRule="exact"/>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line="153"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6/11/2019</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color w:val="auto"/>
              </w:rPr>
              <w:t>8,779</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421,304​​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11/18/2019</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40"/>
              <w:spacing w:after="0"/>
              <w:rPr>
                <w:sz w:val="20"/>
                <w:szCs w:val="20"/>
                <w:color w:val="auto"/>
              </w:rPr>
            </w:pPr>
            <w:r>
              <w:rPr>
                <w:rFonts w:ascii="Arial" w:cs="Arial" w:eastAsia="Arial" w:hAnsi="Arial"/>
                <w:sz w:val="14"/>
                <w:szCs w:val="14"/>
                <w:color w:val="auto"/>
              </w:rPr>
              <w:t>5,489</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263,417</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1,948</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3,896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34.82</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2/28/2030</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color w:val="auto"/>
              </w:rPr>
              <w:t>4,596</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220,562​​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2/28/2020</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40"/>
              <w:spacing w:after="0"/>
              <w:rPr>
                <w:sz w:val="20"/>
                <w:szCs w:val="20"/>
                <w:color w:val="auto"/>
              </w:rPr>
            </w:pPr>
            <w:r>
              <w:rPr>
                <w:rFonts w:ascii="Arial" w:cs="Arial" w:eastAsia="Arial" w:hAnsi="Arial"/>
                <w:sz w:val="14"/>
                <w:szCs w:val="14"/>
                <w:color w:val="auto"/>
              </w:rPr>
              <w:t>1,532</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73,521</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3/5/2021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3,779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45.66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3/5/2031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3/5/2021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color w:val="auto"/>
              </w:rPr>
              <w:t>3,833</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183,946​​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3/5/2021</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ind w:lef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60" w:type="dxa"/>
            <w:vAlign w:val="bottom"/>
          </w:tcPr>
          <w:p>
            <w:pPr>
              <w:spacing w:after="0"/>
              <w:rPr>
                <w:sz w:val="17"/>
                <w:szCs w:val="17"/>
                <w:color w:val="auto"/>
              </w:rPr>
            </w:pP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ind w:left="40"/>
              <w:spacing w:after="0"/>
              <w:rPr>
                <w:sz w:val="20"/>
                <w:szCs w:val="20"/>
                <w:color w:val="auto"/>
              </w:rPr>
            </w:pPr>
            <w:r>
              <w:rPr>
                <w:rFonts w:ascii="Arial" w:cs="Arial" w:eastAsia="Arial" w:hAnsi="Arial"/>
                <w:sz w:val="14"/>
                <w:szCs w:val="14"/>
                <w:color w:val="auto"/>
              </w:rPr>
              <w:t>1,917</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91,997</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80" w:space="120"/>
            <w:col w:w="7860"/>
          </w:cols>
          <w:pgMar w:left="580" w:top="97" w:right="1359" w:bottom="1440" w:gutter="0" w:footer="0" w:header="0"/>
          <w:type w:val="continuous"/>
        </w:sectPr>
      </w:pPr>
    </w:p>
    <w:p>
      <w:pPr>
        <w:spacing w:after="0" w:line="5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42  </w:t>
      </w:r>
      <w:r>
        <w:rPr>
          <w:sz w:val="1"/>
          <w:szCs w:val="1"/>
          <w:color w:val="auto"/>
        </w:rPr>
        <w:drawing>
          <wp:inline distT="0" distB="0" distL="0" distR="0">
            <wp:extent cx="300355" cy="24003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6" w:lineRule="exact"/>
        <w:rPr>
          <w:sz w:val="20"/>
          <w:szCs w:val="20"/>
          <w:color w:val="auto"/>
        </w:rPr>
      </w:pPr>
    </w:p>
    <w:p>
      <w:pPr>
        <w:jc w:val="both"/>
        <w:ind w:left="1120" w:hanging="358"/>
        <w:spacing w:after="0" w:line="263" w:lineRule="auto"/>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options. The pre-IPO options granted to Mr. Brandman vest as to 20% of the shares subject to such option on each anniversary of the grant date, subject to continued employment through the applicable vesting date. The time-based options granted to NEOs in 2019 and 2020 and 2021 vest in three substantially equal installments on each of the first, second and third anniversaries of the grant date, subject to continued employment through the applicable vesting date.</w:t>
      </w:r>
    </w:p>
    <w:p>
      <w:pPr>
        <w:spacing w:after="0" w:line="40"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expiration date shown is the normal expiration date occurring on the tenth anniversary of the grant date. Options may terminate earlier in certain circumstances, such as in connection with a NEO’s termination of employment or in connection with certain corporate transactions, including a change in control of the Company.</w:t>
      </w:r>
    </w:p>
    <w:p>
      <w:pPr>
        <w:spacing w:after="0" w:line="40"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time-based RSUs. The RSUs granted in 2019 vest in three installments over four years, one-half on the second anniversary of the grant date and one-quarter on each of the third and fourth anniversaries of the grant date, subject to continued employment through the applicable vesting date. The RSUs granted in 2020 and 2021 vest in three annual installments on the anniversary date of the grant. Mr. Francis’s sign-on RSU grant will vest in two installments; 66% after year one and the remaining 34% after year two.</w:t>
      </w:r>
    </w:p>
    <w:p>
      <w:pPr>
        <w:spacing w:after="0" w:line="40" w:lineRule="exact"/>
        <w:rPr>
          <w:rFonts w:ascii="Arial" w:cs="Arial" w:eastAsia="Arial" w:hAnsi="Arial"/>
          <w:sz w:val="15"/>
          <w:szCs w:val="15"/>
          <w:color w:val="auto"/>
        </w:rPr>
      </w:pPr>
    </w:p>
    <w:p>
      <w:pPr>
        <w:ind w:left="1120" w:hanging="358"/>
        <w:spacing w:after="0"/>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market value is based on the NASDAQ closing price on December 31, 2021.</w:t>
      </w:r>
    </w:p>
    <w:p>
      <w:pPr>
        <w:spacing w:after="0" w:line="84" w:lineRule="exact"/>
        <w:rPr>
          <w:rFonts w:ascii="Arial" w:cs="Arial" w:eastAsia="Arial" w:hAnsi="Arial"/>
          <w:sz w:val="15"/>
          <w:szCs w:val="15"/>
          <w:color w:val="auto"/>
        </w:rPr>
      </w:pPr>
    </w:p>
    <w:p>
      <w:pPr>
        <w:jc w:val="both"/>
        <w:ind w:left="1120" w:hanging="358"/>
        <w:spacing w:after="0" w:line="255" w:lineRule="auto"/>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numbers in this column represent unvested outstanding PSUs. The PSUs granted in 2019 and 2020 are earned over a three-year performance period and will vest on the third anniversary of the grant date based on the Company’s achievement of certain Adjusted EBITDA growth targets, as set forth in the 2019 or 2020 PSU award agreement, as applicable. Mr. Clark and Mr. Francis also received a special sign-on equity award when they joined the Company. The PSUs granted in 2021 are earned over a three-year performance period and will vest on the third anniversary of the grant date based on the Company’s achievement of certain Adjusted Operating Income and ROIC growth targets, as set forth in the 2021 PSU award agreement. 75% of the Target PSUs shall be subject to performance goals relating to Adjusted Operating Income (the “AOI PSUs”), and 25% of the Target PSUs shall be subject to performance goal relating to ROIC (the “ROIC PSUs”). For all PSUs, the actual value of the PSUs that become vested based on the applicable performance measure(s) is based on an achievement factor which, in each case, ranges from a 50% payout for threshold performance, to 100% for target performance, to 200% for maximum performance. To the extent that performance falls between the applicable threshold, target or maximum levels, payouts will be determined using linear interpolation.</w:t>
      </w:r>
    </w:p>
    <w:p>
      <w:pPr>
        <w:spacing w:after="0" w:line="49"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Messrs. Fahs, Moore and Brandman are party to a Management Stockholder’s Agreement with the Company. The Management Stockholder’s Agreement, along with an applicable option agreement, generally govern each such NEO’s rights with respect to shares of common stock of the Company held by such NEO prior to our IPO, including such NEO’s stock option awards and contain certain rights and obligations of the parties thereto. The pre-IPO options are subject to certain put and call rights pursuant to the Management Stockholder’s Agreement.</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2021 Option Exercises and Stock Vested</w:t>
      </w:r>
    </w:p>
    <w:p>
      <w:pPr>
        <w:spacing w:after="0" w:line="117" w:lineRule="exact"/>
        <w:rPr>
          <w:sz w:val="20"/>
          <w:szCs w:val="20"/>
          <w:color w:val="auto"/>
        </w:rPr>
      </w:pPr>
    </w:p>
    <w:p>
      <w:pPr>
        <w:ind w:left="760"/>
        <w:spacing w:after="0" w:line="287" w:lineRule="auto"/>
        <w:rPr>
          <w:sz w:val="20"/>
          <w:szCs w:val="20"/>
          <w:color w:val="auto"/>
        </w:rPr>
      </w:pPr>
      <w:r>
        <w:rPr>
          <w:rFonts w:ascii="Arial" w:cs="Arial" w:eastAsia="Arial" w:hAnsi="Arial"/>
          <w:sz w:val="18"/>
          <w:szCs w:val="18"/>
          <w:color w:val="auto"/>
        </w:rPr>
        <w:t>The following table provides information regarding options exercised by and stock vested for the NEOs during the fiscal year ended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57785</wp:posOffset>
            </wp:positionV>
            <wp:extent cx="5837555" cy="1543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37555" cy="1543050"/>
                    </a:xfrm>
                    <a:prstGeom prst="rect">
                      <a:avLst/>
                    </a:prstGeom>
                    <a:noFill/>
                  </pic:spPr>
                </pic:pic>
              </a:graphicData>
            </a:graphic>
          </wp:anchor>
        </w:drawing>
      </w:r>
    </w:p>
    <w:p>
      <w:pPr>
        <w:spacing w:after="0" w:line="51" w:lineRule="exact"/>
        <w:rPr>
          <w:sz w:val="20"/>
          <w:szCs w:val="20"/>
          <w:color w:val="auto"/>
        </w:rPr>
      </w:pPr>
    </w:p>
    <w:tbl>
      <w:tblPr>
        <w:tblLayout w:type="fixed"/>
        <w:tblInd w:w="770" w:type="dxa"/>
        <w:tblCellMar>
          <w:top w:w="0" w:type="dxa"/>
          <w:left w:w="0" w:type="dxa"/>
          <w:bottom w:w="0" w:type="dxa"/>
          <w:right w:w="0" w:type="dxa"/>
        </w:tblCellMar>
      </w:tblPr>
      <w:tr>
        <w:trPr>
          <w:trHeight w:val="283"/>
        </w:trPr>
        <w:tc>
          <w:tcPr>
            <w:tcW w:w="940" w:type="dxa"/>
            <w:vAlign w:val="bottom"/>
            <w:tcBorders>
              <w:top w:val="single" w:sz="8" w:color="3C5896"/>
            </w:tcBorders>
          </w:tcPr>
          <w:p>
            <w:pPr>
              <w:spacing w:after="0"/>
              <w:rPr>
                <w:sz w:val="24"/>
                <w:szCs w:val="24"/>
                <w:color w:val="auto"/>
              </w:rPr>
            </w:pPr>
          </w:p>
        </w:tc>
        <w:tc>
          <w:tcPr>
            <w:tcW w:w="1180" w:type="dxa"/>
            <w:vAlign w:val="bottom"/>
            <w:tcBorders>
              <w:top w:val="single" w:sz="8" w:color="3C5896"/>
            </w:tcBorders>
          </w:tcPr>
          <w:p>
            <w:pPr>
              <w:spacing w:after="0"/>
              <w:rPr>
                <w:sz w:val="24"/>
                <w:szCs w:val="24"/>
                <w:color w:val="auto"/>
              </w:rPr>
            </w:pPr>
          </w:p>
        </w:tc>
        <w:tc>
          <w:tcPr>
            <w:tcW w:w="560" w:type="dxa"/>
            <w:vAlign w:val="bottom"/>
            <w:tcBorders>
              <w:top w:val="single" w:sz="8" w:color="3C5896"/>
            </w:tcBorders>
          </w:tcPr>
          <w:p>
            <w:pPr>
              <w:spacing w:after="0"/>
              <w:rPr>
                <w:sz w:val="24"/>
                <w:szCs w:val="24"/>
                <w:color w:val="auto"/>
              </w:rPr>
            </w:pPr>
          </w:p>
        </w:tc>
        <w:tc>
          <w:tcPr>
            <w:tcW w:w="180" w:type="dxa"/>
            <w:vAlign w:val="bottom"/>
            <w:tcBorders>
              <w:top w:val="single" w:sz="8" w:color="3C5896"/>
            </w:tcBorders>
            <w:shd w:val="clear" w:color="auto" w:fill="3C5896"/>
          </w:tcPr>
          <w:p>
            <w:pPr>
              <w:jc w:val="right"/>
              <w:ind w:right="10"/>
              <w:spacing w:after="0"/>
              <w:rPr>
                <w:sz w:val="20"/>
                <w:szCs w:val="20"/>
                <w:color w:val="auto"/>
              </w:rPr>
            </w:pPr>
            <w:r>
              <w:rPr>
                <w:rFonts w:ascii="Arial" w:cs="Arial" w:eastAsia="Arial" w:hAnsi="Arial"/>
                <w:sz w:val="18"/>
                <w:szCs w:val="18"/>
                <w:b w:val="1"/>
                <w:bCs w:val="1"/>
                <w:color w:val="FFFFFF"/>
              </w:rPr>
              <w:t>​</w:t>
            </w:r>
          </w:p>
        </w:tc>
        <w:tc>
          <w:tcPr>
            <w:tcW w:w="380" w:type="dxa"/>
            <w:vAlign w:val="bottom"/>
            <w:tcBorders>
              <w:top w:val="single" w:sz="8" w:color="3C5896"/>
            </w:tcBorders>
            <w:shd w:val="clear" w:color="auto" w:fill="3C5896"/>
          </w:tcPr>
          <w:p>
            <w:pPr>
              <w:spacing w:after="0"/>
              <w:rPr>
                <w:sz w:val="24"/>
                <w:szCs w:val="24"/>
                <w:color w:val="auto"/>
              </w:rPr>
            </w:pPr>
          </w:p>
        </w:tc>
        <w:tc>
          <w:tcPr>
            <w:tcW w:w="2100" w:type="dxa"/>
            <w:vAlign w:val="bottom"/>
            <w:tcBorders>
              <w:top w:val="single" w:sz="8" w:color="3C5896"/>
            </w:tcBorders>
            <w:gridSpan w:val="4"/>
            <w:shd w:val="clear" w:color="auto" w:fill="3C5896"/>
          </w:tcPr>
          <w:p>
            <w:pPr>
              <w:jc w:val="center"/>
              <w:spacing w:after="0"/>
              <w:rPr>
                <w:sz w:val="20"/>
                <w:szCs w:val="20"/>
                <w:color w:val="auto"/>
              </w:rPr>
            </w:pPr>
            <w:r>
              <w:rPr>
                <w:rFonts w:ascii="Arial" w:cs="Arial" w:eastAsia="Arial" w:hAnsi="Arial"/>
                <w:sz w:val="18"/>
                <w:szCs w:val="18"/>
                <w:b w:val="1"/>
                <w:bCs w:val="1"/>
                <w:color w:val="FFFFFF"/>
                <w:w w:val="99"/>
              </w:rPr>
              <w:t>Option Awards</w:t>
            </w:r>
          </w:p>
        </w:tc>
        <w:tc>
          <w:tcPr>
            <w:tcW w:w="460" w:type="dxa"/>
            <w:vAlign w:val="bottom"/>
            <w:tcBorders>
              <w:top w:val="single" w:sz="8" w:color="3C5896"/>
            </w:tcBorders>
            <w:shd w:val="clear" w:color="auto" w:fill="3C5896"/>
          </w:tcPr>
          <w:p>
            <w:pPr>
              <w:spacing w:after="0"/>
              <w:rPr>
                <w:sz w:val="24"/>
                <w:szCs w:val="24"/>
                <w:color w:val="auto"/>
              </w:rPr>
            </w:pPr>
          </w:p>
        </w:tc>
        <w:tc>
          <w:tcPr>
            <w:tcW w:w="120" w:type="dxa"/>
            <w:vAlign w:val="bottom"/>
            <w:tcBorders>
              <w:top w:val="single" w:sz="8" w:color="3C5896"/>
            </w:tcBorders>
            <w:shd w:val="clear" w:color="auto" w:fill="3C5896"/>
          </w:tcPr>
          <w:p>
            <w:pPr>
              <w:spacing w:after="0"/>
              <w:rPr>
                <w:sz w:val="24"/>
                <w:szCs w:val="24"/>
                <w:color w:val="auto"/>
              </w:rPr>
            </w:pPr>
          </w:p>
        </w:tc>
        <w:tc>
          <w:tcPr>
            <w:tcW w:w="80" w:type="dxa"/>
            <w:vAlign w:val="bottom"/>
            <w:tcBorders>
              <w:top w:val="single" w:sz="8" w:color="3C5896"/>
            </w:tcBorders>
          </w:tcPr>
          <w:p>
            <w:pPr>
              <w:jc w:val="right"/>
              <w:spacing w:after="0"/>
              <w:rPr>
                <w:sz w:val="20"/>
                <w:szCs w:val="20"/>
                <w:color w:val="auto"/>
              </w:rPr>
            </w:pPr>
            <w:r>
              <w:rPr>
                <w:rFonts w:ascii="Arial" w:cs="Arial" w:eastAsia="Arial" w:hAnsi="Arial"/>
                <w:sz w:val="18"/>
                <w:szCs w:val="18"/>
                <w:b w:val="1"/>
                <w:bCs w:val="1"/>
                <w:color w:val="FFFFFF"/>
              </w:rPr>
              <w:t>​​</w:t>
            </w:r>
          </w:p>
        </w:tc>
        <w:tc>
          <w:tcPr>
            <w:tcW w:w="3040" w:type="dxa"/>
            <w:vAlign w:val="bottom"/>
            <w:tcBorders>
              <w:top w:val="single" w:sz="8" w:color="3C5896"/>
            </w:tcBorders>
            <w:gridSpan w:val="4"/>
          </w:tcPr>
          <w:p>
            <w:pPr>
              <w:jc w:val="right"/>
              <w:ind w:right="450"/>
              <w:spacing w:after="0"/>
              <w:rPr>
                <w:sz w:val="20"/>
                <w:szCs w:val="20"/>
                <w:color w:val="auto"/>
              </w:rPr>
            </w:pPr>
            <w:r>
              <w:rPr>
                <w:rFonts w:ascii="Arial" w:cs="Arial" w:eastAsia="Arial" w:hAnsi="Arial"/>
                <w:sz w:val="18"/>
                <w:szCs w:val="18"/>
                <w:b w:val="1"/>
                <w:bCs w:val="1"/>
                <w:color w:val="FFFFFF"/>
              </w:rPr>
              <w:t>Restricted Stock Units</w:t>
            </w:r>
          </w:p>
        </w:tc>
        <w:tc>
          <w:tcPr>
            <w:tcW w:w="160" w:type="dxa"/>
            <w:vAlign w:val="bottom"/>
            <w:tcBorders>
              <w:top w:val="single" w:sz="8" w:color="3C5896"/>
            </w:tcBorders>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11"/>
        </w:trPr>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FFFFFF"/>
                <w:w w:val="99"/>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FFFFFF"/>
                <w:w w:val="99"/>
              </w:rPr>
              <w:t>Shares Acquired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FFFFFF"/>
                <w:w w:val="99"/>
              </w:rPr>
              <w:t>Value 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FFFFFF"/>
                <w:w w:val="99"/>
              </w:rPr>
              <w:t>Shares Acquired</w:t>
            </w:r>
          </w:p>
        </w:tc>
        <w:tc>
          <w:tcPr>
            <w:tcW w:w="220" w:type="dxa"/>
            <w:vAlign w:val="bottom"/>
          </w:tcPr>
          <w:p>
            <w:pPr>
              <w:spacing w:after="0"/>
              <w:rPr>
                <w:sz w:val="16"/>
                <w:szCs w:val="16"/>
                <w:color w:val="auto"/>
              </w:rPr>
            </w:pPr>
          </w:p>
        </w:tc>
        <w:tc>
          <w:tcPr>
            <w:tcW w:w="13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FFFFFF"/>
                <w:w w:val="98"/>
              </w:rPr>
              <w:t>Value Realized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40" w:type="dxa"/>
            <w:vAlign w:val="bottom"/>
          </w:tcPr>
          <w:p>
            <w:pPr>
              <w:spacing w:after="0"/>
              <w:rPr>
                <w:sz w:val="17"/>
                <w:szCs w:val="17"/>
                <w:color w:val="auto"/>
              </w:rPr>
            </w:pPr>
          </w:p>
        </w:tc>
        <w:tc>
          <w:tcPr>
            <w:tcW w:w="1180" w:type="dxa"/>
            <w:vAlign w:val="bottom"/>
            <w:vMerge w:val="restart"/>
          </w:tcPr>
          <w:p>
            <w:pPr>
              <w:ind w:left="160"/>
              <w:spacing w:after="0"/>
              <w:rPr>
                <w:sz w:val="20"/>
                <w:szCs w:val="20"/>
                <w:color w:val="auto"/>
              </w:rPr>
            </w:pPr>
            <w:r>
              <w:rPr>
                <w:rFonts w:ascii="Arial" w:cs="Arial" w:eastAsia="Arial" w:hAnsi="Arial"/>
                <w:sz w:val="18"/>
                <w:szCs w:val="18"/>
                <w:b w:val="1"/>
                <w:bCs w:val="1"/>
                <w:color w:val="FFFFFF"/>
              </w:rPr>
              <w:t>Name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FFFFFF"/>
              </w:rPr>
              <w:t>on Exercise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FFFFFF"/>
              </w:rPr>
              <w:t>on Exercise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center"/>
              <w:spacing w:after="0" w:line="198" w:lineRule="exact"/>
              <w:rPr>
                <w:sz w:val="20"/>
                <w:szCs w:val="20"/>
                <w:color w:val="auto"/>
              </w:rPr>
            </w:pPr>
            <w:r>
              <w:rPr>
                <w:rFonts w:ascii="Arial" w:cs="Arial" w:eastAsia="Arial" w:hAnsi="Arial"/>
                <w:sz w:val="18"/>
                <w:szCs w:val="18"/>
                <w:b w:val="1"/>
                <w:bCs w:val="1"/>
                <w:color w:val="FFFFFF"/>
                <w:w w:val="97"/>
              </w:rPr>
              <w:t>on Vesting</w:t>
            </w:r>
          </w:p>
        </w:tc>
        <w:tc>
          <w:tcPr>
            <w:tcW w:w="22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FFFFFF"/>
                <w:w w:val="99"/>
              </w:rPr>
              <w:t>on Vesting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940" w:type="dxa"/>
            <w:vAlign w:val="bottom"/>
          </w:tcPr>
          <w:p>
            <w:pPr>
              <w:ind w:left="40"/>
              <w:spacing w:after="0"/>
              <w:rPr>
                <w:sz w:val="20"/>
                <w:szCs w:val="20"/>
                <w:color w:val="auto"/>
              </w:rPr>
            </w:pPr>
            <w:r>
              <w:rPr>
                <w:rFonts w:ascii="Arial" w:cs="Arial" w:eastAsia="Arial" w:hAnsi="Arial"/>
                <w:sz w:val="18"/>
                <w:szCs w:val="18"/>
                <w:b w:val="1"/>
                <w:bCs w:val="1"/>
                <w:color w:val="FFFFFF"/>
              </w:rPr>
              <w:t>​</w:t>
            </w:r>
          </w:p>
        </w:tc>
        <w:tc>
          <w:tcPr>
            <w:tcW w:w="1180" w:type="dxa"/>
            <w:vAlign w:val="bottom"/>
            <w:vMerge w:val="continue"/>
          </w:tcPr>
          <w:p>
            <w:pPr>
              <w:spacing w:after="0"/>
              <w:rPr>
                <w:sz w:val="23"/>
                <w:szCs w:val="23"/>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FFFFFF"/>
              </w:rPr>
              <w:t>​​</w:t>
            </w:r>
          </w:p>
        </w:tc>
        <w:tc>
          <w:tcPr>
            <w:tcW w:w="380" w:type="dxa"/>
            <w:vAlign w:val="bottom"/>
          </w:tcPr>
          <w:p>
            <w:pPr>
              <w:spacing w:after="0"/>
              <w:rPr>
                <w:sz w:val="23"/>
                <w:szCs w:val="23"/>
                <w:color w:val="auto"/>
              </w:rPr>
            </w:pPr>
          </w:p>
        </w:tc>
        <w:tc>
          <w:tcPr>
            <w:tcW w:w="980" w:type="dxa"/>
            <w:vAlign w:val="bottom"/>
          </w:tcPr>
          <w:p>
            <w:pPr>
              <w:jc w:val="center"/>
              <w:ind w:right="390"/>
              <w:spacing w:after="0"/>
              <w:rPr>
                <w:sz w:val="20"/>
                <w:szCs w:val="20"/>
                <w:color w:val="auto"/>
              </w:rPr>
            </w:pPr>
            <w:r>
              <w:rPr>
                <w:rFonts w:ascii="Arial" w:cs="Arial" w:eastAsia="Arial" w:hAnsi="Arial"/>
                <w:sz w:val="18"/>
                <w:szCs w:val="18"/>
                <w:b w:val="1"/>
                <w:bCs w:val="1"/>
                <w:color w:val="FFFFFF"/>
                <w:w w:val="99"/>
              </w:rPr>
              <w:t>(#)</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920" w:type="dxa"/>
            <w:vAlign w:val="bottom"/>
          </w:tcPr>
          <w:p>
            <w:pPr>
              <w:jc w:val="center"/>
              <w:ind w:left="390"/>
              <w:spacing w:after="0"/>
              <w:rPr>
                <w:sz w:val="20"/>
                <w:szCs w:val="20"/>
                <w:color w:val="auto"/>
              </w:rPr>
            </w:pPr>
            <w:r>
              <w:rPr>
                <w:rFonts w:ascii="Arial" w:cs="Arial" w:eastAsia="Arial" w:hAnsi="Arial"/>
                <w:sz w:val="18"/>
                <w:szCs w:val="18"/>
                <w:b w:val="1"/>
                <w:bCs w:val="1"/>
                <w:color w:val="FFFFFF"/>
                <w:w w:val="88"/>
              </w:rPr>
              <w:t>($)</w:t>
            </w:r>
            <w:r>
              <w:rPr>
                <w:rFonts w:ascii="Arial" w:cs="Arial" w:eastAsia="Arial" w:hAnsi="Arial"/>
                <w:sz w:val="23"/>
                <w:szCs w:val="23"/>
                <w:b w:val="1"/>
                <w:bCs w:val="1"/>
                <w:color w:val="FFFFFF"/>
                <w:w w:val="88"/>
                <w:vertAlign w:val="superscript"/>
              </w:rPr>
              <w:t>(1)</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FFFFFF"/>
                <w:w w:val="99"/>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460" w:type="dxa"/>
            <w:vAlign w:val="bottom"/>
          </w:tcPr>
          <w:p>
            <w:pPr>
              <w:spacing w:after="0"/>
              <w:rPr>
                <w:sz w:val="23"/>
                <w:szCs w:val="23"/>
                <w:color w:val="auto"/>
              </w:rPr>
            </w:pPr>
          </w:p>
        </w:tc>
        <w:tc>
          <w:tcPr>
            <w:tcW w:w="900" w:type="dxa"/>
            <w:vAlign w:val="bottom"/>
          </w:tcPr>
          <w:p>
            <w:pPr>
              <w:jc w:val="center"/>
              <w:ind w:right="370"/>
              <w:spacing w:after="0"/>
              <w:rPr>
                <w:sz w:val="20"/>
                <w:szCs w:val="20"/>
                <w:color w:val="auto"/>
              </w:rPr>
            </w:pPr>
            <w:r>
              <w:rPr>
                <w:rFonts w:ascii="Arial" w:cs="Arial" w:eastAsia="Arial" w:hAnsi="Arial"/>
                <w:sz w:val="18"/>
                <w:szCs w:val="18"/>
                <w:b w:val="1"/>
                <w:bCs w:val="1"/>
                <w:color w:val="FFFFFF"/>
                <w:w w:val="88"/>
              </w:rPr>
              <w:t>($)</w:t>
            </w:r>
            <w:r>
              <w:rPr>
                <w:rFonts w:ascii="Arial" w:cs="Arial" w:eastAsia="Arial" w:hAnsi="Arial"/>
                <w:sz w:val="23"/>
                <w:szCs w:val="23"/>
                <w:b w:val="1"/>
                <w:bCs w:val="1"/>
                <w:color w:val="FFFFFF"/>
                <w:w w:val="88"/>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57"/>
        </w:trPr>
        <w:tc>
          <w:tcPr>
            <w:tcW w:w="2120" w:type="dxa"/>
            <w:vAlign w:val="bottom"/>
            <w:tcBorders>
              <w:left w:val="single" w:sz="8" w:color="3C5896"/>
            </w:tcBorders>
            <w:gridSpan w:val="2"/>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L. Reade Fahs</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​976,470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​46,543,336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​5,385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50"/>
              <w:spacing w:after="0"/>
              <w:rPr>
                <w:sz w:val="20"/>
                <w:szCs w:val="20"/>
                <w:color w:val="auto"/>
              </w:rPr>
            </w:pPr>
            <w:r>
              <w:rPr>
                <w:rFonts w:ascii="Arial" w:cs="Arial" w:eastAsia="Arial" w:hAnsi="Arial"/>
                <w:sz w:val="18"/>
                <w:szCs w:val="18"/>
                <w:color w:val="auto"/>
              </w:rPr>
              <w:t>​255,734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120" w:type="dxa"/>
            <w:vAlign w:val="bottom"/>
            <w:tcBorders>
              <w:left w:val="single" w:sz="8" w:color="3C5896"/>
            </w:tcBorders>
            <w:gridSpan w:val="2"/>
            <w:shd w:val="clear" w:color="auto" w:fill="CCCCCC"/>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Patrick R. Moore</w:t>
            </w:r>
          </w:p>
        </w:tc>
        <w:tc>
          <w:tcPr>
            <w:tcW w:w="560" w:type="dxa"/>
            <w:vAlign w:val="bottom"/>
            <w:shd w:val="clear" w:color="auto" w:fill="CCCCCC"/>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64,080</w:t>
            </w:r>
          </w:p>
        </w:tc>
        <w:tc>
          <w:tcPr>
            <w:tcW w:w="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highlight w:val="lightGray"/>
              </w:rPr>
              <w:t>​ 3,186,698</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​7,881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50"/>
              <w:spacing w:after="0"/>
              <w:rPr>
                <w:sz w:val="20"/>
                <w:szCs w:val="20"/>
                <w:color w:val="auto"/>
              </w:rPr>
            </w:pPr>
            <w:r>
              <w:rPr>
                <w:rFonts w:ascii="Arial" w:cs="Arial" w:eastAsia="Arial" w:hAnsi="Arial"/>
                <w:sz w:val="18"/>
                <w:szCs w:val="18"/>
                <w:color w:val="auto"/>
              </w:rPr>
              <w:t>​378,879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120" w:type="dxa"/>
            <w:vAlign w:val="bottom"/>
            <w:tcBorders>
              <w:left w:val="single" w:sz="8" w:color="3C5896"/>
            </w:tcBorders>
            <w:gridSpan w:val="2"/>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Roger Francis</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line="2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120" w:type="dxa"/>
            <w:vAlign w:val="bottom"/>
            <w:tcBorders>
              <w:left w:val="single" w:sz="8" w:color="3C5896"/>
            </w:tcBorders>
            <w:gridSpan w:val="2"/>
            <w:shd w:val="clear" w:color="auto" w:fill="CCCCCC"/>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Jared Brandman</w:t>
            </w:r>
          </w:p>
        </w:tc>
        <w:tc>
          <w:tcPr>
            <w:tcW w:w="560" w:type="dxa"/>
            <w:vAlign w:val="bottom"/>
            <w:shd w:val="clear" w:color="auto" w:fill="CCCCCC"/>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28,824</w:t>
            </w:r>
          </w:p>
        </w:tc>
        <w:tc>
          <w:tcPr>
            <w:tcW w:w="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highlight w:val="lightGray"/>
              </w:rPr>
              <w:t>​ 1,106,544</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center"/>
              <w:spacing w:after="0"/>
              <w:rPr>
                <w:sz w:val="20"/>
                <w:szCs w:val="20"/>
                <w:color w:val="auto"/>
              </w:rPr>
            </w:pPr>
            <w:r>
              <w:rPr>
                <w:rFonts w:ascii="Arial" w:cs="Arial" w:eastAsia="Arial" w:hAnsi="Arial"/>
                <w:sz w:val="18"/>
                <w:szCs w:val="18"/>
                <w:color w:val="auto"/>
              </w:rPr>
              <w:t>​6,086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50"/>
              <w:spacing w:after="0"/>
              <w:rPr>
                <w:sz w:val="20"/>
                <w:szCs w:val="20"/>
                <w:color w:val="auto"/>
              </w:rPr>
            </w:pPr>
            <w:r>
              <w:rPr>
                <w:rFonts w:ascii="Arial" w:cs="Arial" w:eastAsia="Arial" w:hAnsi="Arial"/>
                <w:sz w:val="18"/>
                <w:szCs w:val="18"/>
                <w:color w:val="auto"/>
              </w:rPr>
              <w:t>​293,634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40" w:type="dxa"/>
            <w:vAlign w:val="bottom"/>
            <w:tcBorders>
              <w:left w:val="single" w:sz="8" w:color="3C5896"/>
              <w:bottom w:val="single" w:sz="8" w:color="3C5896"/>
            </w:tcBorders>
          </w:tcPr>
          <w:p>
            <w:pPr>
              <w:ind w:left="40"/>
              <w:spacing w:after="0"/>
              <w:rPr>
                <w:sz w:val="20"/>
                <w:szCs w:val="20"/>
                <w:color w:val="auto"/>
              </w:rPr>
            </w:pPr>
            <w:r>
              <w:rPr>
                <w:rFonts w:ascii="Arial" w:cs="Arial" w:eastAsia="Arial" w:hAnsi="Arial"/>
                <w:sz w:val="18"/>
                <w:szCs w:val="18"/>
                <w:color w:val="auto"/>
              </w:rPr>
              <w:t>​Bill Clark</w:t>
            </w:r>
          </w:p>
        </w:tc>
        <w:tc>
          <w:tcPr>
            <w:tcW w:w="1180" w:type="dxa"/>
            <w:vAlign w:val="bottom"/>
            <w:tcBorders>
              <w:bottom w:val="single" w:sz="8" w:color="3C5896"/>
            </w:tcBorders>
          </w:tcPr>
          <w:p>
            <w:pPr>
              <w:spacing w:after="0"/>
              <w:rPr>
                <w:sz w:val="21"/>
                <w:szCs w:val="21"/>
                <w:color w:val="auto"/>
              </w:rPr>
            </w:pPr>
          </w:p>
        </w:tc>
        <w:tc>
          <w:tcPr>
            <w:tcW w:w="740" w:type="dxa"/>
            <w:vAlign w:val="bottom"/>
            <w:tcBorders>
              <w:bottom w:val="single" w:sz="8" w:color="3C5896"/>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3C5896"/>
            </w:tcBorders>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3C5896"/>
            </w:tcBorders>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3C5896"/>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3C5896"/>
            </w:tcBorders>
          </w:tcPr>
          <w:p>
            <w:pPr>
              <w:ind w:left="2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3C5896"/>
            </w:tcBorders>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3C5896"/>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3C5896"/>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6,254</w:t>
            </w:r>
          </w:p>
        </w:tc>
        <w:tc>
          <w:tcPr>
            <w:tcW w:w="22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3C5896"/>
            </w:tcBorders>
            <w:gridSpan w:val="2"/>
          </w:tcPr>
          <w:p>
            <w:pPr>
              <w:jc w:val="right"/>
              <w:ind w:right="2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301,612</w:t>
            </w:r>
          </w:p>
        </w:tc>
        <w:tc>
          <w:tcPr>
            <w:tcW w:w="16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120" w:hanging="358"/>
        <w:spacing w:after="0" w:line="283" w:lineRule="auto"/>
        <w:tabs>
          <w:tab w:leader="none" w:pos="11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Represents the difference between the fair market value of the shares acquired on the exercise date and the exercise price of the options, multiplied by the number of options exercised.</w:t>
      </w:r>
    </w:p>
    <w:p>
      <w:pPr>
        <w:spacing w:after="0" w:line="52" w:lineRule="exact"/>
        <w:rPr>
          <w:rFonts w:ascii="Arial" w:cs="Arial" w:eastAsia="Arial" w:hAnsi="Arial"/>
          <w:sz w:val="15"/>
          <w:szCs w:val="15"/>
          <w:color w:val="auto"/>
        </w:rPr>
      </w:pPr>
    </w:p>
    <w:p>
      <w:pPr>
        <w:ind w:left="1120" w:hanging="358"/>
        <w:spacing w:after="0"/>
        <w:tabs>
          <w:tab w:leader="none" w:pos="11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Represents the fair market value of the RSUs on the vesting date.</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2021 Pension Benefits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no defined benefit pension plans for our executive officers.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2021 Non-Qualified Deferred Compensation</w:t>
      </w:r>
    </w:p>
    <w:p>
      <w:pPr>
        <w:spacing w:after="0" w:line="117" w:lineRule="exact"/>
        <w:rPr>
          <w:sz w:val="20"/>
          <w:szCs w:val="20"/>
          <w:color w:val="auto"/>
        </w:rPr>
      </w:pPr>
    </w:p>
    <w:p>
      <w:pPr>
        <w:ind w:left="760"/>
        <w:spacing w:after="0" w:line="303" w:lineRule="auto"/>
        <w:rPr>
          <w:sz w:val="20"/>
          <w:szCs w:val="20"/>
          <w:color w:val="auto"/>
        </w:rPr>
      </w:pPr>
      <w:r>
        <w:rPr>
          <w:rFonts w:ascii="Arial" w:cs="Arial" w:eastAsia="Arial" w:hAnsi="Arial"/>
          <w:sz w:val="18"/>
          <w:szCs w:val="18"/>
          <w:color w:val="auto"/>
        </w:rPr>
        <w:t>We have no non-qualified defined contribution or other non-qualified deferred compensation plans for our executive officers.</w:t>
      </w:r>
    </w:p>
    <w:p>
      <w:pPr>
        <w:spacing w:after="0" w:line="12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17"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The following section describes the payments and benefits that may become payable to the NEOs in connection with their termination of employment and/or a change in control. All such payments and benefits will be paid or provided by us or National Vision, Inc.</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Executive Severance Plan</w:t>
      </w:r>
    </w:p>
    <w:p>
      <w:pPr>
        <w:spacing w:after="0" w:line="11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Executive Severance Plan provides for severance payments and benefits to eligible employees, including our NEOs, upon a termination of employment by the Company without cause or by the executive for good reason (each as defined in the Executive Severance Plan, and each of which we refer to as a Qualifying Termination). In the event of a Qualifying Termination of employment, the Executive Severance Plan provides, in addition to certain accrued obligations, for the following payments and benefits:</w:t>
      </w:r>
    </w:p>
    <w:p>
      <w:pPr>
        <w:spacing w:after="0" w:line="71" w:lineRule="exact"/>
        <w:rPr>
          <w:sz w:val="20"/>
          <w:szCs w:val="20"/>
          <w:color w:val="auto"/>
        </w:rPr>
      </w:pPr>
    </w:p>
    <w:p>
      <w:pPr>
        <w:ind w:left="1340" w:hanging="218"/>
        <w:spacing w:after="0"/>
        <w:tabs>
          <w:tab w:leader="none" w:pos="1340" w:val="left"/>
        </w:tabs>
        <w:numPr>
          <w:ilvl w:val="0"/>
          <w:numId w:val="40"/>
        </w:numPr>
        <w:rPr>
          <w:rFonts w:ascii="MS PGothic" w:cs="MS PGothic" w:eastAsia="MS PGothic" w:hAnsi="MS PGothic"/>
          <w:sz w:val="18"/>
          <w:szCs w:val="18"/>
          <w:color w:val="3C5896"/>
        </w:rPr>
      </w:pPr>
      <w:r>
        <w:rPr>
          <w:rFonts w:ascii="Arial" w:cs="Arial" w:eastAsia="Arial" w:hAnsi="Arial"/>
          <w:sz w:val="18"/>
          <w:szCs w:val="18"/>
          <w:color w:val="auto"/>
        </w:rPr>
        <w:t>A lump-sum pro-rata bonus for the year of termination of employment, based on actual performance;</w:t>
      </w:r>
    </w:p>
    <w:p>
      <w:pPr>
        <w:spacing w:after="0" w:line="117" w:lineRule="exact"/>
        <w:rPr>
          <w:rFonts w:ascii="MS PGothic" w:cs="MS PGothic" w:eastAsia="MS PGothic" w:hAnsi="MS PGothic"/>
          <w:sz w:val="18"/>
          <w:szCs w:val="18"/>
          <w:color w:val="3C5896"/>
        </w:rPr>
      </w:pPr>
    </w:p>
    <w:p>
      <w:pPr>
        <w:jc w:val="both"/>
        <w:ind w:left="1340" w:hanging="218"/>
        <w:spacing w:after="0" w:line="247" w:lineRule="auto"/>
        <w:tabs>
          <w:tab w:leader="none" w:pos="1340" w:val="left"/>
        </w:tabs>
        <w:numPr>
          <w:ilvl w:val="0"/>
          <w:numId w:val="40"/>
        </w:numPr>
        <w:rPr>
          <w:rFonts w:ascii="MS PGothic" w:cs="MS PGothic" w:eastAsia="MS PGothic" w:hAnsi="MS PGothic"/>
          <w:sz w:val="18"/>
          <w:szCs w:val="18"/>
          <w:color w:val="3C5896"/>
        </w:rPr>
      </w:pPr>
      <w:r>
        <w:rPr>
          <w:rFonts w:ascii="Arial" w:cs="Arial" w:eastAsia="Arial" w:hAnsi="Arial"/>
          <w:sz w:val="18"/>
          <w:szCs w:val="18"/>
          <w:color w:val="auto"/>
        </w:rPr>
        <w:t>An amount equal to the sum of the executive’s (x) annual base salary and (y) bonus based on target performance, which we refer to collectively as the cash severance amount, times the multiplier applicable to such executive, which is 2.0 for Mr. Fahs, 1.5 for Messrs. Moore and Brandman, and 1.0 for Messrs. Francis and Clark, payable over a period of 24 months for Mr. Fahs, 18 months for Messrs. Moore and Brandman, and 12 months for Messrs. Francis and Clark; and</w:t>
      </w:r>
    </w:p>
    <w:p>
      <w:pPr>
        <w:spacing w:after="0" w:line="82" w:lineRule="exact"/>
        <w:rPr>
          <w:rFonts w:ascii="MS PGothic" w:cs="MS PGothic" w:eastAsia="MS PGothic" w:hAnsi="MS PGothic"/>
          <w:sz w:val="18"/>
          <w:szCs w:val="18"/>
          <w:color w:val="3C5896"/>
        </w:rPr>
      </w:pPr>
    </w:p>
    <w:p>
      <w:pPr>
        <w:jc w:val="both"/>
        <w:ind w:left="1340" w:hanging="218"/>
        <w:spacing w:after="0" w:line="252" w:lineRule="auto"/>
        <w:tabs>
          <w:tab w:leader="none" w:pos="1340" w:val="left"/>
        </w:tabs>
        <w:numPr>
          <w:ilvl w:val="0"/>
          <w:numId w:val="40"/>
        </w:numPr>
        <w:rPr>
          <w:rFonts w:ascii="MS PGothic" w:cs="MS PGothic" w:eastAsia="MS PGothic" w:hAnsi="MS PGothic"/>
          <w:sz w:val="18"/>
          <w:szCs w:val="18"/>
          <w:color w:val="3C5896"/>
        </w:rPr>
      </w:pPr>
      <w:r>
        <w:rPr>
          <w:rFonts w:ascii="Arial" w:cs="Arial" w:eastAsia="Arial" w:hAnsi="Arial"/>
          <w:sz w:val="18"/>
          <w:szCs w:val="18"/>
          <w:color w:val="auto"/>
        </w:rPr>
        <w:t>Continued health insurance coverage at substantially the same level as provided immediately prior to the termination of employment, at the same cost as generally provided to our similarly situated active employees, which we refer to as the welfare benefit, for a period of 24 months for Mr. Fahs, 18 months for Messrs. Moore and Brandman, and 12 months for Messrs. Francis and Clark.</w:t>
      </w:r>
    </w:p>
    <w:p>
      <w:pPr>
        <w:spacing w:after="0" w:line="76"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In addition, upon a Qualifying Termination that occurs within the two-year period following a change in control (as defined in the Executive Severance Plan), the Executive Severance Plan provides, in addition to certain accrued obligations, for the following payments and benefits:</w:t>
      </w:r>
    </w:p>
    <w:p>
      <w:pPr>
        <w:spacing w:after="0" w:line="63" w:lineRule="exact"/>
        <w:rPr>
          <w:sz w:val="20"/>
          <w:szCs w:val="20"/>
          <w:color w:val="auto"/>
        </w:rPr>
      </w:pPr>
    </w:p>
    <w:p>
      <w:pPr>
        <w:ind w:left="1340" w:hanging="218"/>
        <w:spacing w:after="0"/>
        <w:tabs>
          <w:tab w:leader="none" w:pos="1340" w:val="left"/>
        </w:tabs>
        <w:numPr>
          <w:ilvl w:val="0"/>
          <w:numId w:val="41"/>
        </w:numPr>
        <w:rPr>
          <w:rFonts w:ascii="Arial" w:cs="Arial" w:eastAsia="Arial" w:hAnsi="Arial"/>
          <w:sz w:val="18"/>
          <w:szCs w:val="18"/>
          <w:color w:val="3C5896"/>
        </w:rPr>
      </w:pPr>
      <w:r>
        <w:rPr>
          <w:rFonts w:ascii="Arial" w:cs="Arial" w:eastAsia="Arial" w:hAnsi="Arial"/>
          <w:sz w:val="18"/>
          <w:szCs w:val="18"/>
          <w:color w:val="auto"/>
        </w:rPr>
        <w:t>A lump-sum pro-rata bonus for the year of termination of employment, based on target performance;</w:t>
      </w:r>
    </w:p>
    <w:p>
      <w:pPr>
        <w:spacing w:after="0" w:line="117" w:lineRule="exact"/>
        <w:rPr>
          <w:rFonts w:ascii="Arial" w:cs="Arial" w:eastAsia="Arial" w:hAnsi="Arial"/>
          <w:sz w:val="18"/>
          <w:szCs w:val="18"/>
          <w:color w:val="3C5896"/>
        </w:rPr>
      </w:pPr>
    </w:p>
    <w:p>
      <w:pPr>
        <w:jc w:val="both"/>
        <w:ind w:left="1340" w:hanging="218"/>
        <w:spacing w:after="0" w:line="261" w:lineRule="auto"/>
        <w:tabs>
          <w:tab w:leader="none" w:pos="1340" w:val="left"/>
        </w:tabs>
        <w:numPr>
          <w:ilvl w:val="0"/>
          <w:numId w:val="41"/>
        </w:numPr>
        <w:rPr>
          <w:rFonts w:ascii="Arial" w:cs="Arial" w:eastAsia="Arial" w:hAnsi="Arial"/>
          <w:sz w:val="18"/>
          <w:szCs w:val="18"/>
          <w:color w:val="3C5896"/>
        </w:rPr>
      </w:pPr>
      <w:r>
        <w:rPr>
          <w:rFonts w:ascii="Arial" w:cs="Arial" w:eastAsia="Arial" w:hAnsi="Arial"/>
          <w:sz w:val="18"/>
          <w:szCs w:val="18"/>
          <w:color w:val="auto"/>
        </w:rPr>
        <w:t>The cash severance amount, times the multiplier applicable to such executive, which is 2.5 for Mr. Fahs, 2.0 for Messrs. Moore and Brandman, and 1.5 for Messrs. Francis and Clark, payable in a lump sum within 60 days following the covered termination;</w:t>
      </w:r>
    </w:p>
    <w:p>
      <w:pPr>
        <w:spacing w:after="0" w:line="53" w:lineRule="exact"/>
        <w:rPr>
          <w:rFonts w:ascii="Arial" w:cs="Arial" w:eastAsia="Arial" w:hAnsi="Arial"/>
          <w:sz w:val="18"/>
          <w:szCs w:val="18"/>
          <w:color w:val="3C5896"/>
        </w:rPr>
      </w:pPr>
    </w:p>
    <w:p>
      <w:pPr>
        <w:ind w:left="1340" w:hanging="218"/>
        <w:spacing w:after="0" w:line="271" w:lineRule="auto"/>
        <w:tabs>
          <w:tab w:leader="none" w:pos="1340" w:val="left"/>
        </w:tabs>
        <w:numPr>
          <w:ilvl w:val="0"/>
          <w:numId w:val="41"/>
        </w:numPr>
        <w:rPr>
          <w:rFonts w:ascii="Arial" w:cs="Arial" w:eastAsia="Arial" w:hAnsi="Arial"/>
          <w:sz w:val="18"/>
          <w:szCs w:val="18"/>
          <w:color w:val="3C5896"/>
        </w:rPr>
      </w:pPr>
      <w:r>
        <w:rPr>
          <w:rFonts w:ascii="Arial" w:cs="Arial" w:eastAsia="Arial" w:hAnsi="Arial"/>
          <w:sz w:val="18"/>
          <w:szCs w:val="18"/>
          <w:color w:val="auto"/>
        </w:rPr>
        <w:t>The welfare benefit for a period of 30 months for Mr. Fahs, 24 months for Messrs. Moore and Brandman, and 18 months for Messrs. Francis and Clark; and</w:t>
      </w:r>
    </w:p>
    <w:p>
      <w:pPr>
        <w:spacing w:after="0" w:line="59" w:lineRule="exact"/>
        <w:rPr>
          <w:rFonts w:ascii="Arial" w:cs="Arial" w:eastAsia="Arial" w:hAnsi="Arial"/>
          <w:sz w:val="18"/>
          <w:szCs w:val="18"/>
          <w:color w:val="3C5896"/>
        </w:rPr>
      </w:pPr>
    </w:p>
    <w:p>
      <w:pPr>
        <w:ind w:left="1340" w:hanging="218"/>
        <w:spacing w:after="0" w:line="271" w:lineRule="auto"/>
        <w:tabs>
          <w:tab w:leader="none" w:pos="1340" w:val="left"/>
        </w:tabs>
        <w:numPr>
          <w:ilvl w:val="0"/>
          <w:numId w:val="41"/>
        </w:numPr>
        <w:rPr>
          <w:rFonts w:ascii="Arial" w:cs="Arial" w:eastAsia="Arial" w:hAnsi="Arial"/>
          <w:sz w:val="18"/>
          <w:szCs w:val="18"/>
          <w:color w:val="3C5896"/>
        </w:rPr>
      </w:pPr>
      <w:r>
        <w:rPr>
          <w:rFonts w:ascii="Arial" w:cs="Arial" w:eastAsia="Arial" w:hAnsi="Arial"/>
          <w:sz w:val="18"/>
          <w:szCs w:val="18"/>
          <w:color w:val="auto"/>
        </w:rPr>
        <w:t>Payment of, or reimbursement for, up to $20,000 in outplacement services within the six-month period following termination of employment.</w:t>
      </w:r>
    </w:p>
    <w:p>
      <w:pPr>
        <w:spacing w:after="0" w:line="59"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Any outstanding awards granted to NEOs under the Company’s equity plans will vest in accordance with the terms of the respective Equity Plan and the applicable award agreement, as detailed further below.</w:t>
      </w:r>
    </w:p>
    <w:p>
      <w:pPr>
        <w:spacing w:after="0" w:line="45"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Payments and benefits under the Executive Severance Plan are subject to (i) the executive’s execution and non-revocation of a release of claims in favor of the Company and (ii) continued compliance with the executive’s confidentiality, non-interference and invention assignment obligations to the Company.</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2019, 2020, and 2021 Options</w:t>
      </w:r>
    </w:p>
    <w:p>
      <w:pPr>
        <w:spacing w:after="0" w:line="11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Qualifying Termination within the two-year period following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(as defined in the 2017 Omnibus Plan), unvested time-based options would become immediately vested and exercisable. Vested and exercisable options will remain exercisable until the earlier of 90 days from the termination date or the expiration of the option period, as defined in the grant agreement.</w:t>
      </w:r>
    </w:p>
    <w:p>
      <w:pPr>
        <w:spacing w:after="0" w:line="68"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unvested time-based options will become vested and exercisable. Vested and exercisable options will remain exercisable until the earlier of one year from the termination date or the expiration of the option period, as defined in the grant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44  </w:t>
      </w:r>
      <w:r>
        <w:rPr>
          <w:sz w:val="1"/>
          <w:szCs w:val="1"/>
          <w:color w:val="auto"/>
        </w:rPr>
        <w:drawing>
          <wp:inline distT="0" distB="0" distL="0" distR="0">
            <wp:extent cx="300355" cy="24003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i w:val="1"/>
          <w:iCs w:val="1"/>
          <w:color w:val="auto"/>
        </w:rPr>
        <w:t>Effect of Qualifying Termination or Retirement on Vesting.</w:t>
      </w:r>
      <w:r>
        <w:rPr>
          <w:rFonts w:ascii="Arial" w:cs="Arial" w:eastAsia="Arial" w:hAnsi="Arial"/>
          <w:sz w:val="18"/>
          <w:szCs w:val="18"/>
          <w:color w:val="auto"/>
        </w:rPr>
        <w:t>Upon a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Plan), a pro rata portion of the options that would have vested on the next vesting date following the termination date would become immediately vested and exercisable. Vested and exercisable options will remain exercisable until the earlier of 90 days from the termination date or the expiration of the option period, as defined in the grant agreement.</w:t>
      </w:r>
    </w:p>
    <w:p>
      <w:pPr>
        <w:spacing w:after="0" w:line="82"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or a Qualifying Termination on vesting of time-based options, unvested options will not become vested and exercisable following termination of employment with us for any reason and any option that is unvested as of the date of termination of employment will immediately expire. Vested and exercisable options will remain exercisable until the earlier of 90 days from the termination date or the expiration of the option period, as defined in the grant agreement.</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1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change in control (as defined in the 2017 Omnibus Plan),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PSUs will be converted into time-based restricted stock equal to the greater of the target number of PSUs or the number of PSUs that would have been earned based on the actual performance as of the date of the change in control. If a successor does not assume, convert, or replace the award in connection with the change in control, or upon a Qualifying Termination within the two-year period following a change in control, the converted award would become fully vested.</w:t>
      </w:r>
    </w:p>
    <w:p>
      <w:pPr>
        <w:spacing w:after="0" w:line="74"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the outstanding and unvested PSUs would become vested assuming a payout at 100% of the target award.</w:t>
      </w:r>
    </w:p>
    <w:p>
      <w:pPr>
        <w:spacing w:after="0" w:line="63"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i w:val="1"/>
          <w:iCs w:val="1"/>
          <w:color w:val="auto"/>
        </w:rPr>
        <w:t xml:space="preserve">Effect of Qualifying Termination on Vesting. </w:t>
      </w:r>
      <w:r>
        <w:rPr>
          <w:rFonts w:ascii="Arial" w:cs="Arial" w:eastAsia="Arial" w:hAnsi="Arial"/>
          <w:sz w:val="18"/>
          <w:szCs w:val="18"/>
          <w:color w:val="auto"/>
        </w:rPr>
        <w:t>Upon a Qualifying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Omnibus Plan), subject to compliance with applicable restrictive covenants during the performance period, a pro rata portion of the PSUs will remain outstanding and eligible to vest based on actual performance on the last day of the performance period.</w:t>
      </w:r>
    </w:p>
    <w:p>
      <w:pPr>
        <w:spacing w:after="0" w:line="68"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i w:val="1"/>
          <w:iCs w:val="1"/>
          <w:color w:val="auto"/>
        </w:rPr>
        <w:t>Effect of Retirement on Vesting</w:t>
      </w:r>
      <w:r>
        <w:rPr>
          <w:rFonts w:ascii="Arial" w:cs="Arial" w:eastAsia="Arial" w:hAnsi="Arial"/>
          <w:sz w:val="18"/>
          <w:szCs w:val="18"/>
          <w:color w:val="auto"/>
        </w:rPr>
        <w:t>: Upon retirement of a NEO, unvested PSUs will not become vested and any PSU</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unvested as of the date of termination of employment or retirement will immediately be forfeited.</w:t>
      </w:r>
    </w:p>
    <w:p>
      <w:pPr>
        <w:spacing w:after="0" w:line="4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on vesting of PSUs, unvested PSUs will not become vested following termination of employment with us for any reason, and any PSU that is unvested as of the date of termination of employment will immediately be forfeited.</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5"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i w:val="1"/>
          <w:iCs w:val="1"/>
          <w:color w:val="auto"/>
        </w:rPr>
        <w:t xml:space="preserve">Effect of Change in Control on Vesting. </w:t>
      </w:r>
      <w:r>
        <w:rPr>
          <w:rFonts w:ascii="Arial" w:cs="Arial" w:eastAsia="Arial" w:hAnsi="Arial"/>
          <w:sz w:val="18"/>
          <w:szCs w:val="18"/>
          <w:color w:val="auto"/>
        </w:rPr>
        <w:t>Upon a Qualifying Termination within the two-year period following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(as defined in the 2017 Omnibus Plan), unvested time-based RSUs would become vested.</w:t>
      </w:r>
    </w:p>
    <w:p>
      <w:pPr>
        <w:spacing w:after="0" w:line="45"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i w:val="1"/>
          <w:iCs w:val="1"/>
          <w:color w:val="auto"/>
        </w:rPr>
        <w:t xml:space="preserve">Effect of Death or Disability on Vesting. </w:t>
      </w:r>
      <w:r>
        <w:rPr>
          <w:rFonts w:ascii="Arial" w:cs="Arial" w:eastAsia="Arial" w:hAnsi="Arial"/>
          <w:sz w:val="18"/>
          <w:szCs w:val="18"/>
          <w:color w:val="auto"/>
        </w:rPr>
        <w:t>Upon a termination of a NEO’s employment with the Company by reason of</w:t>
      </w:r>
      <w:r>
        <w:rPr>
          <w:rFonts w:ascii="Arial" w:cs="Arial" w:eastAsia="Arial" w:hAnsi="Arial"/>
          <w:sz w:val="18"/>
          <w:szCs w:val="18"/>
          <w:i w:val="1"/>
          <w:iCs w:val="1"/>
          <w:color w:val="auto"/>
        </w:rPr>
        <w:t xml:space="preserve"> </w:t>
      </w:r>
      <w:r>
        <w:rPr>
          <w:rFonts w:ascii="Arial" w:cs="Arial" w:eastAsia="Arial" w:hAnsi="Arial"/>
          <w:sz w:val="18"/>
          <w:szCs w:val="18"/>
          <w:color w:val="auto"/>
        </w:rPr>
        <w:t>death or disability, unvested time-based RSUs would become vested.</w:t>
      </w:r>
    </w:p>
    <w:p>
      <w:pPr>
        <w:spacing w:after="0" w:line="4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i w:val="1"/>
          <w:iCs w:val="1"/>
          <w:color w:val="auto"/>
        </w:rPr>
        <w:t xml:space="preserve">Effect of Qualifying Termination on Vesting. </w:t>
      </w:r>
      <w:r>
        <w:rPr>
          <w:rFonts w:ascii="Arial" w:cs="Arial" w:eastAsia="Arial" w:hAnsi="Arial"/>
          <w:sz w:val="18"/>
          <w:szCs w:val="18"/>
          <w:color w:val="auto"/>
        </w:rPr>
        <w:t>Upon a Qualifying Termination of a NEO’s employment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or by the executive for good reason (as defined in the 2017 Omnibus Plan), a pro rata portion of the RSUs that would have vested on the next vesting date following the termination date would become vested.</w:t>
      </w:r>
    </w:p>
    <w:p>
      <w:pPr>
        <w:spacing w:after="0" w:line="68"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i w:val="1"/>
          <w:iCs w:val="1"/>
          <w:color w:val="auto"/>
        </w:rPr>
        <w:t xml:space="preserve">Effect of Other Terminations of Employment. </w:t>
      </w:r>
      <w:r>
        <w:rPr>
          <w:rFonts w:ascii="Arial" w:cs="Arial" w:eastAsia="Arial" w:hAnsi="Arial"/>
          <w:sz w:val="18"/>
          <w:szCs w:val="18"/>
          <w:color w:val="auto"/>
        </w:rPr>
        <w:t>Except as set forth above with respect to the effect of death,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or a Qualifying Termination on vesting of time-based RSUs, unvested RSUs will not become vested following termination of employment with us for any reason and any RSU that is unvested as of the date of termination of employment will immediately be forfeited.</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Quantification of Payments upon Termination or Change in Control</w:t>
      </w:r>
    </w:p>
    <w:p>
      <w:pPr>
        <w:spacing w:after="0" w:line="115"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The following table lists the payments and benefits that would have been triggered for each of our NEOs under the circumstances described below assuming that the applicable triggering event occurred on January 1, 2022. Consistent with SEC requirements, these estimated amounts have been calculated as if the NEO’s employment had been terminated as of January 1, 2022, the last day of fiscal 2021, and using the closing market price of our common stock on December 31, 2021, the last trading day in fiscal 2021 ($47.99 per share). For purposes of this section, we have assumed that (1) we do not exercise any discretion to accelerate the vesting of outstanding options in connection with</w:t>
      </w:r>
    </w:p>
    <w:p>
      <w:pPr>
        <w:spacing w:after="0" w:line="7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25" w:lineRule="exact"/>
        <w:rPr>
          <w:sz w:val="20"/>
          <w:szCs w:val="20"/>
          <w:color w:val="auto"/>
        </w:rPr>
      </w:pPr>
    </w:p>
    <w:p>
      <w:pPr>
        <w:ind w:left="760"/>
        <w:spacing w:after="0" w:line="287" w:lineRule="auto"/>
        <w:rPr>
          <w:sz w:val="20"/>
          <w:szCs w:val="20"/>
          <w:color w:val="auto"/>
        </w:rPr>
      </w:pPr>
      <w:r>
        <w:rPr>
          <w:rFonts w:ascii="Arial" w:cs="Arial" w:eastAsia="Arial" w:hAnsi="Arial"/>
          <w:sz w:val="18"/>
          <w:szCs w:val="18"/>
          <w:color w:val="auto"/>
        </w:rPr>
        <w:t>a change in control, and (2) the value of any stock options that may be accelerated is equal to the full value of such awards (i.e., the full “spread” value for stock options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66040</wp:posOffset>
            </wp:positionV>
            <wp:extent cx="3128645" cy="3608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28645" cy="36087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66040</wp:posOffset>
            </wp:positionV>
            <wp:extent cx="34290" cy="522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522605"/>
                    </a:xfrm>
                    <a:prstGeom prst="rect">
                      <a:avLst/>
                    </a:prstGeom>
                    <a:noFill/>
                  </pic:spPr>
                </pic:pic>
              </a:graphicData>
            </a:graphic>
          </wp:anchor>
        </w:drawing>
      </w:r>
    </w:p>
    <w:p>
      <w:pPr>
        <w:spacing w:after="0" w:line="64"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20" w:type="dxa"/>
            <w:vAlign w:val="bottom"/>
            <w:tcBorders>
              <w:top w:val="single" w:sz="8" w:color="3C5896"/>
            </w:tcBorders>
          </w:tcPr>
          <w:p>
            <w:pPr>
              <w:spacing w:after="0"/>
              <w:rPr>
                <w:sz w:val="18"/>
                <w:szCs w:val="18"/>
                <w:color w:val="auto"/>
              </w:rPr>
            </w:pPr>
          </w:p>
        </w:tc>
        <w:tc>
          <w:tcPr>
            <w:tcW w:w="1600" w:type="dxa"/>
            <w:vAlign w:val="bottom"/>
            <w:tcBorders>
              <w:top w:val="single" w:sz="8" w:color="3C5896"/>
              <w:left w:val="single" w:sz="8" w:color="3C5896"/>
            </w:tcBorders>
            <w:shd w:val="clear" w:color="auto" w:fill="3C5896"/>
          </w:tcPr>
          <w:p>
            <w:pPr>
              <w:spacing w:after="0"/>
              <w:rPr>
                <w:sz w:val="18"/>
                <w:szCs w:val="18"/>
                <w:color w:val="auto"/>
              </w:rPr>
            </w:pPr>
          </w:p>
        </w:tc>
        <w:tc>
          <w:tcPr>
            <w:tcW w:w="2360" w:type="dxa"/>
            <w:vAlign w:val="bottom"/>
            <w:tcBorders>
              <w:top w:val="single" w:sz="8" w:color="3C5896"/>
            </w:tcBorders>
            <w:shd w:val="clear" w:color="auto" w:fill="3C5896"/>
          </w:tcPr>
          <w:p>
            <w:pPr>
              <w:spacing w:after="0"/>
              <w:rPr>
                <w:sz w:val="18"/>
                <w:szCs w:val="18"/>
                <w:color w:val="auto"/>
              </w:rPr>
            </w:pPr>
          </w:p>
        </w:tc>
        <w:tc>
          <w:tcPr>
            <w:tcW w:w="280" w:type="dxa"/>
            <w:vAlign w:val="bottom"/>
            <w:tcBorders>
              <w:top w:val="single" w:sz="8" w:color="3C5896"/>
            </w:tcBorders>
            <w:shd w:val="clear" w:color="auto" w:fill="3C5896"/>
          </w:tcPr>
          <w:p>
            <w:pPr>
              <w:spacing w:after="0"/>
              <w:rPr>
                <w:sz w:val="18"/>
                <w:szCs w:val="18"/>
                <w:color w:val="auto"/>
              </w:rPr>
            </w:pPr>
          </w:p>
        </w:tc>
        <w:tc>
          <w:tcPr>
            <w:tcW w:w="20" w:type="dxa"/>
            <w:vAlign w:val="bottom"/>
            <w:tcBorders>
              <w:top w:val="single" w:sz="8" w:color="3C5896"/>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3C5896"/>
            </w:tcBorders>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500" w:type="dxa"/>
            <w:vAlign w:val="bottom"/>
            <w:tcBorders>
              <w:top w:val="single" w:sz="8" w:color="3C5896"/>
            </w:tcBorders>
          </w:tcPr>
          <w:p>
            <w:pPr>
              <w:spacing w:after="0"/>
              <w:rPr>
                <w:sz w:val="18"/>
                <w:szCs w:val="18"/>
                <w:color w:val="auto"/>
              </w:rPr>
            </w:pPr>
          </w:p>
        </w:tc>
        <w:tc>
          <w:tcPr>
            <w:tcW w:w="200" w:type="dxa"/>
            <w:vAlign w:val="bottom"/>
            <w:tcBorders>
              <w:top w:val="single" w:sz="8" w:color="3C5896"/>
            </w:tcBorders>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20" w:type="dxa"/>
            <w:vAlign w:val="bottom"/>
            <w:tcBorders>
              <w:top w:val="single" w:sz="8" w:color="3C5896"/>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3C5896"/>
            </w:tcBorders>
            <w:gridSpan w:val="5"/>
          </w:tcPr>
          <w:p>
            <w:pPr>
              <w:jc w:val="right"/>
              <w:spacing w:after="0"/>
              <w:rPr>
                <w:sz w:val="20"/>
                <w:szCs w:val="20"/>
                <w:color w:val="auto"/>
              </w:rPr>
            </w:pPr>
            <w:r>
              <w:rPr>
                <w:rFonts w:ascii="Arial" w:cs="Arial" w:eastAsia="Arial" w:hAnsi="Arial"/>
                <w:sz w:val="16"/>
                <w:szCs w:val="16"/>
                <w:b w:val="1"/>
                <w:bCs w:val="1"/>
                <w:color w:val="FFFFFF"/>
                <w:w w:val="99"/>
              </w:rPr>
              <w:t>Continuation</w:t>
            </w:r>
          </w:p>
        </w:tc>
        <w:tc>
          <w:tcPr>
            <w:tcW w:w="40" w:type="dxa"/>
            <w:vAlign w:val="bottom"/>
            <w:tcBorders>
              <w:top w:val="single" w:sz="8" w:color="3C5896"/>
            </w:tcBorders>
          </w:tcPr>
          <w:p>
            <w:pPr>
              <w:spacing w:after="0"/>
              <w:rPr>
                <w:sz w:val="18"/>
                <w:szCs w:val="18"/>
                <w:color w:val="auto"/>
              </w:rPr>
            </w:pPr>
          </w:p>
        </w:tc>
        <w:tc>
          <w:tcPr>
            <w:tcW w:w="20" w:type="dxa"/>
            <w:vAlign w:val="bottom"/>
            <w:tcBorders>
              <w:top w:val="single" w:sz="8" w:color="3C5896"/>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3C5896"/>
            </w:tcBorders>
          </w:tcPr>
          <w:p>
            <w:pPr>
              <w:spacing w:after="0"/>
              <w:rPr>
                <w:sz w:val="18"/>
                <w:szCs w:val="18"/>
                <w:color w:val="auto"/>
              </w:rPr>
            </w:pPr>
          </w:p>
        </w:tc>
        <w:tc>
          <w:tcPr>
            <w:tcW w:w="60" w:type="dxa"/>
            <w:vAlign w:val="bottom"/>
            <w:tcBorders>
              <w:top w:val="single" w:sz="8" w:color="3C5896"/>
            </w:tcBorders>
          </w:tcPr>
          <w:p>
            <w:pPr>
              <w:spacing w:after="0"/>
              <w:rPr>
                <w:sz w:val="18"/>
                <w:szCs w:val="18"/>
                <w:color w:val="auto"/>
              </w:rPr>
            </w:pPr>
          </w:p>
        </w:tc>
        <w:tc>
          <w:tcPr>
            <w:tcW w:w="560" w:type="dxa"/>
            <w:vAlign w:val="bottom"/>
            <w:tcBorders>
              <w:top w:val="single" w:sz="8" w:color="3C5896"/>
            </w:tcBorders>
          </w:tcPr>
          <w:p>
            <w:pPr>
              <w:spacing w:after="0"/>
              <w:rPr>
                <w:sz w:val="18"/>
                <w:szCs w:val="18"/>
                <w:color w:val="auto"/>
              </w:rPr>
            </w:pPr>
          </w:p>
        </w:tc>
        <w:tc>
          <w:tcPr>
            <w:tcW w:w="60" w:type="dxa"/>
            <w:vAlign w:val="bottom"/>
            <w:tcBorders>
              <w:top w:val="single" w:sz="8" w:color="3C5896"/>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3C5896"/>
            </w:tcBorders>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120" w:type="dxa"/>
            <w:vAlign w:val="bottom"/>
            <w:tcBorders>
              <w:top w:val="single" w:sz="8" w:color="3C5896"/>
            </w:tcBorders>
          </w:tcPr>
          <w:p>
            <w:pPr>
              <w:spacing w:after="0"/>
              <w:rPr>
                <w:sz w:val="18"/>
                <w:szCs w:val="18"/>
                <w:color w:val="auto"/>
              </w:rPr>
            </w:pPr>
          </w:p>
        </w:tc>
        <w:tc>
          <w:tcPr>
            <w:tcW w:w="640" w:type="dxa"/>
            <w:vAlign w:val="bottom"/>
            <w:tcBorders>
              <w:top w:val="single" w:sz="8" w:color="3C5896"/>
            </w:tcBorders>
          </w:tcPr>
          <w:p>
            <w:pPr>
              <w:spacing w:after="0"/>
              <w:rPr>
                <w:sz w:val="18"/>
                <w:szCs w:val="18"/>
                <w:color w:val="auto"/>
              </w:rPr>
            </w:pPr>
          </w:p>
        </w:tc>
        <w:tc>
          <w:tcPr>
            <w:tcW w:w="120" w:type="dxa"/>
            <w:vAlign w:val="bottom"/>
            <w:tcBorders>
              <w:top w:val="single" w:sz="8" w:color="3C5896"/>
            </w:tcBorders>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3C5896"/>
            </w:tcBorders>
          </w:tcPr>
          <w:p>
            <w:pPr>
              <w:spacing w:after="0"/>
              <w:rPr>
                <w:sz w:val="18"/>
                <w:szCs w:val="18"/>
                <w:color w:val="auto"/>
              </w:rPr>
            </w:pPr>
          </w:p>
        </w:tc>
        <w:tc>
          <w:tcPr>
            <w:tcW w:w="100" w:type="dxa"/>
            <w:vAlign w:val="bottom"/>
            <w:tcBorders>
              <w:top w:val="single" w:sz="8" w:color="3C5896"/>
            </w:tcBorders>
          </w:tcPr>
          <w:p>
            <w:pPr>
              <w:spacing w:after="0"/>
              <w:rPr>
                <w:sz w:val="18"/>
                <w:szCs w:val="18"/>
                <w:color w:val="auto"/>
              </w:rPr>
            </w:pPr>
          </w:p>
        </w:tc>
        <w:tc>
          <w:tcPr>
            <w:tcW w:w="640" w:type="dxa"/>
            <w:vAlign w:val="bottom"/>
            <w:tcBorders>
              <w:top w:val="single" w:sz="8" w:color="3C5896"/>
            </w:tcBorders>
          </w:tcPr>
          <w:p>
            <w:pPr>
              <w:spacing w:after="0"/>
              <w:rPr>
                <w:sz w:val="18"/>
                <w:szCs w:val="18"/>
                <w:color w:val="auto"/>
              </w:rPr>
            </w:pPr>
          </w:p>
        </w:tc>
        <w:tc>
          <w:tcPr>
            <w:tcW w:w="80" w:type="dxa"/>
            <w:vAlign w:val="bottom"/>
            <w:tcBorders>
              <w:top w:val="single" w:sz="8" w:color="3C5896"/>
            </w:tcBorders>
          </w:tcPr>
          <w:p>
            <w:pPr>
              <w:spacing w:after="0"/>
              <w:rPr>
                <w:sz w:val="18"/>
                <w:szCs w:val="18"/>
                <w:color w:val="auto"/>
              </w:rPr>
            </w:pPr>
          </w:p>
        </w:tc>
        <w:tc>
          <w:tcPr>
            <w:tcW w:w="100" w:type="dxa"/>
            <w:vAlign w:val="bottom"/>
            <w:tcBorders>
              <w:top w:val="single" w:sz="8" w:color="3C5896"/>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tcBorders>
              <w:left w:val="single" w:sz="8" w:color="3C5896"/>
            </w:tcBorders>
            <w:shd w:val="clear" w:color="auto" w:fill="3C5896"/>
          </w:tcPr>
          <w:p>
            <w:pPr>
              <w:spacing w:after="0"/>
              <w:rPr>
                <w:sz w:val="16"/>
                <w:szCs w:val="16"/>
                <w:color w:val="auto"/>
              </w:rPr>
            </w:pPr>
          </w:p>
        </w:tc>
        <w:tc>
          <w:tcPr>
            <w:tcW w:w="2360" w:type="dxa"/>
            <w:vAlign w:val="bottom"/>
            <w:shd w:val="clear" w:color="auto" w:fill="3C5896"/>
          </w:tcPr>
          <w:p>
            <w:pPr>
              <w:spacing w:after="0"/>
              <w:rPr>
                <w:sz w:val="16"/>
                <w:szCs w:val="16"/>
                <w:color w:val="auto"/>
              </w:rPr>
            </w:pPr>
          </w:p>
        </w:tc>
        <w:tc>
          <w:tcPr>
            <w:tcW w:w="280" w:type="dxa"/>
            <w:vAlign w:val="bottom"/>
            <w:shd w:val="clear" w:color="auto" w:fill="3C589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5"/>
          </w:tcPr>
          <w:p>
            <w:pPr>
              <w:jc w:val="center"/>
              <w:spacing w:after="0"/>
              <w:rPr>
                <w:sz w:val="20"/>
                <w:szCs w:val="20"/>
                <w:color w:val="auto"/>
              </w:rPr>
            </w:pPr>
            <w:r>
              <w:rPr>
                <w:rFonts w:ascii="Arial" w:cs="Arial" w:eastAsia="Arial" w:hAnsi="Arial"/>
                <w:sz w:val="16"/>
                <w:szCs w:val="16"/>
                <w:b w:val="1"/>
                <w:bCs w:val="1"/>
                <w:color w:val="FFFFFF"/>
                <w:w w:val="99"/>
              </w:rPr>
              <w:t>Severance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Arial" w:cs="Arial" w:eastAsia="Arial" w:hAnsi="Arial"/>
                <w:sz w:val="16"/>
                <w:szCs w:val="16"/>
                <w:b w:val="1"/>
                <w:bCs w:val="1"/>
                <w:color w:val="FFFFFF"/>
              </w:rPr>
              <w:t>of Health</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6"/>
                <w:szCs w:val="16"/>
                <w:b w:val="1"/>
                <w:bCs w:val="1"/>
                <w:color w:val="FFFFFF"/>
              </w:rPr>
              <w:t>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tcPr>
          <w:p>
            <w:pPr>
              <w:jc w:val="right"/>
              <w:spacing w:after="0"/>
              <w:rPr>
                <w:sz w:val="20"/>
                <w:szCs w:val="20"/>
                <w:color w:val="auto"/>
              </w:rPr>
            </w:pPr>
            <w:r>
              <w:rPr>
                <w:rFonts w:ascii="Arial" w:cs="Arial" w:eastAsia="Arial" w:hAnsi="Arial"/>
                <w:sz w:val="16"/>
                <w:szCs w:val="16"/>
                <w:b w:val="1"/>
                <w:bCs w:val="1"/>
                <w:color w:val="FFFFFF"/>
                <w:w w:val="98"/>
              </w:rPr>
              <w:t>Performance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4"/>
          </w:tcPr>
          <w:p>
            <w:pPr>
              <w:jc w:val="center"/>
              <w:spacing w:after="0"/>
              <w:rPr>
                <w:sz w:val="20"/>
                <w:szCs w:val="20"/>
                <w:color w:val="auto"/>
              </w:rPr>
            </w:pPr>
            <w:r>
              <w:rPr>
                <w:rFonts w:ascii="Arial" w:cs="Arial" w:eastAsia="Arial" w:hAnsi="Arial"/>
                <w:sz w:val="16"/>
                <w:szCs w:val="16"/>
                <w:b w:val="1"/>
                <w:bCs w:val="1"/>
                <w:color w:val="FFFFFF"/>
                <w:w w:val="99"/>
              </w:rPr>
              <w:t>Restricted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0" w:type="dxa"/>
            <w:vAlign w:val="bottom"/>
            <w:tcBorders>
              <w:left w:val="single" w:sz="8" w:color="3C5896"/>
            </w:tcBorders>
            <w:shd w:val="clear" w:color="auto" w:fill="3C5896"/>
          </w:tcPr>
          <w:p>
            <w:pPr>
              <w:spacing w:after="0"/>
              <w:rPr>
                <w:sz w:val="17"/>
                <w:szCs w:val="17"/>
                <w:color w:val="auto"/>
              </w:rPr>
            </w:pPr>
          </w:p>
        </w:tc>
        <w:tc>
          <w:tcPr>
            <w:tcW w:w="2360" w:type="dxa"/>
            <w:vAlign w:val="bottom"/>
            <w:shd w:val="clear" w:color="auto" w:fill="3C5896"/>
          </w:tcPr>
          <w:p>
            <w:pPr>
              <w:spacing w:after="0"/>
              <w:rPr>
                <w:sz w:val="17"/>
                <w:szCs w:val="17"/>
                <w:color w:val="auto"/>
              </w:rPr>
            </w:pPr>
          </w:p>
        </w:tc>
        <w:tc>
          <w:tcPr>
            <w:tcW w:w="280" w:type="dxa"/>
            <w:vAlign w:val="bottom"/>
            <w:shd w:val="clear" w:color="auto" w:fill="3C589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FFFFFF"/>
              </w:rPr>
              <w:t>Benefit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FFFFFF"/>
              </w:rPr>
              <w:t>Benefits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center"/>
              <w:spacing w:after="0"/>
              <w:rPr>
                <w:sz w:val="20"/>
                <w:szCs w:val="20"/>
                <w:color w:val="auto"/>
              </w:rPr>
            </w:pPr>
            <w:r>
              <w:rPr>
                <w:rFonts w:ascii="Arial" w:cs="Arial" w:eastAsia="Arial" w:hAnsi="Arial"/>
                <w:sz w:val="16"/>
                <w:szCs w:val="16"/>
                <w:b w:val="1"/>
                <w:bCs w:val="1"/>
                <w:color w:val="FFFFFF"/>
                <w:w w:val="99"/>
              </w:rPr>
              <w:t>Options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FFFFFF"/>
                <w:w w:val="99"/>
              </w:rPr>
              <w:t>Stock Units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4"/>
          </w:tcPr>
          <w:p>
            <w:pPr>
              <w:jc w:val="center"/>
              <w:spacing w:after="0"/>
              <w:rPr>
                <w:sz w:val="20"/>
                <w:szCs w:val="20"/>
                <w:color w:val="auto"/>
              </w:rPr>
            </w:pPr>
            <w:r>
              <w:rPr>
                <w:rFonts w:ascii="Arial" w:cs="Arial" w:eastAsia="Arial" w:hAnsi="Arial"/>
                <w:sz w:val="16"/>
                <w:szCs w:val="16"/>
                <w:b w:val="1"/>
                <w:bCs w:val="1"/>
                <w:color w:val="FFFFFF"/>
                <w:w w:val="99"/>
              </w:rPr>
              <w:t>Stock Units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00" w:type="dxa"/>
            <w:vAlign w:val="bottom"/>
            <w:tcBorders>
              <w:left w:val="single" w:sz="8" w:color="3C5896"/>
            </w:tcBorders>
            <w:shd w:val="clear" w:color="auto" w:fill="3C5896"/>
          </w:tcPr>
          <w:p>
            <w:pPr>
              <w:ind w:left="20"/>
              <w:spacing w:after="0"/>
              <w:rPr>
                <w:sz w:val="20"/>
                <w:szCs w:val="20"/>
                <w:color w:val="auto"/>
              </w:rPr>
            </w:pPr>
            <w:r>
              <w:rPr>
                <w:rFonts w:ascii="Arial" w:cs="Arial" w:eastAsia="Arial" w:hAnsi="Arial"/>
                <w:sz w:val="16"/>
                <w:szCs w:val="16"/>
                <w:b w:val="1"/>
                <w:bCs w:val="1"/>
                <w:color w:val="FFFFFF"/>
              </w:rPr>
              <w:t>​</w:t>
            </w:r>
          </w:p>
        </w:tc>
        <w:tc>
          <w:tcPr>
            <w:tcW w:w="2360" w:type="dxa"/>
            <w:vAlign w:val="bottom"/>
            <w:shd w:val="clear" w:color="auto" w:fill="3C5896"/>
          </w:tcPr>
          <w:p>
            <w:pPr>
              <w:ind w:left="360"/>
              <w:spacing w:after="0"/>
              <w:rPr>
                <w:sz w:val="20"/>
                <w:szCs w:val="20"/>
                <w:color w:val="auto"/>
              </w:rPr>
            </w:pPr>
            <w:r>
              <w:rPr>
                <w:rFonts w:ascii="Arial" w:cs="Arial" w:eastAsia="Arial" w:hAnsi="Arial"/>
                <w:sz w:val="16"/>
                <w:szCs w:val="16"/>
                <w:b w:val="1"/>
                <w:bCs w:val="1"/>
                <w:color w:val="FFFFFF"/>
              </w:rPr>
              <w:t>NEO</w:t>
            </w:r>
          </w:p>
        </w:tc>
        <w:tc>
          <w:tcPr>
            <w:tcW w:w="280" w:type="dxa"/>
            <w:vAlign w:val="bottom"/>
            <w:shd w:val="clear" w:color="auto" w:fill="3C5896"/>
          </w:tcPr>
          <w:p>
            <w:pPr>
              <w:spacing w:after="0"/>
              <w:rPr>
                <w:sz w:val="19"/>
                <w:szCs w:val="19"/>
                <w:color w:val="auto"/>
              </w:rPr>
            </w:pPr>
          </w:p>
        </w:tc>
        <w:tc>
          <w:tcPr>
            <w:tcW w:w="160" w:type="dxa"/>
            <w:vAlign w:val="bottom"/>
            <w:gridSpan w:val="4"/>
          </w:tcPr>
          <w:p>
            <w:pPr>
              <w:jc w:val="right"/>
              <w:spacing w:after="0"/>
              <w:rPr>
                <w:sz w:val="20"/>
                <w:szCs w:val="20"/>
                <w:color w:val="auto"/>
              </w:rPr>
            </w:pPr>
            <w:r>
              <w:rPr>
                <w:rFonts w:ascii="Arial" w:cs="Arial" w:eastAsia="Arial" w:hAnsi="Arial"/>
                <w:sz w:val="16"/>
                <w:szCs w:val="16"/>
                <w:b w:val="1"/>
                <w:bCs w:val="1"/>
                <w:color w:val="FFFFFF"/>
              </w:rPr>
              <w:t>​​</w:t>
            </w:r>
          </w:p>
        </w:tc>
        <w:tc>
          <w:tcPr>
            <w:tcW w:w="500" w:type="dxa"/>
            <w:vAlign w:val="bottom"/>
          </w:tcPr>
          <w:p>
            <w:pPr>
              <w:jc w:val="center"/>
              <w:ind w:left="59"/>
              <w:spacing w:after="0"/>
              <w:rPr>
                <w:sz w:val="20"/>
                <w:szCs w:val="20"/>
                <w:color w:val="auto"/>
              </w:rPr>
            </w:pPr>
            <w:r>
              <w:rPr>
                <w:rFonts w:ascii="Arial" w:cs="Arial" w:eastAsia="Arial" w:hAnsi="Arial"/>
                <w:sz w:val="16"/>
                <w:szCs w:val="16"/>
                <w:b w:val="1"/>
                <w:bCs w:val="1"/>
                <w:color w:val="FFFFFF"/>
                <w:w w:val="91"/>
              </w:rPr>
              <w:t>($)</w:t>
            </w:r>
            <w:r>
              <w:rPr>
                <w:rFonts w:ascii="Arial" w:cs="Arial" w:eastAsia="Arial" w:hAnsi="Arial"/>
                <w:sz w:val="19"/>
                <w:szCs w:val="19"/>
                <w:b w:val="1"/>
                <w:bCs w:val="1"/>
                <w:color w:val="FFFFFF"/>
                <w:w w:val="91"/>
                <w:vertAlign w:val="superscript"/>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b w:val="1"/>
                <w:bCs w:val="1"/>
                <w:color w:val="FFFFFF"/>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9"/>
                <w:szCs w:val="19"/>
                <w:b w:val="1"/>
                <w:bCs w:val="1"/>
                <w:color w:val="FFFFFF"/>
                <w:vertAlign w:val="superscript"/>
              </w:rPr>
              <w:t>(2)</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4"/>
          </w:tcPr>
          <w:p>
            <w:pPr>
              <w:spacing w:after="0"/>
              <w:rPr>
                <w:sz w:val="20"/>
                <w:szCs w:val="20"/>
                <w:color w:val="auto"/>
              </w:rPr>
            </w:pPr>
            <w:r>
              <w:rPr>
                <w:rFonts w:ascii="Arial" w:cs="Arial" w:eastAsia="Arial" w:hAnsi="Arial"/>
                <w:sz w:val="16"/>
                <w:szCs w:val="16"/>
                <w:b w:val="1"/>
                <w:bCs w:val="1"/>
                <w:color w:val="FFFFFF"/>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FFFFFF"/>
                <w:w w:val="91"/>
              </w:rPr>
              <w:t>($)</w:t>
            </w:r>
            <w:r>
              <w:rPr>
                <w:rFonts w:ascii="Arial" w:cs="Arial" w:eastAsia="Arial" w:hAnsi="Arial"/>
                <w:sz w:val="19"/>
                <w:szCs w:val="19"/>
                <w:b w:val="1"/>
                <w:bCs w:val="1"/>
                <w:color w:val="FFFFFF"/>
                <w:w w:val="91"/>
                <w:vertAlign w:val="superscript"/>
              </w:rPr>
              <w:t>(3)</w:t>
            </w:r>
          </w:p>
        </w:tc>
        <w:tc>
          <w:tcPr>
            <w:tcW w:w="140" w:type="dxa"/>
            <w:vAlign w:val="bottom"/>
            <w:gridSpan w:val="3"/>
          </w:tcPr>
          <w:p>
            <w:pPr>
              <w:jc w:val="right"/>
              <w:spacing w:after="0"/>
              <w:rPr>
                <w:sz w:val="20"/>
                <w:szCs w:val="20"/>
                <w:color w:val="auto"/>
              </w:rPr>
            </w:pPr>
            <w:r>
              <w:rPr>
                <w:rFonts w:ascii="Arial" w:cs="Arial" w:eastAsia="Arial" w:hAnsi="Arial"/>
                <w:sz w:val="16"/>
                <w:szCs w:val="16"/>
                <w:b w:val="1"/>
                <w:bCs w:val="1"/>
                <w:color w:val="FFFFFF"/>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9"/>
                <w:szCs w:val="19"/>
                <w:b w:val="1"/>
                <w:bCs w:val="1"/>
                <w:color w:val="FFFFFF"/>
                <w:vertAlign w:val="superscript"/>
              </w:rPr>
              <w:t>(4)</w:t>
            </w:r>
          </w:p>
        </w:tc>
        <w:tc>
          <w:tcPr>
            <w:tcW w:w="120" w:type="dxa"/>
            <w:vAlign w:val="bottom"/>
          </w:tcPr>
          <w:p>
            <w:pPr>
              <w:spacing w:after="0"/>
              <w:rPr>
                <w:sz w:val="19"/>
                <w:szCs w:val="19"/>
                <w:color w:val="auto"/>
              </w:rPr>
            </w:pPr>
          </w:p>
        </w:tc>
        <w:tc>
          <w:tcPr>
            <w:tcW w:w="300" w:type="dxa"/>
            <w:vAlign w:val="bottom"/>
            <w:gridSpan w:val="4"/>
          </w:tcPr>
          <w:p>
            <w:pPr>
              <w:ind w:left="60"/>
              <w:spacing w:after="0"/>
              <w:rPr>
                <w:sz w:val="20"/>
                <w:szCs w:val="20"/>
                <w:color w:val="auto"/>
              </w:rPr>
            </w:pPr>
            <w:r>
              <w:rPr>
                <w:rFonts w:ascii="Arial" w:cs="Arial" w:eastAsia="Arial" w:hAnsi="Arial"/>
                <w:sz w:val="16"/>
                <w:szCs w:val="16"/>
                <w:b w:val="1"/>
                <w:bCs w:val="1"/>
                <w:color w:val="FFFFFF"/>
              </w:rPr>
              <w: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FFFFFF"/>
                <w:w w:val="91"/>
              </w:rPr>
              <w:t>($)</w:t>
            </w:r>
            <w:r>
              <w:rPr>
                <w:rFonts w:ascii="Arial" w:cs="Arial" w:eastAsia="Arial" w:hAnsi="Arial"/>
                <w:sz w:val="19"/>
                <w:szCs w:val="19"/>
                <w:b w:val="1"/>
                <w:bCs w:val="1"/>
                <w:color w:val="FFFFFF"/>
                <w:w w:val="91"/>
                <w:vertAlign w:val="superscript"/>
              </w:rPr>
              <w:t>(5)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5"/>
        </w:trPr>
        <w:tc>
          <w:tcPr>
            <w:tcW w:w="20" w:type="dxa"/>
            <w:vAlign w:val="bottom"/>
            <w:shd w:val="clear" w:color="auto" w:fill="3C5896"/>
          </w:tcPr>
          <w:p>
            <w:pPr>
              <w:spacing w:after="0"/>
              <w:rPr>
                <w:sz w:val="18"/>
                <w:szCs w:val="18"/>
                <w:color w:val="auto"/>
              </w:rPr>
            </w:pPr>
          </w:p>
        </w:tc>
        <w:tc>
          <w:tcPr>
            <w:tcW w:w="1600" w:type="dxa"/>
            <w:vAlign w:val="bottom"/>
          </w:tcPr>
          <w:p>
            <w:pPr>
              <w:ind w:left="20"/>
              <w:spacing w:after="0" w:line="216" w:lineRule="exact"/>
              <w:rPr>
                <w:sz w:val="20"/>
                <w:szCs w:val="20"/>
                <w:color w:val="auto"/>
              </w:rPr>
            </w:pPr>
            <w:r>
              <w:rPr>
                <w:rFonts w:ascii="Arial" w:cs="Arial" w:eastAsia="Arial" w:hAnsi="Arial"/>
                <w:sz w:val="24"/>
                <w:szCs w:val="24"/>
                <w:i w:val="1"/>
                <w:iCs w:val="1"/>
                <w:color w:val="auto"/>
                <w:vertAlign w:val="superscript"/>
              </w:rPr>
              <w:t>​</w:t>
            </w:r>
            <w:r>
              <w:rPr>
                <w:rFonts w:ascii="Arial" w:cs="Arial" w:eastAsia="Arial" w:hAnsi="Arial"/>
                <w:sz w:val="13"/>
                <w:szCs w:val="13"/>
                <w:color w:val="auto"/>
              </w:rPr>
              <w:t>L. Reade Fahs</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4"/>
          </w:tcPr>
          <w:p>
            <w:pPr>
              <w:jc w:val="right"/>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4"/>
          </w:tcPr>
          <w:p>
            <w:pPr>
              <w:jc w:val="right"/>
              <w:spacing w:after="0"/>
              <w:rPr>
                <w:sz w:val="20"/>
                <w:szCs w:val="20"/>
                <w:color w:val="auto"/>
              </w:rPr>
            </w:pPr>
            <w:r>
              <w:rPr>
                <w:rFonts w:ascii="Arial" w:cs="Arial" w:eastAsia="Arial" w:hAnsi="Arial"/>
                <w:sz w:val="16"/>
                <w:szCs w:val="16"/>
                <w:i w:val="1"/>
                <w:iCs w:val="1"/>
                <w:color w:val="auto"/>
              </w:rPr>
              <w:t>​​​​</w:t>
            </w:r>
          </w:p>
        </w:tc>
        <w:tc>
          <w:tcPr>
            <w:tcW w:w="24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420" w:type="dxa"/>
            <w:vAlign w:val="bottom"/>
          </w:tcPr>
          <w:p>
            <w:pPr>
              <w:spacing w:after="0"/>
              <w:rPr>
                <w:sz w:val="18"/>
                <w:szCs w:val="18"/>
                <w:color w:val="auto"/>
              </w:rPr>
            </w:pPr>
          </w:p>
        </w:tc>
        <w:tc>
          <w:tcPr>
            <w:tcW w:w="260" w:type="dxa"/>
            <w:vAlign w:val="bottom"/>
          </w:tcPr>
          <w:p>
            <w:pPr>
              <w:jc w:val="right"/>
              <w:ind w:right="119"/>
              <w:spacing w:after="0"/>
              <w:rPr>
                <w:sz w:val="20"/>
                <w:szCs w:val="20"/>
                <w:color w:val="auto"/>
              </w:rPr>
            </w:pPr>
            <w:r>
              <w:rPr>
                <w:rFonts w:ascii="Arial" w:cs="Arial" w:eastAsia="Arial" w:hAnsi="Arial"/>
                <w:sz w:val="16"/>
                <w:szCs w:val="16"/>
                <w:i w:val="1"/>
                <w:iCs w:val="1"/>
                <w:color w:val="auto"/>
              </w:rPr>
              <w:t>​</w:t>
            </w:r>
          </w:p>
        </w:tc>
        <w:tc>
          <w:tcPr>
            <w:tcW w:w="160" w:type="dxa"/>
            <w:vAlign w:val="bottom"/>
            <w:gridSpan w:val="5"/>
          </w:tcPr>
          <w:p>
            <w:pPr>
              <w:ind w:left="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6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00" w:type="dxa"/>
            <w:vAlign w:val="bottom"/>
            <w:gridSpan w:val="4"/>
          </w:tcPr>
          <w:p>
            <w:pPr>
              <w:ind w:left="20"/>
              <w:spacing w:after="0"/>
              <w:rPr>
                <w:sz w:val="20"/>
                <w:szCs w:val="20"/>
                <w:color w:val="auto"/>
              </w:rPr>
            </w:pPr>
            <w:r>
              <w:rPr>
                <w:rFonts w:ascii="Arial" w:cs="Arial" w:eastAsia="Arial" w:hAnsi="Arial"/>
                <w:sz w:val="16"/>
                <w:szCs w:val="16"/>
                <w:i w:val="1"/>
                <w:iCs w:val="1"/>
                <w:color w:val="auto"/>
              </w:rPr>
              <w:t>​​​ ​</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42"/>
        </w:trPr>
        <w:tc>
          <w:tcPr>
            <w:tcW w:w="20" w:type="dxa"/>
            <w:vAlign w:val="bottom"/>
            <w:shd w:val="clear" w:color="auto" w:fill="3C5896"/>
          </w:tcPr>
          <w:p>
            <w:pPr>
              <w:spacing w:after="0"/>
              <w:rPr>
                <w:sz w:val="21"/>
                <w:szCs w:val="21"/>
                <w:color w:val="auto"/>
              </w:rPr>
            </w:pPr>
          </w:p>
        </w:tc>
        <w:tc>
          <w:tcPr>
            <w:tcW w:w="39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Qualifying Termination of Employment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9"/>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3,901,543 ​​​</w:t>
            </w:r>
          </w:p>
        </w:tc>
        <w:tc>
          <w:tcPr>
            <w:tcW w:w="24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ind w:left="20"/>
              <w:spacing w:after="0"/>
              <w:rPr>
                <w:sz w:val="20"/>
                <w:szCs w:val="20"/>
                <w:color w:val="auto"/>
              </w:rPr>
            </w:pPr>
            <w:r>
              <w:rPr>
                <w:rFonts w:ascii="Arial" w:cs="Arial" w:eastAsia="Arial" w:hAnsi="Arial"/>
                <w:sz w:val="16"/>
                <w:szCs w:val="16"/>
                <w:color w:val="auto"/>
              </w:rPr>
              <w:t>2,351</w:t>
            </w:r>
          </w:p>
        </w:tc>
        <w:tc>
          <w:tcPr>
            <w:tcW w:w="860" w:type="dxa"/>
            <w:vAlign w:val="bottom"/>
            <w:gridSpan w:val="9"/>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434,711 ​​​</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4"/>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416,650</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0" w:type="dxa"/>
            <w:vAlign w:val="bottom"/>
            <w:shd w:val="clear" w:color="auto" w:fill="3C5896"/>
          </w:tcPr>
          <w:p>
            <w:pPr>
              <w:spacing w:after="0"/>
              <w:rPr>
                <w:sz w:val="4"/>
                <w:szCs w:val="4"/>
                <w:color w:val="auto"/>
              </w:rPr>
            </w:pPr>
          </w:p>
        </w:tc>
        <w:tc>
          <w:tcPr>
            <w:tcW w:w="39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gridSpan w:val="9"/>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4,896,928 ​​​</w:t>
            </w:r>
          </w:p>
        </w:tc>
        <w:tc>
          <w:tcPr>
            <w:tcW w:w="2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vMerge w:val="restart"/>
          </w:tcPr>
          <w:p>
            <w:pPr>
              <w:ind w:left="20"/>
              <w:spacing w:after="0"/>
              <w:rPr>
                <w:sz w:val="20"/>
                <w:szCs w:val="20"/>
                <w:color w:val="auto"/>
              </w:rPr>
            </w:pPr>
            <w:r>
              <w:rPr>
                <w:rFonts w:ascii="Arial" w:cs="Arial" w:eastAsia="Arial" w:hAnsi="Arial"/>
                <w:sz w:val="16"/>
                <w:szCs w:val="16"/>
                <w:color w:val="auto"/>
              </w:rPr>
              <w:t>2,939</w:t>
            </w:r>
          </w:p>
        </w:tc>
        <w:tc>
          <w:tcPr>
            <w:tcW w:w="860" w:type="dxa"/>
            <w:vAlign w:val="bottom"/>
            <w:gridSpan w:val="9"/>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698,327 ​​​</w:t>
            </w:r>
          </w:p>
        </w:tc>
        <w:tc>
          <w:tcPr>
            <w:tcW w:w="80" w:type="dxa"/>
            <w:vAlign w:val="bottom"/>
          </w:tcPr>
          <w:p>
            <w:pPr>
              <w:spacing w:after="0"/>
              <w:rPr>
                <w:sz w:val="4"/>
                <w:szCs w:val="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2,804,542</w:t>
            </w:r>
          </w:p>
        </w:tc>
        <w:tc>
          <w:tcPr>
            <w:tcW w:w="1020" w:type="dxa"/>
            <w:vAlign w:val="bottom"/>
            <w:gridSpan w:val="6"/>
            <w:vMerge w:val="restart"/>
          </w:tcPr>
          <w:p>
            <w:pPr>
              <w:ind w:left="20"/>
              <w:spacing w:after="0"/>
              <w:rPr>
                <w:sz w:val="20"/>
                <w:szCs w:val="20"/>
                <w:color w:val="auto"/>
              </w:rPr>
            </w:pPr>
            <w:r>
              <w:rPr>
                <w:rFonts w:ascii="Arial" w:cs="Arial" w:eastAsia="Arial" w:hAnsi="Arial"/>
                <w:sz w:val="16"/>
                <w:szCs w:val="16"/>
                <w:color w:val="auto"/>
              </w:rPr>
              <w:t>​​​ ​1,239,438</w:t>
            </w:r>
          </w:p>
        </w:tc>
        <w:tc>
          <w:tcPr>
            <w:tcW w:w="100" w:type="dxa"/>
            <w:vAlign w:val="bottom"/>
            <w:tcBorders>
              <w:right w:val="single" w:sz="8" w:color="3C5896"/>
            </w:tcBorders>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3C5896"/>
          </w:tcPr>
          <w:p>
            <w:pPr>
              <w:spacing w:after="0"/>
              <w:rPr>
                <w:sz w:val="16"/>
                <w:szCs w:val="16"/>
                <w:color w:val="auto"/>
              </w:rPr>
            </w:pPr>
          </w:p>
        </w:tc>
        <w:tc>
          <w:tcPr>
            <w:tcW w:w="3960" w:type="dxa"/>
            <w:vAlign w:val="bottom"/>
            <w:gridSpan w:val="2"/>
          </w:tcPr>
          <w:p>
            <w:pPr>
              <w:ind w:left="40"/>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9"/>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60" w:type="dxa"/>
            <w:vAlign w:val="bottom"/>
            <w:gridSpan w:val="9"/>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20" w:type="dxa"/>
            <w:vAlign w:val="bottom"/>
            <w:gridSpan w:val="6"/>
            <w:vMerge w:val="continue"/>
          </w:tcPr>
          <w:p>
            <w:pPr>
              <w:spacing w:after="0"/>
              <w:rPr>
                <w:sz w:val="16"/>
                <w:szCs w:val="16"/>
                <w:color w:val="auto"/>
              </w:rPr>
            </w:pPr>
          </w:p>
        </w:tc>
        <w:tc>
          <w:tcPr>
            <w:tcW w:w="100" w:type="dxa"/>
            <w:vAlign w:val="bottom"/>
            <w:tcBorders>
              <w:right w:val="single" w:sz="8" w:color="3C5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3C5896"/>
          </w:tcPr>
          <w:p>
            <w:pPr>
              <w:spacing w:after="0"/>
              <w:rPr>
                <w:sz w:val="21"/>
                <w:szCs w:val="21"/>
                <w:color w:val="auto"/>
              </w:rPr>
            </w:pPr>
          </w:p>
        </w:tc>
        <w:tc>
          <w:tcPr>
            <w:tcW w:w="3960" w:type="dxa"/>
            <w:vAlign w:val="bottom"/>
            <w:gridSpan w:val="2"/>
          </w:tcPr>
          <w:p>
            <w:pPr>
              <w:ind w:left="40"/>
              <w:spacing w:after="0"/>
              <w:rPr>
                <w:sz w:val="20"/>
                <w:szCs w:val="20"/>
                <w:color w:val="auto"/>
              </w:rPr>
            </w:pPr>
            <w:r>
              <w:rPr>
                <w:rFonts w:ascii="Arial" w:cs="Arial" w:eastAsia="Arial" w:hAnsi="Arial"/>
                <w:sz w:val="16"/>
                <w:szCs w:val="16"/>
                <w:i w:val="1"/>
                <w:iCs w:val="1"/>
                <w:color w:val="auto"/>
              </w:rPr>
              <w:t>Termination Upon Death or Disability</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500" w:type="dxa"/>
            <w:vAlign w:val="bottom"/>
          </w:tcPr>
          <w:p>
            <w:pPr>
              <w:spacing w:after="0"/>
              <w:rPr>
                <w:sz w:val="21"/>
                <w:szCs w:val="21"/>
                <w:color w:val="auto"/>
              </w:rPr>
            </w:pPr>
          </w:p>
        </w:tc>
        <w:tc>
          <w:tcPr>
            <w:tcW w:w="420" w:type="dxa"/>
            <w:vAlign w:val="bottom"/>
            <w:gridSpan w:val="5"/>
          </w:tcPr>
          <w:p>
            <w:pPr>
              <w:jc w:val="right"/>
              <w:spacing w:after="0"/>
              <w:rPr>
                <w:sz w:val="20"/>
                <w:szCs w:val="20"/>
                <w:color w:val="auto"/>
              </w:rPr>
            </w:pPr>
            <w:r>
              <w:rPr>
                <w:rFonts w:ascii="Arial" w:cs="Arial" w:eastAsia="Arial" w:hAnsi="Arial"/>
                <w:sz w:val="16"/>
                <w:szCs w:val="16"/>
                <w:color w:val="auto"/>
              </w:rPr>
              <w:t>— ​​​</w:t>
            </w:r>
          </w:p>
        </w:tc>
        <w:tc>
          <w:tcPr>
            <w:tcW w:w="24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60" w:type="dxa"/>
            <w:vAlign w:val="bottom"/>
            <w:gridSpan w:val="9"/>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698,327 ​​​</w:t>
            </w:r>
          </w:p>
        </w:tc>
        <w:tc>
          <w:tcPr>
            <w:tcW w:w="8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4,529,968</w:t>
            </w:r>
          </w:p>
        </w:tc>
        <w:tc>
          <w:tcPr>
            <w:tcW w:w="1020" w:type="dxa"/>
            <w:vAlign w:val="bottom"/>
            <w:gridSpan w:val="6"/>
          </w:tcPr>
          <w:p>
            <w:pPr>
              <w:ind w:left="20"/>
              <w:spacing w:after="0"/>
              <w:rPr>
                <w:sz w:val="20"/>
                <w:szCs w:val="20"/>
                <w:color w:val="auto"/>
              </w:rPr>
            </w:pPr>
            <w:r>
              <w:rPr>
                <w:rFonts w:ascii="Arial" w:cs="Arial" w:eastAsia="Arial" w:hAnsi="Arial"/>
                <w:sz w:val="16"/>
                <w:szCs w:val="16"/>
                <w:color w:val="auto"/>
              </w:rPr>
              <w:t>​​​ ​1,239,438</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20" w:type="dxa"/>
            <w:vAlign w:val="bottom"/>
            <w:shd w:val="clear" w:color="auto" w:fill="3C5896"/>
          </w:tcPr>
          <w:p>
            <w:pPr>
              <w:spacing w:after="0"/>
              <w:rPr>
                <w:sz w:val="2"/>
                <w:szCs w:val="2"/>
                <w:color w:val="auto"/>
              </w:rPr>
            </w:pPr>
          </w:p>
        </w:tc>
        <w:tc>
          <w:tcPr>
            <w:tcW w:w="1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gridSpan w:val="4"/>
            <w:vMerge w:val="restart"/>
          </w:tcPr>
          <w:p>
            <w:pPr>
              <w:jc w:val="right"/>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16"/>
                <w:szCs w:val="16"/>
                <w:i w:val="1"/>
                <w:iCs w:val="1"/>
                <w:color w:val="auto"/>
              </w:rPr>
              <w:t>​​​​</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gridSpan w:val="5"/>
            <w:vMerge w:val="restart"/>
          </w:tcPr>
          <w:p>
            <w:pPr>
              <w:ind w:left="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60" w:type="dxa"/>
            <w:vAlign w:val="bottom"/>
          </w:tcPr>
          <w:p>
            <w:pPr>
              <w:spacing w:after="0"/>
              <w:rPr>
                <w:sz w:val="2"/>
                <w:szCs w:val="2"/>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4"/>
            <w:vMerge w:val="restart"/>
          </w:tcPr>
          <w:p>
            <w:pPr>
              <w:ind w:left="20"/>
              <w:spacing w:after="0"/>
              <w:rPr>
                <w:sz w:val="20"/>
                <w:szCs w:val="20"/>
                <w:color w:val="auto"/>
              </w:rPr>
            </w:pPr>
            <w:r>
              <w:rPr>
                <w:rFonts w:ascii="Arial" w:cs="Arial" w:eastAsia="Arial" w:hAnsi="Arial"/>
                <w:sz w:val="16"/>
                <w:szCs w:val="16"/>
                <w:i w:val="1"/>
                <w:iCs w:val="1"/>
                <w:color w:val="auto"/>
              </w:rPr>
              <w:t>​​​ ​</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3C5896"/>
          </w:tcPr>
          <w:p>
            <w:pPr>
              <w:spacing w:after="0"/>
              <w:rPr>
                <w:sz w:val="18"/>
                <w:szCs w:val="18"/>
                <w:color w:val="auto"/>
              </w:rPr>
            </w:pPr>
          </w:p>
        </w:tc>
        <w:tc>
          <w:tcPr>
            <w:tcW w:w="1600" w:type="dxa"/>
            <w:vAlign w:val="bottom"/>
            <w:tcBorders>
              <w:left w:val="single" w:sz="8" w:color="CCCCCC"/>
            </w:tcBorders>
            <w:shd w:val="clear" w:color="auto" w:fill="CCCCCC"/>
          </w:tcPr>
          <w:p>
            <w:pPr>
              <w:ind w:left="20"/>
              <w:spacing w:after="0" w:line="216" w:lineRule="exact"/>
              <w:rPr>
                <w:sz w:val="20"/>
                <w:szCs w:val="20"/>
                <w:color w:val="auto"/>
              </w:rPr>
            </w:pPr>
            <w:r>
              <w:rPr>
                <w:rFonts w:ascii="Arial" w:cs="Arial" w:eastAsia="Arial" w:hAnsi="Arial"/>
                <w:sz w:val="24"/>
                <w:szCs w:val="24"/>
                <w:i w:val="1"/>
                <w:iCs w:val="1"/>
                <w:color w:val="auto"/>
                <w:vertAlign w:val="superscript"/>
              </w:rPr>
              <w:t>​</w:t>
            </w:r>
            <w:r>
              <w:rPr>
                <w:rFonts w:ascii="Arial" w:cs="Arial" w:eastAsia="Arial" w:hAnsi="Arial"/>
                <w:sz w:val="13"/>
                <w:szCs w:val="13"/>
                <w:color w:val="auto"/>
              </w:rPr>
              <w:t>Patrick R. Moore</w:t>
            </w:r>
          </w:p>
        </w:tc>
        <w:tc>
          <w:tcPr>
            <w:tcW w:w="236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160" w:type="dxa"/>
            <w:vAlign w:val="bottom"/>
            <w:gridSpan w:val="4"/>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4"/>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420" w:type="dxa"/>
            <w:vAlign w:val="bottom"/>
          </w:tcPr>
          <w:p>
            <w:pPr>
              <w:spacing w:after="0"/>
              <w:rPr>
                <w:sz w:val="18"/>
                <w:szCs w:val="18"/>
                <w:color w:val="auto"/>
              </w:rPr>
            </w:pPr>
          </w:p>
        </w:tc>
        <w:tc>
          <w:tcPr>
            <w:tcW w:w="260" w:type="dxa"/>
            <w:vAlign w:val="bottom"/>
          </w:tcPr>
          <w:p>
            <w:pPr>
              <w:jc w:val="right"/>
              <w:ind w:right="119"/>
              <w:spacing w:after="0"/>
              <w:rPr>
                <w:sz w:val="20"/>
                <w:szCs w:val="20"/>
                <w:color w:val="auto"/>
              </w:rPr>
            </w:pPr>
            <w:r>
              <w:rPr>
                <w:rFonts w:ascii="Arial" w:cs="Arial" w:eastAsia="Arial" w:hAnsi="Arial"/>
                <w:sz w:val="16"/>
                <w:szCs w:val="16"/>
                <w:i w:val="1"/>
                <w:iCs w:val="1"/>
                <w:color w:val="auto"/>
              </w:rPr>
              <w:t>​</w:t>
            </w:r>
          </w:p>
        </w:tc>
        <w:tc>
          <w:tcPr>
            <w:tcW w:w="160" w:type="dxa"/>
            <w:vAlign w:val="bottom"/>
            <w:gridSpan w:val="5"/>
            <w:vMerge w:val="continue"/>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00" w:type="dxa"/>
            <w:vAlign w:val="bottom"/>
            <w:gridSpan w:val="4"/>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42"/>
        </w:trPr>
        <w:tc>
          <w:tcPr>
            <w:tcW w:w="20" w:type="dxa"/>
            <w:vAlign w:val="bottom"/>
            <w:shd w:val="clear" w:color="auto" w:fill="3C5896"/>
          </w:tcPr>
          <w:p>
            <w:pPr>
              <w:spacing w:after="0"/>
              <w:rPr>
                <w:sz w:val="21"/>
                <w:szCs w:val="21"/>
                <w:color w:val="auto"/>
              </w:rPr>
            </w:pPr>
          </w:p>
        </w:tc>
        <w:tc>
          <w:tcPr>
            <w:tcW w:w="3960" w:type="dxa"/>
            <w:vAlign w:val="bottom"/>
            <w:tcBorders>
              <w:left w:val="single" w:sz="8" w:color="CCCCCC"/>
            </w:tcBorders>
            <w:gridSpan w:val="2"/>
            <w:vMerge w:val="restart"/>
            <w:shd w:val="clear" w:color="auto" w:fill="CCCCCC"/>
          </w:tcPr>
          <w:p>
            <w:pPr>
              <w:ind w:left="40"/>
              <w:spacing w:after="0"/>
              <w:rPr>
                <w:sz w:val="20"/>
                <w:szCs w:val="20"/>
                <w:color w:val="auto"/>
              </w:rPr>
            </w:pPr>
            <w:r>
              <w:rPr>
                <w:rFonts w:ascii="Arial" w:cs="Arial" w:eastAsia="Arial" w:hAnsi="Arial"/>
                <w:sz w:val="16"/>
                <w:szCs w:val="16"/>
                <w:i w:val="1"/>
                <w:iCs w:val="1"/>
                <w:color w:val="auto"/>
              </w:rPr>
              <w:t>Qualifying Termination of Employment</w:t>
            </w:r>
          </w:p>
        </w:tc>
        <w:tc>
          <w:tcPr>
            <w:tcW w:w="280" w:type="dxa"/>
            <w:vAlign w:val="bottom"/>
            <w:shd w:val="clear" w:color="auto" w:fill="CCCCCC"/>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7"/>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highlight w:val="lightGray"/>
              </w:rPr>
              <w:t>1,263,916 ​</w:t>
            </w:r>
            <w:r>
              <w:rPr>
                <w:rFonts w:ascii="Arial" w:cs="Arial" w:eastAsia="Arial" w:hAnsi="Arial"/>
                <w:sz w:val="16"/>
                <w:szCs w:val="16"/>
                <w:color w:val="auto"/>
              </w:rPr>
              <w:t>​</w:t>
            </w:r>
            <w:r>
              <w:rPr>
                <w:rFonts w:ascii="Arial" w:cs="Arial" w:eastAsia="Arial" w:hAnsi="Arial"/>
                <w:sz w:val="16"/>
                <w:szCs w:val="16"/>
                <w:color w:val="auto"/>
                <w:highlight w:val="lightGray"/>
              </w:rPr>
              <w:t>​</w:t>
            </w:r>
          </w:p>
        </w:tc>
        <w:tc>
          <w:tcPr>
            <w:tcW w:w="1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auto"/>
                <w:highlight w:val="lightGray"/>
              </w:rPr>
              <w:t>​</w:t>
            </w:r>
          </w:p>
        </w:tc>
        <w:tc>
          <w:tcPr>
            <w:tcW w:w="680" w:type="dxa"/>
            <w:vAlign w:val="bottom"/>
            <w:gridSpan w:val="2"/>
          </w:tcPr>
          <w:p>
            <w:pPr>
              <w:ind w:left="260"/>
              <w:spacing w:after="0"/>
              <w:rPr>
                <w:sz w:val="20"/>
                <w:szCs w:val="20"/>
                <w:color w:val="auto"/>
              </w:rPr>
            </w:pPr>
            <w:r>
              <w:rPr>
                <w:rFonts w:ascii="Arial" w:cs="Arial" w:eastAsia="Arial" w:hAnsi="Arial"/>
                <w:sz w:val="16"/>
                <w:szCs w:val="16"/>
                <w:color w:val="auto"/>
                <w:highlight w:val="lightGray"/>
              </w:rPr>
              <w:t>—</w:t>
            </w:r>
          </w:p>
        </w:tc>
        <w:tc>
          <w:tcPr>
            <w:tcW w:w="860" w:type="dxa"/>
            <w:vAlign w:val="bottom"/>
            <w:gridSpan w:val="9"/>
          </w:tcPr>
          <w:p>
            <w:pPr>
              <w:jc w:val="right"/>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r>
              <w:rPr>
                <w:rFonts w:ascii="Arial" w:cs="Arial" w:eastAsia="Arial" w:hAnsi="Arial"/>
                <w:sz w:val="16"/>
                <w:szCs w:val="16"/>
                <w:b w:val="1"/>
                <w:bCs w:val="1"/>
                <w:color w:val="auto"/>
                <w:highlight w:val="lightGray"/>
              </w:rPr>
              <w:t>​</w:t>
            </w:r>
            <w:r>
              <w:rPr>
                <w:rFonts w:ascii="Arial" w:cs="Arial" w:eastAsia="Arial" w:hAnsi="Arial"/>
                <w:sz w:val="16"/>
                <w:szCs w:val="16"/>
                <w:color w:val="auto"/>
                <w:highlight w:val="lightGray"/>
              </w:rPr>
              <w:t>142,887 ​</w:t>
            </w: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highlight w:val="lightGray"/>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highlight w:val="lightGray"/>
              </w:rPr>
              <w:t>163,171</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color w:val="auto"/>
                <w:highlight w:val="lightGray"/>
              </w:rPr>
              <w:t>​​</w:t>
            </w:r>
          </w:p>
        </w:tc>
        <w:tc>
          <w:tcPr>
            <w:tcW w:w="0" w:type="dxa"/>
            <w:vAlign w:val="bottom"/>
          </w:tcPr>
          <w:p>
            <w:pPr>
              <w:spacing w:after="0"/>
              <w:rPr>
                <w:sz w:val="1"/>
                <w:szCs w:val="1"/>
                <w:color w:val="auto"/>
              </w:rPr>
            </w:pPr>
          </w:p>
        </w:tc>
      </w:tr>
      <w:tr>
        <w:trPr>
          <w:trHeight w:val="29"/>
        </w:trPr>
        <w:tc>
          <w:tcPr>
            <w:tcW w:w="20" w:type="dxa"/>
            <w:vAlign w:val="bottom"/>
            <w:shd w:val="clear" w:color="auto" w:fill="3C5896"/>
          </w:tcPr>
          <w:p>
            <w:pPr>
              <w:spacing w:after="0"/>
              <w:rPr>
                <w:sz w:val="2"/>
                <w:szCs w:val="2"/>
                <w:color w:val="auto"/>
              </w:rPr>
            </w:pPr>
          </w:p>
        </w:tc>
        <w:tc>
          <w:tcPr>
            <w:tcW w:w="3960" w:type="dxa"/>
            <w:vAlign w:val="bottom"/>
            <w:tcBorders>
              <w:left w:val="single" w:sz="8" w:color="CCCCCC"/>
            </w:tcBorders>
            <w:gridSpan w:val="2"/>
            <w:vMerge w:val="continue"/>
            <w:shd w:val="clear" w:color="auto" w:fill="CCCCCC"/>
          </w:tcPr>
          <w:p>
            <w:pPr>
              <w:spacing w:after="0"/>
              <w:rPr>
                <w:sz w:val="2"/>
                <w:szCs w:val="2"/>
                <w:color w:val="auto"/>
              </w:rPr>
            </w:pPr>
          </w:p>
        </w:tc>
        <w:tc>
          <w:tcPr>
            <w:tcW w:w="280" w:type="dxa"/>
            <w:vAlign w:val="bottom"/>
            <w:shd w:val="clear" w:color="auto" w:fill="CCCCCC"/>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3C5896"/>
            </w:tcBorders>
            <w:shd w:val="clear" w:color="auto" w:fill="3C5896"/>
          </w:tcPr>
          <w:p>
            <w:pPr>
              <w:spacing w:after="0"/>
              <w:rPr>
                <w:sz w:val="19"/>
                <w:szCs w:val="19"/>
                <w:color w:val="auto"/>
              </w:rPr>
            </w:pPr>
          </w:p>
        </w:tc>
        <w:tc>
          <w:tcPr>
            <w:tcW w:w="3960" w:type="dxa"/>
            <w:vAlign w:val="bottom"/>
            <w:tcBorders>
              <w:left w:val="single" w:sz="8" w:color="CCCCCC"/>
              <w:bottom w:val="single" w:sz="8" w:color="CCCCCC"/>
            </w:tcBorders>
            <w:gridSpan w:val="2"/>
            <w:shd w:val="clear" w:color="auto" w:fill="CCCCCC"/>
          </w:tcPr>
          <w:p>
            <w:pPr>
              <w:ind w:left="40"/>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280" w:type="dxa"/>
            <w:vAlign w:val="bottom"/>
            <w:tcBorders>
              <w:bottom w:val="single" w:sz="8" w:color="CCCCCC"/>
            </w:tcBorders>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CCCC"/>
            </w:tcBorders>
            <w:gridSpan w:val="3"/>
            <w:shd w:val="clear" w:color="auto" w:fill="CCCCCC"/>
          </w:tcPr>
          <w:p>
            <w:pPr>
              <w:jc w:val="right"/>
              <w:spacing w:after="0"/>
              <w:rPr>
                <w:sz w:val="20"/>
                <w:szCs w:val="20"/>
                <w:color w:val="auto"/>
              </w:rPr>
            </w:pPr>
            <w:r>
              <w:rPr>
                <w:rFonts w:ascii="Arial" w:cs="Arial" w:eastAsia="Arial" w:hAnsi="Arial"/>
                <w:sz w:val="16"/>
                <w:szCs w:val="16"/>
                <w:b w:val="1"/>
                <w:bCs w:val="1"/>
                <w:color w:val="auto"/>
                <w:highlight w:val="lightGray"/>
              </w:rPr>
              <w:t>​</w:t>
            </w:r>
            <w:r>
              <w:rPr>
                <w:rFonts w:ascii="Arial" w:cs="Arial" w:eastAsia="Arial" w:hAnsi="Arial"/>
                <w:sz w:val="16"/>
                <w:szCs w:val="16"/>
                <w:color w:val="auto"/>
                <w:highlight w:val="lightGray"/>
              </w:rPr>
              <w:t>1,705,221</w:t>
            </w:r>
          </w:p>
        </w:tc>
        <w:tc>
          <w:tcPr>
            <w:tcW w:w="220" w:type="dxa"/>
            <w:vAlign w:val="bottom"/>
            <w:gridSpan w:val="4"/>
          </w:tcPr>
          <w:p>
            <w:pPr>
              <w:jc w:val="right"/>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b w:val="1"/>
                <w:bCs w:val="1"/>
                <w:color w:val="auto"/>
                <w:highlight w:val="lightGray"/>
              </w:rPr>
              <w:t>​</w:t>
            </w:r>
          </w:p>
        </w:tc>
        <w:tc>
          <w:tcPr>
            <w:tcW w:w="42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6"/>
                <w:szCs w:val="16"/>
                <w:color w:val="auto"/>
                <w:highlight w:val="lightGray"/>
                <w:w w:val="87"/>
              </w:rPr>
              <w:t>—</w:t>
            </w:r>
          </w:p>
        </w:tc>
        <w:tc>
          <w:tcPr>
            <w:tcW w:w="260" w:type="dxa"/>
            <w:vAlign w:val="bottom"/>
            <w:tcBorders>
              <w:bottom w:val="single" w:sz="8" w:color="CCCCCC"/>
            </w:tcBorders>
            <w:shd w:val="clear" w:color="auto" w:fill="CCCCCC"/>
          </w:tcPr>
          <w:p>
            <w:pPr>
              <w:spacing w:after="0"/>
              <w:rPr>
                <w:sz w:val="19"/>
                <w:szCs w:val="19"/>
                <w:color w:val="auto"/>
              </w:rPr>
            </w:pPr>
          </w:p>
        </w:tc>
        <w:tc>
          <w:tcPr>
            <w:tcW w:w="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
                <w:szCs w:val="1"/>
                <w:color w:val="auto"/>
                <w:highlight w:val="lightGray"/>
                <w:w w:val="4294942296"/>
              </w:rPr>
              <w:t>​</w:t>
            </w:r>
          </w:p>
        </w:tc>
        <w:tc>
          <w:tcPr>
            <w:tcW w:w="60" w:type="dxa"/>
            <w:vAlign w:val="bottom"/>
            <w:gridSpan w:val="3"/>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CCCC"/>
            </w:tcBorders>
            <w:gridSpan w:val="2"/>
            <w:shd w:val="clear" w:color="auto" w:fill="CCCCCC"/>
          </w:tcPr>
          <w:p>
            <w:pPr>
              <w:jc w:val="center"/>
              <w:spacing w:after="0"/>
              <w:rPr>
                <w:sz w:val="20"/>
                <w:szCs w:val="20"/>
                <w:color w:val="auto"/>
              </w:rPr>
            </w:pPr>
            <w:r>
              <w:rPr>
                <w:rFonts w:ascii="Arial" w:cs="Arial" w:eastAsia="Arial" w:hAnsi="Arial"/>
                <w:sz w:val="16"/>
                <w:szCs w:val="16"/>
                <w:b w:val="1"/>
                <w:bCs w:val="1"/>
                <w:color w:val="auto"/>
                <w:highlight w:val="lightGray"/>
              </w:rPr>
              <w:t>​</w:t>
            </w:r>
            <w:r>
              <w:rPr>
                <w:rFonts w:ascii="Arial" w:cs="Arial" w:eastAsia="Arial" w:hAnsi="Arial"/>
                <w:sz w:val="16"/>
                <w:szCs w:val="16"/>
                <w:color w:val="auto"/>
                <w:highlight w:val="lightGray"/>
              </w:rPr>
              <w:t>250,367</w:t>
            </w:r>
          </w:p>
        </w:tc>
        <w:tc>
          <w:tcPr>
            <w:tcW w:w="140" w:type="dxa"/>
            <w:vAlign w:val="bottom"/>
            <w:gridSpan w:val="3"/>
          </w:tcPr>
          <w:p>
            <w:pPr>
              <w:jc w:val="right"/>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6"/>
                <w:szCs w:val="16"/>
                <w:b w:val="1"/>
                <w:bCs w:val="1"/>
                <w:color w:val="auto"/>
                <w:highlight w:val="lightGray"/>
              </w:rPr>
              <w:t>​</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912,506</w:t>
            </w:r>
          </w:p>
        </w:tc>
        <w:tc>
          <w:tcPr>
            <w:tcW w:w="120" w:type="dxa"/>
            <w:vAlign w:val="bottom"/>
          </w:tcPr>
          <w:p>
            <w:pPr>
              <w:spacing w:after="0"/>
              <w:rPr>
                <w:sz w:val="19"/>
                <w:szCs w:val="19"/>
                <w:color w:val="auto"/>
              </w:rPr>
            </w:pPr>
          </w:p>
        </w:tc>
        <w:tc>
          <w:tcPr>
            <w:tcW w:w="200" w:type="dxa"/>
            <w:vAlign w:val="bottom"/>
            <w:gridSpan w:val="3"/>
          </w:tcPr>
          <w:p>
            <w:pPr>
              <w:ind w:left="20"/>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p>
        </w:tc>
        <w:tc>
          <w:tcPr>
            <w:tcW w:w="1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color w:val="auto"/>
                <w:highlight w:val="lightGray"/>
              </w:rPr>
              <w:t>​</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677,091</w:t>
            </w:r>
          </w:p>
        </w:tc>
        <w:tc>
          <w:tcPr>
            <w:tcW w:w="80" w:type="dxa"/>
            <w:vAlign w:val="bottom"/>
            <w:tcBorders>
              <w:bottom w:val="single" w:sz="8" w:color="CCCCCC"/>
            </w:tcBorders>
            <w:shd w:val="clear" w:color="auto" w:fill="CCCCCC"/>
          </w:tcPr>
          <w:p>
            <w:pPr>
              <w:spacing w:after="0"/>
              <w:rPr>
                <w:sz w:val="19"/>
                <w:szCs w:val="19"/>
                <w:color w:val="auto"/>
              </w:rPr>
            </w:pPr>
          </w:p>
        </w:tc>
        <w:tc>
          <w:tcPr>
            <w:tcW w:w="100" w:type="dxa"/>
            <w:vAlign w:val="bottom"/>
            <w:tcBorders>
              <w:bottom w:val="single" w:sz="8" w:color="CCCCCC"/>
              <w:right w:val="single" w:sz="8" w:color="3C5896"/>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3C5896"/>
            </w:tcBorders>
            <w:shd w:val="clear" w:color="auto" w:fill="3C5896"/>
          </w:tcPr>
          <w:p>
            <w:pPr>
              <w:spacing w:after="0"/>
              <w:rPr>
                <w:sz w:val="19"/>
                <w:szCs w:val="19"/>
                <w:color w:val="auto"/>
              </w:rPr>
            </w:pPr>
          </w:p>
        </w:tc>
        <w:tc>
          <w:tcPr>
            <w:tcW w:w="3960" w:type="dxa"/>
            <w:vAlign w:val="bottom"/>
            <w:tcBorders>
              <w:left w:val="single" w:sz="8" w:color="CCCCCC"/>
              <w:bottom w:val="single" w:sz="8" w:color="CCCCCC"/>
            </w:tcBorders>
            <w:gridSpan w:val="2"/>
            <w:shd w:val="clear" w:color="auto" w:fill="CCCCCC"/>
          </w:tcPr>
          <w:p>
            <w:pPr>
              <w:ind w:left="40"/>
              <w:spacing w:after="0"/>
              <w:rPr>
                <w:sz w:val="20"/>
                <w:szCs w:val="20"/>
                <w:color w:val="auto"/>
              </w:rPr>
            </w:pPr>
            <w:r>
              <w:rPr>
                <w:rFonts w:ascii="Arial" w:cs="Arial" w:eastAsia="Arial" w:hAnsi="Arial"/>
                <w:sz w:val="16"/>
                <w:szCs w:val="16"/>
                <w:i w:val="1"/>
                <w:iCs w:val="1"/>
                <w:color w:val="auto"/>
              </w:rPr>
              <w:t>Termination Upon Death or Disability</w:t>
            </w:r>
          </w:p>
        </w:tc>
        <w:tc>
          <w:tcPr>
            <w:tcW w:w="280" w:type="dxa"/>
            <w:vAlign w:val="bottom"/>
            <w:tcBorders>
              <w:bottom w:val="single" w:sz="8" w:color="CCCCCC"/>
            </w:tcBorders>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CCCC"/>
            </w:tcBorders>
            <w:shd w:val="clear" w:color="auto" w:fill="CCCCCC"/>
          </w:tcPr>
          <w:p>
            <w:pPr>
              <w:spacing w:after="0"/>
              <w:rPr>
                <w:sz w:val="19"/>
                <w:szCs w:val="19"/>
                <w:color w:val="auto"/>
              </w:rPr>
            </w:pPr>
          </w:p>
        </w:tc>
        <w:tc>
          <w:tcPr>
            <w:tcW w:w="2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9"/>
                <w:szCs w:val="19"/>
                <w:color w:val="auto"/>
              </w:rPr>
            </w:pPr>
          </w:p>
        </w:tc>
        <w:tc>
          <w:tcPr>
            <w:tcW w:w="100" w:type="dxa"/>
            <w:vAlign w:val="bottom"/>
            <w:gridSpan w:val="4"/>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CCCC"/>
            </w:tcBorders>
            <w:gridSpan w:val="2"/>
            <w:shd w:val="clear" w:color="auto" w:fill="CCCCCC"/>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250,367</w:t>
            </w: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Borders>
              <w:bottom w:val="single" w:sz="8" w:color="CCCCCC"/>
            </w:tcBorders>
            <w:gridSpan w:val="2"/>
            <w:shd w:val="clear" w:color="auto" w:fill="CCCCCC"/>
          </w:tcPr>
          <w:p>
            <w:pPr>
              <w:ind w:left="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1,466,190</w:t>
            </w:r>
          </w:p>
        </w:tc>
        <w:tc>
          <w:tcPr>
            <w:tcW w:w="120" w:type="dxa"/>
            <w:vAlign w:val="bottom"/>
          </w:tcPr>
          <w:p>
            <w:pPr>
              <w:spacing w:after="0"/>
              <w:rPr>
                <w:sz w:val="19"/>
                <w:szCs w:val="19"/>
                <w:color w:val="auto"/>
              </w:rPr>
            </w:pPr>
          </w:p>
        </w:tc>
        <w:tc>
          <w:tcPr>
            <w:tcW w:w="2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rPr>
              <w:t>677,091</w:t>
            </w:r>
          </w:p>
        </w:tc>
        <w:tc>
          <w:tcPr>
            <w:tcW w:w="80" w:type="dxa"/>
            <w:vAlign w:val="bottom"/>
            <w:tcBorders>
              <w:bottom w:val="single" w:sz="8" w:color="CCCCCC"/>
            </w:tcBorders>
            <w:shd w:val="clear" w:color="auto" w:fill="CCCCCC"/>
          </w:tcPr>
          <w:p>
            <w:pPr>
              <w:spacing w:after="0"/>
              <w:rPr>
                <w:sz w:val="19"/>
                <w:szCs w:val="19"/>
                <w:color w:val="auto"/>
              </w:rPr>
            </w:pPr>
          </w:p>
        </w:tc>
        <w:tc>
          <w:tcPr>
            <w:tcW w:w="100" w:type="dxa"/>
            <w:vAlign w:val="bottom"/>
            <w:tcBorders>
              <w:bottom w:val="single" w:sz="8" w:color="CCCCCC"/>
              <w:right w:val="single" w:sz="8" w:color="3C5896"/>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3C5896"/>
          </w:tcPr>
          <w:p>
            <w:pPr>
              <w:spacing w:after="0"/>
              <w:rPr>
                <w:sz w:val="18"/>
                <w:szCs w:val="18"/>
                <w:color w:val="auto"/>
              </w:rPr>
            </w:pPr>
          </w:p>
        </w:tc>
        <w:tc>
          <w:tcPr>
            <w:tcW w:w="1600" w:type="dxa"/>
            <w:vAlign w:val="bottom"/>
          </w:tcPr>
          <w:p>
            <w:pPr>
              <w:ind w:left="20"/>
              <w:spacing w:after="0" w:line="216" w:lineRule="exact"/>
              <w:rPr>
                <w:sz w:val="20"/>
                <w:szCs w:val="20"/>
                <w:color w:val="auto"/>
              </w:rPr>
            </w:pPr>
            <w:r>
              <w:rPr>
                <w:rFonts w:ascii="Arial" w:cs="Arial" w:eastAsia="Arial" w:hAnsi="Arial"/>
                <w:sz w:val="24"/>
                <w:szCs w:val="24"/>
                <w:i w:val="1"/>
                <w:iCs w:val="1"/>
                <w:color w:val="auto"/>
                <w:vertAlign w:val="superscript"/>
              </w:rPr>
              <w:t>​</w:t>
            </w:r>
            <w:r>
              <w:rPr>
                <w:rFonts w:ascii="Arial" w:cs="Arial" w:eastAsia="Arial" w:hAnsi="Arial"/>
                <w:sz w:val="13"/>
                <w:szCs w:val="13"/>
                <w:color w:val="auto"/>
              </w:rPr>
              <w:t>Roger Francis</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4"/>
          </w:tcPr>
          <w:p>
            <w:pPr>
              <w:jc w:val="right"/>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4"/>
          </w:tcPr>
          <w:p>
            <w:pPr>
              <w:jc w:val="right"/>
              <w:spacing w:after="0"/>
              <w:rPr>
                <w:sz w:val="20"/>
                <w:szCs w:val="20"/>
                <w:color w:val="auto"/>
              </w:rPr>
            </w:pPr>
            <w:r>
              <w:rPr>
                <w:rFonts w:ascii="Arial" w:cs="Arial" w:eastAsia="Arial" w:hAnsi="Arial"/>
                <w:sz w:val="16"/>
                <w:szCs w:val="16"/>
                <w:i w:val="1"/>
                <w:iCs w:val="1"/>
                <w:color w:val="auto"/>
              </w:rPr>
              <w:t>​​​​</w:t>
            </w:r>
          </w:p>
        </w:tc>
        <w:tc>
          <w:tcPr>
            <w:tcW w:w="24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420" w:type="dxa"/>
            <w:vAlign w:val="bottom"/>
          </w:tcPr>
          <w:p>
            <w:pPr>
              <w:spacing w:after="0"/>
              <w:rPr>
                <w:sz w:val="18"/>
                <w:szCs w:val="18"/>
                <w:color w:val="auto"/>
              </w:rPr>
            </w:pPr>
          </w:p>
        </w:tc>
        <w:tc>
          <w:tcPr>
            <w:tcW w:w="260" w:type="dxa"/>
            <w:vAlign w:val="bottom"/>
          </w:tcPr>
          <w:p>
            <w:pPr>
              <w:jc w:val="right"/>
              <w:ind w:right="119"/>
              <w:spacing w:after="0"/>
              <w:rPr>
                <w:sz w:val="20"/>
                <w:szCs w:val="20"/>
                <w:color w:val="auto"/>
              </w:rPr>
            </w:pPr>
            <w:r>
              <w:rPr>
                <w:rFonts w:ascii="Arial" w:cs="Arial" w:eastAsia="Arial" w:hAnsi="Arial"/>
                <w:sz w:val="16"/>
                <w:szCs w:val="16"/>
                <w:i w:val="1"/>
                <w:iCs w:val="1"/>
                <w:color w:val="auto"/>
              </w:rPr>
              <w:t>​</w:t>
            </w:r>
          </w:p>
        </w:tc>
        <w:tc>
          <w:tcPr>
            <w:tcW w:w="160" w:type="dxa"/>
            <w:vAlign w:val="bottom"/>
            <w:gridSpan w:val="5"/>
          </w:tcPr>
          <w:p>
            <w:pPr>
              <w:ind w:left="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6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00" w:type="dxa"/>
            <w:vAlign w:val="bottom"/>
            <w:gridSpan w:val="4"/>
          </w:tcPr>
          <w:p>
            <w:pPr>
              <w:ind w:left="20"/>
              <w:spacing w:after="0"/>
              <w:rPr>
                <w:sz w:val="20"/>
                <w:szCs w:val="20"/>
                <w:color w:val="auto"/>
              </w:rPr>
            </w:pPr>
            <w:r>
              <w:rPr>
                <w:rFonts w:ascii="Arial" w:cs="Arial" w:eastAsia="Arial" w:hAnsi="Arial"/>
                <w:sz w:val="16"/>
                <w:szCs w:val="16"/>
                <w:i w:val="1"/>
                <w:iCs w:val="1"/>
                <w:color w:val="auto"/>
              </w:rPr>
              <w:t>​​​ ​</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42"/>
        </w:trPr>
        <w:tc>
          <w:tcPr>
            <w:tcW w:w="20" w:type="dxa"/>
            <w:vAlign w:val="bottom"/>
            <w:shd w:val="clear" w:color="auto" w:fill="3C5896"/>
          </w:tcPr>
          <w:p>
            <w:pPr>
              <w:spacing w:after="0"/>
              <w:rPr>
                <w:sz w:val="21"/>
                <w:szCs w:val="21"/>
                <w:color w:val="auto"/>
              </w:rPr>
            </w:pPr>
          </w:p>
        </w:tc>
        <w:tc>
          <w:tcPr>
            <w:tcW w:w="39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Qualifying Termination of Employment</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920" w:type="dxa"/>
            <w:vAlign w:val="bottom"/>
            <w:gridSpan w:val="6"/>
          </w:tcPr>
          <w:p>
            <w:pPr>
              <w:jc w:val="right"/>
              <w:spacing w:after="0"/>
              <w:rPr>
                <w:sz w:val="20"/>
                <w:szCs w:val="20"/>
                <w:color w:val="auto"/>
              </w:rPr>
            </w:pPr>
            <w:r>
              <w:rPr>
                <w:rFonts w:ascii="Arial" w:cs="Arial" w:eastAsia="Arial" w:hAnsi="Arial"/>
                <w:sz w:val="16"/>
                <w:szCs w:val="16"/>
                <w:color w:val="auto"/>
              </w:rPr>
              <w:t>428,366 ​​​</w:t>
            </w:r>
          </w:p>
        </w:tc>
        <w:tc>
          <w:tcPr>
            <w:tcW w:w="920" w:type="dxa"/>
            <w:vAlign w:val="bottom"/>
            <w:gridSpan w:val="4"/>
          </w:tcPr>
          <w:p>
            <w:pPr>
              <w:ind w:left="1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23,926</w:t>
            </w:r>
          </w:p>
        </w:tc>
        <w:tc>
          <w:tcPr>
            <w:tcW w:w="160" w:type="dxa"/>
            <w:vAlign w:val="bottom"/>
            <w:gridSpan w:val="5"/>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4"/>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71,535</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0" w:type="dxa"/>
            <w:vAlign w:val="bottom"/>
            <w:shd w:val="clear" w:color="auto" w:fill="3C5896"/>
          </w:tcPr>
          <w:p>
            <w:pPr>
              <w:spacing w:after="0"/>
              <w:rPr>
                <w:sz w:val="4"/>
                <w:szCs w:val="4"/>
                <w:color w:val="auto"/>
              </w:rPr>
            </w:pPr>
          </w:p>
        </w:tc>
        <w:tc>
          <w:tcPr>
            <w:tcW w:w="39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920" w:type="dxa"/>
            <w:vAlign w:val="bottom"/>
            <w:gridSpan w:val="6"/>
            <w:vMerge w:val="restart"/>
          </w:tcPr>
          <w:p>
            <w:pPr>
              <w:jc w:val="right"/>
              <w:spacing w:after="0"/>
              <w:rPr>
                <w:sz w:val="20"/>
                <w:szCs w:val="20"/>
                <w:color w:val="auto"/>
              </w:rPr>
            </w:pPr>
            <w:r>
              <w:rPr>
                <w:rFonts w:ascii="Arial" w:cs="Arial" w:eastAsia="Arial" w:hAnsi="Arial"/>
                <w:sz w:val="16"/>
                <w:szCs w:val="16"/>
                <w:color w:val="auto"/>
              </w:rPr>
              <w:t>662,548 ​​​</w:t>
            </w:r>
          </w:p>
        </w:tc>
        <w:tc>
          <w:tcPr>
            <w:tcW w:w="92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35,890</w:t>
            </w:r>
          </w:p>
        </w:tc>
        <w:tc>
          <w:tcPr>
            <w:tcW w:w="160" w:type="dxa"/>
            <w:vAlign w:val="bottom"/>
            <w:gridSpan w:val="5"/>
            <w:vMerge w:val="restart"/>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700" w:type="dxa"/>
            <w:vAlign w:val="bottom"/>
            <w:gridSpan w:val="4"/>
            <w:vMerge w:val="restart"/>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4"/>
                <w:szCs w:val="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71,535</w:t>
            </w:r>
          </w:p>
        </w:tc>
        <w:tc>
          <w:tcPr>
            <w:tcW w:w="300" w:type="dxa"/>
            <w:vAlign w:val="bottom"/>
            <w:gridSpan w:val="4"/>
            <w:vMerge w:val="restart"/>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161,198</w:t>
            </w:r>
          </w:p>
        </w:tc>
        <w:tc>
          <w:tcPr>
            <w:tcW w:w="100" w:type="dxa"/>
            <w:vAlign w:val="bottom"/>
            <w:tcBorders>
              <w:right w:val="single" w:sz="8" w:color="3C5896"/>
            </w:tcBorders>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3C5896"/>
          </w:tcPr>
          <w:p>
            <w:pPr>
              <w:spacing w:after="0"/>
              <w:rPr>
                <w:sz w:val="16"/>
                <w:szCs w:val="16"/>
                <w:color w:val="auto"/>
              </w:rPr>
            </w:pPr>
          </w:p>
        </w:tc>
        <w:tc>
          <w:tcPr>
            <w:tcW w:w="3960" w:type="dxa"/>
            <w:vAlign w:val="bottom"/>
            <w:gridSpan w:val="2"/>
          </w:tcPr>
          <w:p>
            <w:pPr>
              <w:ind w:left="40"/>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vMerge w:val="continue"/>
          </w:tcPr>
          <w:p>
            <w:pPr>
              <w:spacing w:after="0"/>
              <w:rPr>
                <w:sz w:val="16"/>
                <w:szCs w:val="16"/>
                <w:color w:val="auto"/>
              </w:rPr>
            </w:pPr>
          </w:p>
        </w:tc>
        <w:tc>
          <w:tcPr>
            <w:tcW w:w="920" w:type="dxa"/>
            <w:vAlign w:val="bottom"/>
            <w:gridSpan w:val="6"/>
            <w:vMerge w:val="continue"/>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160" w:type="dxa"/>
            <w:vAlign w:val="bottom"/>
            <w:gridSpan w:val="5"/>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300" w:type="dxa"/>
            <w:vAlign w:val="bottom"/>
            <w:gridSpan w:val="4"/>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Borders>
              <w:right w:val="single" w:sz="8" w:color="3C5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3C5896"/>
          </w:tcPr>
          <w:p>
            <w:pPr>
              <w:spacing w:after="0"/>
              <w:rPr>
                <w:sz w:val="21"/>
                <w:szCs w:val="21"/>
                <w:color w:val="auto"/>
              </w:rPr>
            </w:pPr>
          </w:p>
        </w:tc>
        <w:tc>
          <w:tcPr>
            <w:tcW w:w="3960" w:type="dxa"/>
            <w:vAlign w:val="bottom"/>
            <w:gridSpan w:val="2"/>
          </w:tcPr>
          <w:p>
            <w:pPr>
              <w:ind w:left="40"/>
              <w:spacing w:after="0"/>
              <w:rPr>
                <w:sz w:val="20"/>
                <w:szCs w:val="20"/>
                <w:color w:val="auto"/>
              </w:rPr>
            </w:pPr>
            <w:r>
              <w:rPr>
                <w:rFonts w:ascii="Arial" w:cs="Arial" w:eastAsia="Arial" w:hAnsi="Arial"/>
                <w:sz w:val="16"/>
                <w:szCs w:val="16"/>
                <w:i w:val="1"/>
                <w:iCs w:val="1"/>
                <w:color w:val="auto"/>
              </w:rPr>
              <w:t>Termination Upon Death or Disability</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500" w:type="dxa"/>
            <w:vAlign w:val="bottom"/>
          </w:tcPr>
          <w:p>
            <w:pPr>
              <w:spacing w:after="0"/>
              <w:rPr>
                <w:sz w:val="21"/>
                <w:szCs w:val="21"/>
                <w:color w:val="auto"/>
              </w:rPr>
            </w:pPr>
          </w:p>
        </w:tc>
        <w:tc>
          <w:tcPr>
            <w:tcW w:w="420" w:type="dxa"/>
            <w:vAlign w:val="bottom"/>
            <w:gridSpan w:val="5"/>
          </w:tcPr>
          <w:p>
            <w:pPr>
              <w:jc w:val="right"/>
              <w:spacing w:after="0"/>
              <w:rPr>
                <w:sz w:val="20"/>
                <w:szCs w:val="20"/>
                <w:color w:val="auto"/>
              </w:rPr>
            </w:pPr>
            <w:r>
              <w:rPr>
                <w:rFonts w:ascii="Arial" w:cs="Arial" w:eastAsia="Arial" w:hAnsi="Arial"/>
                <w:sz w:val="16"/>
                <w:szCs w:val="16"/>
                <w:color w:val="auto"/>
              </w:rPr>
              <w:t>— ​​​</w:t>
            </w:r>
          </w:p>
        </w:tc>
        <w:tc>
          <w:tcPr>
            <w:tcW w:w="24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60" w:type="dxa"/>
            <w:vAlign w:val="bottom"/>
            <w:gridSpan w:val="5"/>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322,349</w:t>
            </w:r>
          </w:p>
        </w:tc>
        <w:tc>
          <w:tcPr>
            <w:tcW w:w="300" w:type="dxa"/>
            <w:vAlign w:val="bottom"/>
            <w:gridSpan w:val="4"/>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161,198</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20" w:type="dxa"/>
            <w:vAlign w:val="bottom"/>
            <w:shd w:val="clear" w:color="auto" w:fill="3C5896"/>
          </w:tcPr>
          <w:p>
            <w:pPr>
              <w:spacing w:after="0"/>
              <w:rPr>
                <w:sz w:val="2"/>
                <w:szCs w:val="2"/>
                <w:color w:val="auto"/>
              </w:rPr>
            </w:pPr>
          </w:p>
        </w:tc>
        <w:tc>
          <w:tcPr>
            <w:tcW w:w="1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gridSpan w:val="4"/>
            <w:vMerge w:val="restart"/>
          </w:tcPr>
          <w:p>
            <w:pPr>
              <w:jc w:val="right"/>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16"/>
                <w:szCs w:val="16"/>
                <w:i w:val="1"/>
                <w:iCs w:val="1"/>
                <w:color w:val="auto"/>
              </w:rPr>
              <w:t>​​​​</w:t>
            </w:r>
          </w:p>
        </w:tc>
        <w:tc>
          <w:tcPr>
            <w:tcW w:w="2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gridSpan w:val="5"/>
            <w:vMerge w:val="restart"/>
          </w:tcPr>
          <w:p>
            <w:pPr>
              <w:ind w:left="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60" w:type="dxa"/>
            <w:vAlign w:val="bottom"/>
          </w:tcPr>
          <w:p>
            <w:pPr>
              <w:spacing w:after="0"/>
              <w:rPr>
                <w:sz w:val="2"/>
                <w:szCs w:val="2"/>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4"/>
            <w:vMerge w:val="restart"/>
          </w:tcPr>
          <w:p>
            <w:pPr>
              <w:ind w:left="20"/>
              <w:spacing w:after="0"/>
              <w:rPr>
                <w:sz w:val="20"/>
                <w:szCs w:val="20"/>
                <w:color w:val="auto"/>
              </w:rPr>
            </w:pPr>
            <w:r>
              <w:rPr>
                <w:rFonts w:ascii="Arial" w:cs="Arial" w:eastAsia="Arial" w:hAnsi="Arial"/>
                <w:sz w:val="16"/>
                <w:szCs w:val="16"/>
                <w:i w:val="1"/>
                <w:iCs w:val="1"/>
                <w:color w:val="auto"/>
              </w:rPr>
              <w:t>​​​ ​</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3C5896"/>
          </w:tcPr>
          <w:p>
            <w:pPr>
              <w:spacing w:after="0"/>
              <w:rPr>
                <w:sz w:val="18"/>
                <w:szCs w:val="18"/>
                <w:color w:val="auto"/>
              </w:rPr>
            </w:pPr>
          </w:p>
        </w:tc>
        <w:tc>
          <w:tcPr>
            <w:tcW w:w="1600" w:type="dxa"/>
            <w:vAlign w:val="bottom"/>
            <w:tcBorders>
              <w:left w:val="single" w:sz="8" w:color="CCCCCC"/>
            </w:tcBorders>
            <w:shd w:val="clear" w:color="auto" w:fill="CCCCCC"/>
          </w:tcPr>
          <w:p>
            <w:pPr>
              <w:ind w:left="20"/>
              <w:spacing w:after="0" w:line="216" w:lineRule="exact"/>
              <w:rPr>
                <w:sz w:val="20"/>
                <w:szCs w:val="20"/>
                <w:color w:val="auto"/>
              </w:rPr>
            </w:pPr>
            <w:r>
              <w:rPr>
                <w:rFonts w:ascii="Arial" w:cs="Arial" w:eastAsia="Arial" w:hAnsi="Arial"/>
                <w:sz w:val="24"/>
                <w:szCs w:val="24"/>
                <w:i w:val="1"/>
                <w:iCs w:val="1"/>
                <w:color w:val="auto"/>
                <w:vertAlign w:val="superscript"/>
              </w:rPr>
              <w:t>​</w:t>
            </w:r>
            <w:r>
              <w:rPr>
                <w:rFonts w:ascii="Arial" w:cs="Arial" w:eastAsia="Arial" w:hAnsi="Arial"/>
                <w:sz w:val="13"/>
                <w:szCs w:val="13"/>
                <w:color w:val="auto"/>
              </w:rPr>
              <w:t>Jared Brandman</w:t>
            </w:r>
          </w:p>
        </w:tc>
        <w:tc>
          <w:tcPr>
            <w:tcW w:w="2360" w:type="dxa"/>
            <w:vAlign w:val="bottom"/>
            <w:shd w:val="clear" w:color="auto" w:fill="CCCCCC"/>
          </w:tcPr>
          <w:p>
            <w:pPr>
              <w:spacing w:after="0"/>
              <w:rPr>
                <w:sz w:val="18"/>
                <w:szCs w:val="18"/>
                <w:color w:val="auto"/>
              </w:rPr>
            </w:pPr>
          </w:p>
        </w:tc>
        <w:tc>
          <w:tcPr>
            <w:tcW w:w="280" w:type="dxa"/>
            <w:vAlign w:val="bottom"/>
            <w:shd w:val="clear" w:color="auto" w:fill="CCCCCC"/>
          </w:tcPr>
          <w:p>
            <w:pPr>
              <w:spacing w:after="0"/>
              <w:rPr>
                <w:sz w:val="18"/>
                <w:szCs w:val="18"/>
                <w:color w:val="auto"/>
              </w:rPr>
            </w:pPr>
          </w:p>
        </w:tc>
        <w:tc>
          <w:tcPr>
            <w:tcW w:w="160" w:type="dxa"/>
            <w:vAlign w:val="bottom"/>
            <w:gridSpan w:val="4"/>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4"/>
            <w:vMerge w:val="continue"/>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420" w:type="dxa"/>
            <w:vAlign w:val="bottom"/>
          </w:tcPr>
          <w:p>
            <w:pPr>
              <w:spacing w:after="0"/>
              <w:rPr>
                <w:sz w:val="18"/>
                <w:szCs w:val="18"/>
                <w:color w:val="auto"/>
              </w:rPr>
            </w:pPr>
          </w:p>
        </w:tc>
        <w:tc>
          <w:tcPr>
            <w:tcW w:w="260" w:type="dxa"/>
            <w:vAlign w:val="bottom"/>
          </w:tcPr>
          <w:p>
            <w:pPr>
              <w:jc w:val="right"/>
              <w:ind w:right="119"/>
              <w:spacing w:after="0"/>
              <w:rPr>
                <w:sz w:val="20"/>
                <w:szCs w:val="20"/>
                <w:color w:val="auto"/>
              </w:rPr>
            </w:pPr>
            <w:r>
              <w:rPr>
                <w:rFonts w:ascii="Arial" w:cs="Arial" w:eastAsia="Arial" w:hAnsi="Arial"/>
                <w:sz w:val="16"/>
                <w:szCs w:val="16"/>
                <w:i w:val="1"/>
                <w:iCs w:val="1"/>
                <w:color w:val="auto"/>
              </w:rPr>
              <w:t>​</w:t>
            </w:r>
          </w:p>
        </w:tc>
        <w:tc>
          <w:tcPr>
            <w:tcW w:w="160" w:type="dxa"/>
            <w:vAlign w:val="bottom"/>
            <w:gridSpan w:val="5"/>
            <w:vMerge w:val="continue"/>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00" w:type="dxa"/>
            <w:vAlign w:val="bottom"/>
            <w:gridSpan w:val="4"/>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42"/>
        </w:trPr>
        <w:tc>
          <w:tcPr>
            <w:tcW w:w="20" w:type="dxa"/>
            <w:vAlign w:val="bottom"/>
            <w:shd w:val="clear" w:color="auto" w:fill="3C5896"/>
          </w:tcPr>
          <w:p>
            <w:pPr>
              <w:spacing w:after="0"/>
              <w:rPr>
                <w:sz w:val="21"/>
                <w:szCs w:val="21"/>
                <w:color w:val="auto"/>
              </w:rPr>
            </w:pPr>
          </w:p>
        </w:tc>
        <w:tc>
          <w:tcPr>
            <w:tcW w:w="3960" w:type="dxa"/>
            <w:vAlign w:val="bottom"/>
            <w:tcBorders>
              <w:left w:val="single" w:sz="8" w:color="CCCCCC"/>
            </w:tcBorders>
            <w:gridSpan w:val="2"/>
            <w:vMerge w:val="restart"/>
            <w:shd w:val="clear" w:color="auto" w:fill="CCCCCC"/>
          </w:tcPr>
          <w:p>
            <w:pPr>
              <w:ind w:left="40"/>
              <w:spacing w:after="0"/>
              <w:rPr>
                <w:sz w:val="20"/>
                <w:szCs w:val="20"/>
                <w:color w:val="auto"/>
              </w:rPr>
            </w:pPr>
            <w:r>
              <w:rPr>
                <w:rFonts w:ascii="Arial" w:cs="Arial" w:eastAsia="Arial" w:hAnsi="Arial"/>
                <w:sz w:val="16"/>
                <w:szCs w:val="16"/>
                <w:i w:val="1"/>
                <w:iCs w:val="1"/>
                <w:color w:val="auto"/>
              </w:rPr>
              <w:t>Qualifying Termination of Employment</w:t>
            </w:r>
          </w:p>
        </w:tc>
        <w:tc>
          <w:tcPr>
            <w:tcW w:w="280" w:type="dxa"/>
            <w:vAlign w:val="bottom"/>
            <w:shd w:val="clear" w:color="auto" w:fill="CCCCCC"/>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6"/>
          </w:tcPr>
          <w:p>
            <w:pPr>
              <w:jc w:val="right"/>
              <w:spacing w:after="0"/>
              <w:rPr>
                <w:sz w:val="20"/>
                <w:szCs w:val="20"/>
                <w:color w:val="auto"/>
              </w:rPr>
            </w:pPr>
            <w:r>
              <w:rPr>
                <w:rFonts w:ascii="Arial" w:cs="Arial" w:eastAsia="Arial" w:hAnsi="Arial"/>
                <w:sz w:val="16"/>
                <w:szCs w:val="16"/>
                <w:color w:val="auto"/>
              </w:rPr>
              <w:t>843,534 ​​</w:t>
            </w:r>
            <w:r>
              <w:rPr>
                <w:rFonts w:ascii="Arial" w:cs="Arial" w:eastAsia="Arial" w:hAnsi="Arial"/>
                <w:sz w:val="16"/>
                <w:szCs w:val="16"/>
                <w:color w:val="auto"/>
                <w:highlight w:val="lightGray"/>
              </w:rPr>
              <w:t>​</w:t>
            </w:r>
          </w:p>
        </w:tc>
        <w:tc>
          <w:tcPr>
            <w:tcW w:w="160" w:type="dxa"/>
            <w:vAlign w:val="bottom"/>
          </w:tcPr>
          <w:p>
            <w:pPr>
              <w:spacing w:after="0"/>
              <w:rPr>
                <w:sz w:val="21"/>
                <w:szCs w:val="21"/>
                <w:color w:val="auto"/>
              </w:rPr>
            </w:pPr>
          </w:p>
        </w:tc>
        <w:tc>
          <w:tcPr>
            <w:tcW w:w="760" w:type="dxa"/>
            <w:vAlign w:val="bottom"/>
            <w:gridSpan w:val="3"/>
          </w:tcPr>
          <w:p>
            <w:pPr>
              <w:spacing w:after="0"/>
              <w:rPr>
                <w:sz w:val="20"/>
                <w:szCs w:val="20"/>
                <w:color w:val="auto"/>
              </w:rPr>
            </w:pPr>
            <w:r>
              <w:rPr>
                <w:rFonts w:ascii="Arial" w:cs="Arial" w:eastAsia="Arial" w:hAnsi="Arial"/>
                <w:sz w:val="16"/>
                <w:szCs w:val="16"/>
                <w:b w:val="1"/>
                <w:bCs w:val="1"/>
                <w:color w:val="auto"/>
                <w:highlight w:val="lightGray"/>
              </w:rPr>
              <w:t>​</w:t>
            </w:r>
            <w:r>
              <w:rPr>
                <w:rFonts w:ascii="Arial" w:cs="Arial" w:eastAsia="Arial" w:hAnsi="Arial"/>
                <w:sz w:val="16"/>
                <w:szCs w:val="16"/>
                <w:color w:val="auto"/>
                <w:highlight w:val="lightGray"/>
              </w:rPr>
              <w:t>23,926</w:t>
            </w:r>
          </w:p>
        </w:tc>
        <w:tc>
          <w:tcPr>
            <w:tcW w:w="860" w:type="dxa"/>
            <w:vAlign w:val="bottom"/>
            <w:gridSpan w:val="9"/>
          </w:tcPr>
          <w:p>
            <w:pPr>
              <w:jc w:val="right"/>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r>
              <w:rPr>
                <w:rFonts w:ascii="Arial" w:cs="Arial" w:eastAsia="Arial" w:hAnsi="Arial"/>
                <w:sz w:val="16"/>
                <w:szCs w:val="16"/>
                <w:color w:val="auto"/>
                <w:highlight w:val="lightGray"/>
              </w:rPr>
              <w:t>​</w:t>
            </w:r>
            <w:r>
              <w:rPr>
                <w:rFonts w:ascii="Arial" w:cs="Arial" w:eastAsia="Arial" w:hAnsi="Arial"/>
                <w:sz w:val="16"/>
                <w:szCs w:val="16"/>
                <w:b w:val="1"/>
                <w:bCs w:val="1"/>
                <w:color w:val="auto"/>
                <w:highlight w:val="lightGray"/>
              </w:rPr>
              <w:t>​</w:t>
            </w:r>
            <w:r>
              <w:rPr>
                <w:rFonts w:ascii="Arial" w:cs="Arial" w:eastAsia="Arial" w:hAnsi="Arial"/>
                <w:sz w:val="16"/>
                <w:szCs w:val="16"/>
                <w:color w:val="auto"/>
                <w:highlight w:val="lightGray"/>
              </w:rPr>
              <w:t>143,171 ​</w:t>
            </w: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highlight w:val="lightGray"/>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highlight w:val="lightGray"/>
              </w:rPr>
              <w:t>81,259</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color w:val="auto"/>
                <w:highlight w:val="lightGray"/>
              </w:rPr>
              <w:t>​​</w:t>
            </w:r>
          </w:p>
        </w:tc>
        <w:tc>
          <w:tcPr>
            <w:tcW w:w="0" w:type="dxa"/>
            <w:vAlign w:val="bottom"/>
          </w:tcPr>
          <w:p>
            <w:pPr>
              <w:spacing w:after="0"/>
              <w:rPr>
                <w:sz w:val="1"/>
                <w:szCs w:val="1"/>
                <w:color w:val="auto"/>
              </w:rPr>
            </w:pPr>
          </w:p>
        </w:tc>
      </w:tr>
      <w:tr>
        <w:trPr>
          <w:trHeight w:val="29"/>
        </w:trPr>
        <w:tc>
          <w:tcPr>
            <w:tcW w:w="20" w:type="dxa"/>
            <w:vAlign w:val="bottom"/>
            <w:shd w:val="clear" w:color="auto" w:fill="3C5896"/>
          </w:tcPr>
          <w:p>
            <w:pPr>
              <w:spacing w:after="0"/>
              <w:rPr>
                <w:sz w:val="2"/>
                <w:szCs w:val="2"/>
                <w:color w:val="auto"/>
              </w:rPr>
            </w:pPr>
          </w:p>
        </w:tc>
        <w:tc>
          <w:tcPr>
            <w:tcW w:w="3960" w:type="dxa"/>
            <w:vAlign w:val="bottom"/>
            <w:tcBorders>
              <w:left w:val="single" w:sz="8" w:color="CCCCCC"/>
            </w:tcBorders>
            <w:gridSpan w:val="2"/>
            <w:vMerge w:val="continue"/>
            <w:shd w:val="clear" w:color="auto" w:fill="CCCCCC"/>
          </w:tcPr>
          <w:p>
            <w:pPr>
              <w:spacing w:after="0"/>
              <w:rPr>
                <w:sz w:val="2"/>
                <w:szCs w:val="2"/>
                <w:color w:val="auto"/>
              </w:rPr>
            </w:pPr>
          </w:p>
        </w:tc>
        <w:tc>
          <w:tcPr>
            <w:tcW w:w="280" w:type="dxa"/>
            <w:vAlign w:val="bottom"/>
            <w:shd w:val="clear" w:color="auto" w:fill="CCCCCC"/>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3C589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3C5896"/>
            </w:tcBorders>
            <w:shd w:val="clear" w:color="auto" w:fill="3C5896"/>
          </w:tcPr>
          <w:p>
            <w:pPr>
              <w:spacing w:after="0"/>
              <w:rPr>
                <w:sz w:val="19"/>
                <w:szCs w:val="19"/>
                <w:color w:val="auto"/>
              </w:rPr>
            </w:pPr>
          </w:p>
        </w:tc>
        <w:tc>
          <w:tcPr>
            <w:tcW w:w="3960" w:type="dxa"/>
            <w:vAlign w:val="bottom"/>
            <w:tcBorders>
              <w:left w:val="single" w:sz="8" w:color="CCCCCC"/>
              <w:bottom w:val="single" w:sz="8" w:color="CCCCCC"/>
            </w:tcBorders>
            <w:gridSpan w:val="2"/>
            <w:shd w:val="clear" w:color="auto" w:fill="CCCCCC"/>
          </w:tcPr>
          <w:p>
            <w:pPr>
              <w:ind w:left="40"/>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280" w:type="dxa"/>
            <w:vAlign w:val="bottom"/>
            <w:tcBorders>
              <w:bottom w:val="single" w:sz="8" w:color="CCCCCC"/>
            </w:tcBorders>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CCCC"/>
            </w:tcBorders>
            <w:gridSpan w:val="3"/>
            <w:shd w:val="clear" w:color="auto" w:fill="CCCCCC"/>
          </w:tcPr>
          <w:p>
            <w:pPr>
              <w:jc w:val="right"/>
              <w:spacing w:after="0"/>
              <w:rPr>
                <w:sz w:val="20"/>
                <w:szCs w:val="20"/>
                <w:color w:val="auto"/>
              </w:rPr>
            </w:pPr>
            <w:r>
              <w:rPr>
                <w:rFonts w:ascii="Arial" w:cs="Arial" w:eastAsia="Arial" w:hAnsi="Arial"/>
                <w:sz w:val="16"/>
                <w:szCs w:val="16"/>
                <w:b w:val="1"/>
                <w:bCs w:val="1"/>
                <w:color w:val="auto"/>
                <w:highlight w:val="lightGray"/>
              </w:rPr>
              <w:t>​</w:t>
            </w:r>
            <w:r>
              <w:rPr>
                <w:rFonts w:ascii="Arial" w:cs="Arial" w:eastAsia="Arial" w:hAnsi="Arial"/>
                <w:sz w:val="16"/>
                <w:szCs w:val="16"/>
                <w:color w:val="auto"/>
                <w:highlight w:val="lightGray"/>
              </w:rPr>
              <w:t>1,144,712</w:t>
            </w:r>
          </w:p>
        </w:tc>
        <w:tc>
          <w:tcPr>
            <w:tcW w:w="220" w:type="dxa"/>
            <w:vAlign w:val="bottom"/>
            <w:gridSpan w:val="4"/>
          </w:tcPr>
          <w:p>
            <w:pPr>
              <w:jc w:val="right"/>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00" w:type="dxa"/>
            <w:vAlign w:val="bottom"/>
            <w:tcBorders>
              <w:bottom w:val="single" w:sz="8" w:color="CCCCCC"/>
            </w:tcBorders>
            <w:gridSpan w:val="2"/>
            <w:shd w:val="clear" w:color="auto" w:fill="CCCCCC"/>
          </w:tcPr>
          <w:p>
            <w:pPr>
              <w:spacing w:after="0"/>
              <w:rPr>
                <w:sz w:val="20"/>
                <w:szCs w:val="20"/>
                <w:color w:val="auto"/>
              </w:rPr>
            </w:pPr>
            <w:r>
              <w:rPr>
                <w:rFonts w:ascii="Arial" w:cs="Arial" w:eastAsia="Arial" w:hAnsi="Arial"/>
                <w:sz w:val="16"/>
                <w:szCs w:val="16"/>
                <w:b w:val="1"/>
                <w:bCs w:val="1"/>
                <w:color w:val="auto"/>
                <w:highlight w:val="lightGray"/>
                <w:w w:val="97"/>
              </w:rPr>
              <w:t>​</w:t>
            </w:r>
            <w:r>
              <w:rPr>
                <w:rFonts w:ascii="Arial" w:cs="Arial" w:eastAsia="Arial" w:hAnsi="Arial"/>
                <w:sz w:val="16"/>
                <w:szCs w:val="16"/>
                <w:color w:val="auto"/>
                <w:highlight w:val="lightGray"/>
                <w:w w:val="97"/>
              </w:rPr>
              <w:t>35,890</w:t>
            </w:r>
          </w:p>
        </w:tc>
        <w:tc>
          <w:tcPr>
            <w:tcW w:w="260" w:type="dxa"/>
            <w:vAlign w:val="bottom"/>
            <w:tcBorders>
              <w:bottom w:val="single" w:sz="8" w:color="CCCCCC"/>
            </w:tcBorders>
            <w:shd w:val="clear" w:color="auto" w:fill="CCCCCC"/>
          </w:tcPr>
          <w:p>
            <w:pPr>
              <w:spacing w:after="0"/>
              <w:rPr>
                <w:sz w:val="19"/>
                <w:szCs w:val="19"/>
                <w:color w:val="auto"/>
              </w:rPr>
            </w:pPr>
          </w:p>
        </w:tc>
        <w:tc>
          <w:tcPr>
            <w:tcW w:w="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
                <w:szCs w:val="1"/>
                <w:color w:val="auto"/>
                <w:highlight w:val="lightGray"/>
                <w:w w:val="4294942296"/>
              </w:rPr>
              <w:t>​</w:t>
            </w:r>
          </w:p>
        </w:tc>
        <w:tc>
          <w:tcPr>
            <w:tcW w:w="60" w:type="dxa"/>
            <w:vAlign w:val="bottom"/>
            <w:gridSpan w:val="3"/>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CCCC"/>
            </w:tcBorders>
            <w:gridSpan w:val="2"/>
            <w:shd w:val="clear" w:color="auto" w:fill="CCCCCC"/>
          </w:tcPr>
          <w:p>
            <w:pPr>
              <w:jc w:val="center"/>
              <w:spacing w:after="0"/>
              <w:rPr>
                <w:sz w:val="20"/>
                <w:szCs w:val="20"/>
                <w:color w:val="auto"/>
              </w:rPr>
            </w:pPr>
            <w:r>
              <w:rPr>
                <w:rFonts w:ascii="Arial" w:cs="Arial" w:eastAsia="Arial" w:hAnsi="Arial"/>
                <w:sz w:val="16"/>
                <w:szCs w:val="16"/>
                <w:b w:val="1"/>
                <w:bCs w:val="1"/>
                <w:color w:val="auto"/>
                <w:highlight w:val="lightGray"/>
              </w:rPr>
              <w:t>​</w:t>
            </w:r>
            <w:r>
              <w:rPr>
                <w:rFonts w:ascii="Arial" w:cs="Arial" w:eastAsia="Arial" w:hAnsi="Arial"/>
                <w:sz w:val="16"/>
                <w:szCs w:val="16"/>
                <w:color w:val="auto"/>
                <w:highlight w:val="lightGray"/>
              </w:rPr>
              <w:t>340,025</w:t>
            </w:r>
          </w:p>
        </w:tc>
        <w:tc>
          <w:tcPr>
            <w:tcW w:w="140" w:type="dxa"/>
            <w:vAlign w:val="bottom"/>
            <w:gridSpan w:val="3"/>
          </w:tcPr>
          <w:p>
            <w:pPr>
              <w:jc w:val="right"/>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6"/>
                <w:szCs w:val="16"/>
                <w:b w:val="1"/>
                <w:bCs w:val="1"/>
                <w:color w:val="auto"/>
                <w:highlight w:val="lightGray"/>
              </w:rPr>
              <w:t>​</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318,097</w:t>
            </w:r>
          </w:p>
        </w:tc>
        <w:tc>
          <w:tcPr>
            <w:tcW w:w="120" w:type="dxa"/>
            <w:vAlign w:val="bottom"/>
          </w:tcPr>
          <w:p>
            <w:pPr>
              <w:spacing w:after="0"/>
              <w:rPr>
                <w:sz w:val="19"/>
                <w:szCs w:val="19"/>
                <w:color w:val="auto"/>
              </w:rPr>
            </w:pPr>
          </w:p>
        </w:tc>
        <w:tc>
          <w:tcPr>
            <w:tcW w:w="200" w:type="dxa"/>
            <w:vAlign w:val="bottom"/>
            <w:gridSpan w:val="3"/>
          </w:tcPr>
          <w:p>
            <w:pPr>
              <w:ind w:left="20"/>
              <w:spacing w:after="0"/>
              <w:rPr>
                <w:sz w:val="20"/>
                <w:szCs w:val="20"/>
                <w:color w:val="auto"/>
              </w:rPr>
            </w:pPr>
            <w:r>
              <w:rPr>
                <w:rFonts w:ascii="Arial" w:cs="Arial" w:eastAsia="Arial" w:hAnsi="Arial"/>
                <w:sz w:val="16"/>
                <w:szCs w:val="16"/>
                <w:color w:val="auto"/>
                <w:highlight w:val="lightGray"/>
              </w:rPr>
              <w:t>​</w:t>
            </w:r>
            <w:r>
              <w:rPr>
                <w:rFonts w:ascii="Arial" w:cs="Arial" w:eastAsia="Arial" w:hAnsi="Arial"/>
                <w:sz w:val="16"/>
                <w:szCs w:val="16"/>
                <w:color w:val="auto"/>
              </w:rPr>
              <w:t>​​</w:t>
            </w:r>
          </w:p>
        </w:tc>
        <w:tc>
          <w:tcPr>
            <w:tcW w:w="1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color w:val="auto"/>
                <w:highlight w:val="lightGray"/>
              </w:rPr>
              <w:t>​</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412,858</w:t>
            </w:r>
          </w:p>
        </w:tc>
        <w:tc>
          <w:tcPr>
            <w:tcW w:w="80" w:type="dxa"/>
            <w:vAlign w:val="bottom"/>
            <w:tcBorders>
              <w:bottom w:val="single" w:sz="8" w:color="CCCCCC"/>
            </w:tcBorders>
            <w:shd w:val="clear" w:color="auto" w:fill="CCCCCC"/>
          </w:tcPr>
          <w:p>
            <w:pPr>
              <w:spacing w:after="0"/>
              <w:rPr>
                <w:sz w:val="19"/>
                <w:szCs w:val="19"/>
                <w:color w:val="auto"/>
              </w:rPr>
            </w:pPr>
          </w:p>
        </w:tc>
        <w:tc>
          <w:tcPr>
            <w:tcW w:w="100" w:type="dxa"/>
            <w:vAlign w:val="bottom"/>
            <w:tcBorders>
              <w:bottom w:val="single" w:sz="8" w:color="CCCCCC"/>
              <w:right w:val="single" w:sz="8" w:color="3C5896"/>
            </w:tcBorders>
            <w:shd w:val="clear" w:color="auto" w:fill="CCCCCC"/>
          </w:tcPr>
          <w:p>
            <w:pPr>
              <w:jc w:val="right"/>
              <w:spacing w:after="0"/>
              <w:rPr>
                <w:sz w:val="20"/>
                <w:szCs w:val="20"/>
                <w:color w:val="auto"/>
              </w:rPr>
            </w:pPr>
            <w:r>
              <w:rPr>
                <w:rFonts w:ascii="Arial" w:cs="Arial" w:eastAsia="Arial" w:hAnsi="Arial"/>
                <w:sz w:val="16"/>
                <w:szCs w:val="16"/>
                <w:color w:val="auto"/>
                <w:highlight w:val="lightGray"/>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3C5896"/>
            </w:tcBorders>
            <w:shd w:val="clear" w:color="auto" w:fill="3C5896"/>
          </w:tcPr>
          <w:p>
            <w:pPr>
              <w:spacing w:after="0"/>
              <w:rPr>
                <w:sz w:val="19"/>
                <w:szCs w:val="19"/>
                <w:color w:val="auto"/>
              </w:rPr>
            </w:pPr>
          </w:p>
        </w:tc>
        <w:tc>
          <w:tcPr>
            <w:tcW w:w="3960" w:type="dxa"/>
            <w:vAlign w:val="bottom"/>
            <w:tcBorders>
              <w:left w:val="single" w:sz="8" w:color="CCCCCC"/>
              <w:bottom w:val="single" w:sz="8" w:color="CCCCCC"/>
            </w:tcBorders>
            <w:gridSpan w:val="2"/>
            <w:shd w:val="clear" w:color="auto" w:fill="CCCCCC"/>
          </w:tcPr>
          <w:p>
            <w:pPr>
              <w:ind w:left="40"/>
              <w:spacing w:after="0"/>
              <w:rPr>
                <w:sz w:val="20"/>
                <w:szCs w:val="20"/>
                <w:color w:val="auto"/>
              </w:rPr>
            </w:pPr>
            <w:r>
              <w:rPr>
                <w:rFonts w:ascii="Arial" w:cs="Arial" w:eastAsia="Arial" w:hAnsi="Arial"/>
                <w:sz w:val="16"/>
                <w:szCs w:val="16"/>
                <w:i w:val="1"/>
                <w:iCs w:val="1"/>
                <w:color w:val="auto"/>
              </w:rPr>
              <w:t>Termination Upon Death or Disability</w:t>
            </w:r>
          </w:p>
        </w:tc>
        <w:tc>
          <w:tcPr>
            <w:tcW w:w="280" w:type="dxa"/>
            <w:vAlign w:val="bottom"/>
            <w:tcBorders>
              <w:bottom w:val="single" w:sz="8" w:color="CCCCCC"/>
            </w:tcBorders>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CCCC"/>
            </w:tcBorders>
            <w:shd w:val="clear" w:color="auto" w:fill="CCCCCC"/>
          </w:tcPr>
          <w:p>
            <w:pPr>
              <w:spacing w:after="0"/>
              <w:rPr>
                <w:sz w:val="19"/>
                <w:szCs w:val="19"/>
                <w:color w:val="auto"/>
              </w:rPr>
            </w:pPr>
          </w:p>
        </w:tc>
        <w:tc>
          <w:tcPr>
            <w:tcW w:w="2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9"/>
                <w:szCs w:val="19"/>
                <w:color w:val="auto"/>
              </w:rPr>
            </w:pPr>
          </w:p>
        </w:tc>
        <w:tc>
          <w:tcPr>
            <w:tcW w:w="100" w:type="dxa"/>
            <w:vAlign w:val="bottom"/>
            <w:gridSpan w:val="4"/>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CCCC"/>
            </w:tcBorders>
            <w:gridSpan w:val="2"/>
            <w:shd w:val="clear" w:color="auto" w:fill="CCCCCC"/>
          </w:tcPr>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340,025</w:t>
            </w: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rPr>
              <w:t>526,738</w:t>
            </w:r>
          </w:p>
        </w:tc>
        <w:tc>
          <w:tcPr>
            <w:tcW w:w="120" w:type="dxa"/>
            <w:vAlign w:val="bottom"/>
          </w:tcPr>
          <w:p>
            <w:pPr>
              <w:spacing w:after="0"/>
              <w:rPr>
                <w:sz w:val="19"/>
                <w:szCs w:val="19"/>
                <w:color w:val="auto"/>
              </w:rPr>
            </w:pPr>
          </w:p>
        </w:tc>
        <w:tc>
          <w:tcPr>
            <w:tcW w:w="2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CCCC"/>
            </w:tcBorders>
            <w:shd w:val="clear" w:color="auto" w:fill="CCCCCC"/>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6"/>
                <w:szCs w:val="16"/>
                <w:color w:val="auto"/>
              </w:rPr>
              <w:t>412,858</w:t>
            </w:r>
          </w:p>
        </w:tc>
        <w:tc>
          <w:tcPr>
            <w:tcW w:w="80" w:type="dxa"/>
            <w:vAlign w:val="bottom"/>
            <w:tcBorders>
              <w:bottom w:val="single" w:sz="8" w:color="CCCCCC"/>
            </w:tcBorders>
            <w:shd w:val="clear" w:color="auto" w:fill="CCCCCC"/>
          </w:tcPr>
          <w:p>
            <w:pPr>
              <w:spacing w:after="0"/>
              <w:rPr>
                <w:sz w:val="19"/>
                <w:szCs w:val="19"/>
                <w:color w:val="auto"/>
              </w:rPr>
            </w:pPr>
          </w:p>
        </w:tc>
        <w:tc>
          <w:tcPr>
            <w:tcW w:w="100" w:type="dxa"/>
            <w:vAlign w:val="bottom"/>
            <w:tcBorders>
              <w:bottom w:val="single" w:sz="8" w:color="CCCCCC"/>
              <w:right w:val="single" w:sz="8" w:color="3C5896"/>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3C5896"/>
          </w:tcPr>
          <w:p>
            <w:pPr>
              <w:spacing w:after="0"/>
              <w:rPr>
                <w:sz w:val="17"/>
                <w:szCs w:val="17"/>
                <w:color w:val="auto"/>
              </w:rPr>
            </w:pPr>
          </w:p>
        </w:tc>
        <w:tc>
          <w:tcPr>
            <w:tcW w:w="1600" w:type="dxa"/>
            <w:vAlign w:val="bottom"/>
          </w:tcPr>
          <w:p>
            <w:pPr>
              <w:ind w:left="20"/>
              <w:spacing w:after="0" w:line="202" w:lineRule="exact"/>
              <w:rPr>
                <w:sz w:val="20"/>
                <w:szCs w:val="20"/>
                <w:color w:val="auto"/>
              </w:rPr>
            </w:pPr>
            <w:r>
              <w:rPr>
                <w:rFonts w:ascii="Arial" w:cs="Arial" w:eastAsia="Arial" w:hAnsi="Arial"/>
                <w:sz w:val="23"/>
                <w:szCs w:val="23"/>
                <w:i w:val="1"/>
                <w:iCs w:val="1"/>
                <w:color w:val="auto"/>
                <w:vertAlign w:val="superscript"/>
              </w:rPr>
              <w:t>​</w:t>
            </w:r>
            <w:r>
              <w:rPr>
                <w:rFonts w:ascii="Arial" w:cs="Arial" w:eastAsia="Arial" w:hAnsi="Arial"/>
                <w:sz w:val="13"/>
                <w:szCs w:val="13"/>
                <w:color w:val="auto"/>
              </w:rPr>
              <w:t>Bill Clark</w:t>
            </w: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gridSpan w:val="4"/>
          </w:tcPr>
          <w:p>
            <w:pPr>
              <w:jc w:val="right"/>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4"/>
          </w:tcPr>
          <w:p>
            <w:pPr>
              <w:jc w:val="right"/>
              <w:spacing w:after="0"/>
              <w:rPr>
                <w:sz w:val="20"/>
                <w:szCs w:val="20"/>
                <w:color w:val="auto"/>
              </w:rPr>
            </w:pPr>
            <w:r>
              <w:rPr>
                <w:rFonts w:ascii="Arial" w:cs="Arial" w:eastAsia="Arial" w:hAnsi="Arial"/>
                <w:sz w:val="16"/>
                <w:szCs w:val="16"/>
                <w:i w:val="1"/>
                <w:iCs w:val="1"/>
                <w:color w:val="auto"/>
              </w:rPr>
              <w:t>​​​​</w:t>
            </w:r>
          </w:p>
        </w:tc>
        <w:tc>
          <w:tcPr>
            <w:tcW w:w="24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420" w:type="dxa"/>
            <w:vAlign w:val="bottom"/>
          </w:tcPr>
          <w:p>
            <w:pPr>
              <w:spacing w:after="0"/>
              <w:rPr>
                <w:sz w:val="17"/>
                <w:szCs w:val="17"/>
                <w:color w:val="auto"/>
              </w:rPr>
            </w:pPr>
          </w:p>
        </w:tc>
        <w:tc>
          <w:tcPr>
            <w:tcW w:w="260" w:type="dxa"/>
            <w:vAlign w:val="bottom"/>
          </w:tcPr>
          <w:p>
            <w:pPr>
              <w:jc w:val="right"/>
              <w:ind w:right="119"/>
              <w:spacing w:after="0"/>
              <w:rPr>
                <w:sz w:val="20"/>
                <w:szCs w:val="20"/>
                <w:color w:val="auto"/>
              </w:rPr>
            </w:pPr>
            <w:r>
              <w:rPr>
                <w:rFonts w:ascii="Arial" w:cs="Arial" w:eastAsia="Arial" w:hAnsi="Arial"/>
                <w:sz w:val="16"/>
                <w:szCs w:val="16"/>
                <w:i w:val="1"/>
                <w:iCs w:val="1"/>
                <w:color w:val="auto"/>
              </w:rPr>
              <w:t>​</w:t>
            </w:r>
          </w:p>
        </w:tc>
        <w:tc>
          <w:tcPr>
            <w:tcW w:w="160" w:type="dxa"/>
            <w:vAlign w:val="bottom"/>
            <w:gridSpan w:val="5"/>
          </w:tcPr>
          <w:p>
            <w:pPr>
              <w:ind w:left="20"/>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tc>
        <w:tc>
          <w:tcPr>
            <w:tcW w:w="560" w:type="dxa"/>
            <w:vAlign w:val="bottom"/>
          </w:tcPr>
          <w:p>
            <w:pPr>
              <w:spacing w:after="0"/>
              <w:rPr>
                <w:sz w:val="17"/>
                <w:szCs w:val="17"/>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i w:val="1"/>
                <w:iCs w:val="1"/>
                <w:color w:val="auto"/>
              </w:rPr>
              <w:t>​​​​</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6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300" w:type="dxa"/>
            <w:vAlign w:val="bottom"/>
            <w:gridSpan w:val="4"/>
          </w:tcPr>
          <w:p>
            <w:pPr>
              <w:ind w:left="20"/>
              <w:spacing w:after="0"/>
              <w:rPr>
                <w:sz w:val="20"/>
                <w:szCs w:val="20"/>
                <w:color w:val="auto"/>
              </w:rPr>
            </w:pPr>
            <w:r>
              <w:rPr>
                <w:rFonts w:ascii="Arial" w:cs="Arial" w:eastAsia="Arial" w:hAnsi="Arial"/>
                <w:sz w:val="16"/>
                <w:szCs w:val="16"/>
                <w:i w:val="1"/>
                <w:iCs w:val="1"/>
                <w:color w:val="auto"/>
              </w:rPr>
              <w:t>​​​ ​</w:t>
            </w:r>
          </w:p>
        </w:tc>
        <w:tc>
          <w:tcPr>
            <w:tcW w:w="6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3C5896"/>
          </w:tcPr>
          <w:p>
            <w:pPr>
              <w:spacing w:after="0"/>
              <w:rPr>
                <w:sz w:val="19"/>
                <w:szCs w:val="19"/>
                <w:color w:val="auto"/>
              </w:rPr>
            </w:pPr>
          </w:p>
        </w:tc>
        <w:tc>
          <w:tcPr>
            <w:tcW w:w="39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Qualifying Termination of Employment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920" w:type="dxa"/>
            <w:vAlign w:val="bottom"/>
            <w:gridSpan w:val="6"/>
          </w:tcPr>
          <w:p>
            <w:pPr>
              <w:jc w:val="right"/>
              <w:spacing w:after="0"/>
              <w:rPr>
                <w:sz w:val="20"/>
                <w:szCs w:val="20"/>
                <w:color w:val="auto"/>
              </w:rPr>
            </w:pPr>
            <w:r>
              <w:rPr>
                <w:rFonts w:ascii="Arial" w:cs="Arial" w:eastAsia="Arial" w:hAnsi="Arial"/>
                <w:sz w:val="16"/>
                <w:szCs w:val="16"/>
                <w:color w:val="auto"/>
              </w:rPr>
              <w:t>536,207 ​​​</w:t>
            </w:r>
          </w:p>
        </w:tc>
        <w:tc>
          <w:tcPr>
            <w:tcW w:w="920" w:type="dxa"/>
            <w:vAlign w:val="bottom"/>
            <w:gridSpan w:val="4"/>
          </w:tcPr>
          <w:p>
            <w:pPr>
              <w:ind w:left="1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23,926</w:t>
            </w:r>
          </w:p>
        </w:tc>
        <w:tc>
          <w:tcPr>
            <w:tcW w:w="860" w:type="dxa"/>
            <w:vAlign w:val="bottom"/>
            <w:gridSpan w:val="9"/>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107,471 ​​​</w:t>
            </w:r>
          </w:p>
        </w:tc>
        <w:tc>
          <w:tcPr>
            <w:tcW w:w="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gridSpan w:val="4"/>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72,166</w:t>
            </w:r>
          </w:p>
        </w:tc>
        <w:tc>
          <w:tcPr>
            <w:tcW w:w="100" w:type="dxa"/>
            <w:vAlign w:val="bottom"/>
            <w:tcBorders>
              <w:right w:val="single" w:sz="8" w:color="3C5896"/>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20" w:type="dxa"/>
            <w:vAlign w:val="bottom"/>
            <w:shd w:val="clear" w:color="auto" w:fill="3C5896"/>
          </w:tcPr>
          <w:p>
            <w:pPr>
              <w:spacing w:after="0"/>
              <w:rPr>
                <w:sz w:val="6"/>
                <w:szCs w:val="6"/>
                <w:color w:val="auto"/>
              </w:rPr>
            </w:pPr>
          </w:p>
        </w:tc>
        <w:tc>
          <w:tcPr>
            <w:tcW w:w="39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920" w:type="dxa"/>
            <w:vAlign w:val="bottom"/>
            <w:gridSpan w:val="6"/>
            <w:vMerge w:val="restart"/>
          </w:tcPr>
          <w:p>
            <w:pPr>
              <w:jc w:val="right"/>
              <w:spacing w:after="0"/>
              <w:rPr>
                <w:sz w:val="20"/>
                <w:szCs w:val="20"/>
                <w:color w:val="auto"/>
              </w:rPr>
            </w:pPr>
            <w:r>
              <w:rPr>
                <w:rFonts w:ascii="Arial" w:cs="Arial" w:eastAsia="Arial" w:hAnsi="Arial"/>
                <w:sz w:val="16"/>
                <w:szCs w:val="16"/>
                <w:color w:val="auto"/>
              </w:rPr>
              <w:t>824,310 ​​​</w:t>
            </w:r>
          </w:p>
        </w:tc>
        <w:tc>
          <w:tcPr>
            <w:tcW w:w="92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35,890</w:t>
            </w:r>
          </w:p>
        </w:tc>
        <w:tc>
          <w:tcPr>
            <w:tcW w:w="860" w:type="dxa"/>
            <w:vAlign w:val="bottom"/>
            <w:gridSpan w:val="9"/>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204,991 ​​​</w:t>
            </w:r>
          </w:p>
        </w:tc>
        <w:tc>
          <w:tcPr>
            <w:tcW w:w="80" w:type="dxa"/>
            <w:vAlign w:val="bottom"/>
          </w:tcPr>
          <w:p>
            <w:pPr>
              <w:spacing w:after="0"/>
              <w:rPr>
                <w:sz w:val="6"/>
                <w:szCs w:val="6"/>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546,036</w:t>
            </w:r>
          </w:p>
        </w:tc>
        <w:tc>
          <w:tcPr>
            <w:tcW w:w="300" w:type="dxa"/>
            <w:vAlign w:val="bottom"/>
            <w:gridSpan w:val="4"/>
            <w:vMerge w:val="restart"/>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428,935</w:t>
            </w:r>
          </w:p>
        </w:tc>
        <w:tc>
          <w:tcPr>
            <w:tcW w:w="100" w:type="dxa"/>
            <w:vAlign w:val="bottom"/>
            <w:tcBorders>
              <w:right w:val="single" w:sz="8" w:color="3C5896"/>
            </w:tcBorders>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shd w:val="clear" w:color="auto" w:fill="3C5896"/>
          </w:tcPr>
          <w:p>
            <w:pPr>
              <w:spacing w:after="0"/>
              <w:rPr>
                <w:sz w:val="14"/>
                <w:szCs w:val="14"/>
                <w:color w:val="auto"/>
              </w:rPr>
            </w:pPr>
          </w:p>
        </w:tc>
        <w:tc>
          <w:tcPr>
            <w:tcW w:w="39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Qualifying Termination following Change in Control</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920" w:type="dxa"/>
            <w:vAlign w:val="bottom"/>
            <w:gridSpan w:val="6"/>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860" w:type="dxa"/>
            <w:vAlign w:val="bottom"/>
            <w:gridSpan w:val="9"/>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Borders>
              <w:right w:val="single" w:sz="8" w:color="3C5896"/>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shd w:val="clear" w:color="auto" w:fill="3C5896"/>
          </w:tcPr>
          <w:p>
            <w:pPr>
              <w:spacing w:after="0"/>
              <w:rPr>
                <w:sz w:val="4"/>
                <w:szCs w:val="4"/>
                <w:color w:val="auto"/>
              </w:rPr>
            </w:pPr>
          </w:p>
        </w:tc>
        <w:tc>
          <w:tcPr>
            <w:tcW w:w="39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500" w:type="dxa"/>
            <w:vAlign w:val="bottom"/>
          </w:tcPr>
          <w:p>
            <w:pPr>
              <w:spacing w:after="0"/>
              <w:rPr>
                <w:sz w:val="4"/>
                <w:szCs w:val="4"/>
                <w:color w:val="auto"/>
              </w:rPr>
            </w:pPr>
          </w:p>
        </w:tc>
        <w:tc>
          <w:tcPr>
            <w:tcW w:w="420" w:type="dxa"/>
            <w:vAlign w:val="bottom"/>
            <w:gridSpan w:val="5"/>
            <w:vMerge w:val="restart"/>
          </w:tcPr>
          <w:p>
            <w:pPr>
              <w:jc w:val="right"/>
              <w:spacing w:after="0"/>
              <w:rPr>
                <w:sz w:val="20"/>
                <w:szCs w:val="20"/>
                <w:color w:val="auto"/>
              </w:rPr>
            </w:pPr>
            <w:r>
              <w:rPr>
                <w:rFonts w:ascii="Arial" w:cs="Arial" w:eastAsia="Arial" w:hAnsi="Arial"/>
                <w:sz w:val="16"/>
                <w:szCs w:val="16"/>
                <w:color w:val="auto"/>
              </w:rPr>
              <w:t>— ​​​</w:t>
            </w:r>
          </w:p>
        </w:tc>
        <w:tc>
          <w:tcPr>
            <w:tcW w:w="2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2"/>
            <w:vMerge w:val="restart"/>
          </w:tcPr>
          <w:p>
            <w:pPr>
              <w:ind w:left="260"/>
              <w:spacing w:after="0"/>
              <w:rPr>
                <w:sz w:val="20"/>
                <w:szCs w:val="20"/>
                <w:color w:val="auto"/>
              </w:rPr>
            </w:pPr>
            <w:r>
              <w:rPr>
                <w:rFonts w:ascii="Arial" w:cs="Arial" w:eastAsia="Arial" w:hAnsi="Arial"/>
                <w:sz w:val="16"/>
                <w:szCs w:val="16"/>
                <w:color w:val="auto"/>
              </w:rPr>
              <w:t>—</w:t>
            </w:r>
          </w:p>
        </w:tc>
        <w:tc>
          <w:tcPr>
            <w:tcW w:w="860" w:type="dxa"/>
            <w:vAlign w:val="bottom"/>
            <w:gridSpan w:val="9"/>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204,991 ​​​</w:t>
            </w:r>
          </w:p>
        </w:tc>
        <w:tc>
          <w:tcPr>
            <w:tcW w:w="80" w:type="dxa"/>
            <w:vAlign w:val="bottom"/>
          </w:tcPr>
          <w:p>
            <w:pPr>
              <w:spacing w:after="0"/>
              <w:rPr>
                <w:sz w:val="4"/>
                <w:szCs w:val="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825,812</w:t>
            </w:r>
          </w:p>
        </w:tc>
        <w:tc>
          <w:tcPr>
            <w:tcW w:w="300" w:type="dxa"/>
            <w:vAlign w:val="bottom"/>
            <w:gridSpan w:val="4"/>
            <w:vMerge w:val="restart"/>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428,935</w:t>
            </w:r>
          </w:p>
        </w:tc>
        <w:tc>
          <w:tcPr>
            <w:tcW w:w="100" w:type="dxa"/>
            <w:vAlign w:val="bottom"/>
            <w:tcBorders>
              <w:right w:val="single" w:sz="8" w:color="3C5896"/>
            </w:tcBorders>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3C5896"/>
          </w:tcPr>
          <w:p>
            <w:pPr>
              <w:spacing w:after="0"/>
              <w:rPr>
                <w:sz w:val="18"/>
                <w:szCs w:val="18"/>
                <w:color w:val="auto"/>
              </w:rPr>
            </w:pPr>
          </w:p>
        </w:tc>
        <w:tc>
          <w:tcPr>
            <w:tcW w:w="3960" w:type="dxa"/>
            <w:vAlign w:val="bottom"/>
            <w:gridSpan w:val="2"/>
          </w:tcPr>
          <w:p>
            <w:pPr>
              <w:ind w:left="40"/>
              <w:spacing w:after="0"/>
              <w:rPr>
                <w:sz w:val="20"/>
                <w:szCs w:val="20"/>
                <w:color w:val="auto"/>
              </w:rPr>
            </w:pPr>
            <w:r>
              <w:rPr>
                <w:rFonts w:ascii="Arial" w:cs="Arial" w:eastAsia="Arial" w:hAnsi="Arial"/>
                <w:sz w:val="16"/>
                <w:szCs w:val="16"/>
                <w:i w:val="1"/>
                <w:iCs w:val="1"/>
                <w:color w:val="auto"/>
              </w:rPr>
              <w:t>Termination Upon Death or Disability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gridSpan w:val="5"/>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60" w:type="dxa"/>
            <w:vAlign w:val="bottom"/>
            <w:gridSpan w:val="9"/>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300" w:type="dxa"/>
            <w:vAlign w:val="bottom"/>
            <w:gridSpan w:val="4"/>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Borders>
              <w:right w:val="single" w:sz="8" w:color="3C5896"/>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3C5896"/>
            </w:tcBorders>
            <w:shd w:val="clear" w:color="auto" w:fill="3C5896"/>
          </w:tcPr>
          <w:p>
            <w:pPr>
              <w:spacing w:after="0"/>
              <w:rPr>
                <w:sz w:val="2"/>
                <w:szCs w:val="2"/>
                <w:color w:val="auto"/>
              </w:rPr>
            </w:pPr>
          </w:p>
        </w:tc>
        <w:tc>
          <w:tcPr>
            <w:tcW w:w="1600" w:type="dxa"/>
            <w:vAlign w:val="bottom"/>
            <w:tcBorders>
              <w:bottom w:val="single" w:sz="8" w:color="3C5896"/>
            </w:tcBorders>
          </w:tcPr>
          <w:p>
            <w:pPr>
              <w:spacing w:after="0"/>
              <w:rPr>
                <w:sz w:val="2"/>
                <w:szCs w:val="2"/>
                <w:color w:val="auto"/>
              </w:rPr>
            </w:pPr>
          </w:p>
        </w:tc>
        <w:tc>
          <w:tcPr>
            <w:tcW w:w="2360" w:type="dxa"/>
            <w:vAlign w:val="bottom"/>
            <w:tcBorders>
              <w:bottom w:val="single" w:sz="8" w:color="3C5896"/>
            </w:tcBorders>
          </w:tcPr>
          <w:p>
            <w:pPr>
              <w:spacing w:after="0"/>
              <w:rPr>
                <w:sz w:val="2"/>
                <w:szCs w:val="2"/>
                <w:color w:val="auto"/>
              </w:rPr>
            </w:pPr>
          </w:p>
        </w:tc>
        <w:tc>
          <w:tcPr>
            <w:tcW w:w="280" w:type="dxa"/>
            <w:vAlign w:val="bottom"/>
            <w:tcBorders>
              <w:bottom w:val="single" w:sz="8" w:color="3C5896"/>
            </w:tcBorders>
          </w:tcPr>
          <w:p>
            <w:pPr>
              <w:spacing w:after="0"/>
              <w:rPr>
                <w:sz w:val="2"/>
                <w:szCs w:val="2"/>
                <w:color w:val="auto"/>
              </w:rPr>
            </w:pPr>
          </w:p>
        </w:tc>
        <w:tc>
          <w:tcPr>
            <w:tcW w:w="20" w:type="dxa"/>
            <w:vAlign w:val="bottom"/>
            <w:tcBorders>
              <w:bottom w:val="single" w:sz="8" w:color="3C5896"/>
            </w:tcBorders>
          </w:tcPr>
          <w:p>
            <w:pPr>
              <w:spacing w:after="0"/>
              <w:rPr>
                <w:sz w:val="2"/>
                <w:szCs w:val="2"/>
                <w:color w:val="auto"/>
              </w:rPr>
            </w:pPr>
          </w:p>
        </w:tc>
        <w:tc>
          <w:tcPr>
            <w:tcW w:w="20" w:type="dxa"/>
            <w:vAlign w:val="bottom"/>
            <w:tcBorders>
              <w:bottom w:val="single" w:sz="8" w:color="3C5896"/>
            </w:tcBorders>
          </w:tcPr>
          <w:p>
            <w:pPr>
              <w:spacing w:after="0"/>
              <w:rPr>
                <w:sz w:val="2"/>
                <w:szCs w:val="2"/>
                <w:color w:val="auto"/>
              </w:rPr>
            </w:pPr>
          </w:p>
        </w:tc>
        <w:tc>
          <w:tcPr>
            <w:tcW w:w="40" w:type="dxa"/>
            <w:vAlign w:val="bottom"/>
            <w:tcBorders>
              <w:bottom w:val="single" w:sz="8" w:color="3C5896"/>
            </w:tcBorders>
          </w:tcPr>
          <w:p>
            <w:pPr>
              <w:spacing w:after="0"/>
              <w:rPr>
                <w:sz w:val="2"/>
                <w:szCs w:val="2"/>
                <w:color w:val="auto"/>
              </w:rPr>
            </w:pPr>
          </w:p>
        </w:tc>
        <w:tc>
          <w:tcPr>
            <w:tcW w:w="80" w:type="dxa"/>
            <w:vAlign w:val="bottom"/>
            <w:tcBorders>
              <w:bottom w:val="single" w:sz="8" w:color="3C5896"/>
            </w:tcBorders>
          </w:tcPr>
          <w:p>
            <w:pPr>
              <w:spacing w:after="0"/>
              <w:rPr>
                <w:sz w:val="2"/>
                <w:szCs w:val="2"/>
                <w:color w:val="auto"/>
              </w:rPr>
            </w:pPr>
          </w:p>
        </w:tc>
        <w:tc>
          <w:tcPr>
            <w:tcW w:w="500" w:type="dxa"/>
            <w:vAlign w:val="bottom"/>
            <w:tcBorders>
              <w:bottom w:val="single" w:sz="8" w:color="3C5896"/>
            </w:tcBorders>
          </w:tcPr>
          <w:p>
            <w:pPr>
              <w:spacing w:after="0"/>
              <w:rPr>
                <w:sz w:val="2"/>
                <w:szCs w:val="2"/>
                <w:color w:val="auto"/>
              </w:rPr>
            </w:pPr>
          </w:p>
        </w:tc>
        <w:tc>
          <w:tcPr>
            <w:tcW w:w="200" w:type="dxa"/>
            <w:vAlign w:val="bottom"/>
            <w:tcBorders>
              <w:bottom w:val="single" w:sz="8" w:color="3C5896"/>
            </w:tcBorders>
          </w:tcPr>
          <w:p>
            <w:pPr>
              <w:spacing w:after="0"/>
              <w:rPr>
                <w:sz w:val="2"/>
                <w:szCs w:val="2"/>
                <w:color w:val="auto"/>
              </w:rPr>
            </w:pPr>
          </w:p>
        </w:tc>
        <w:tc>
          <w:tcPr>
            <w:tcW w:w="80" w:type="dxa"/>
            <w:vAlign w:val="bottom"/>
            <w:tcBorders>
              <w:bottom w:val="single" w:sz="8" w:color="3C5896"/>
            </w:tcBorders>
          </w:tcPr>
          <w:p>
            <w:pPr>
              <w:spacing w:after="0"/>
              <w:rPr>
                <w:sz w:val="2"/>
                <w:szCs w:val="2"/>
                <w:color w:val="auto"/>
              </w:rPr>
            </w:pPr>
          </w:p>
        </w:tc>
        <w:tc>
          <w:tcPr>
            <w:tcW w:w="20" w:type="dxa"/>
            <w:vAlign w:val="bottom"/>
            <w:tcBorders>
              <w:bottom w:val="single" w:sz="8" w:color="3C5896"/>
            </w:tcBorders>
          </w:tcPr>
          <w:p>
            <w:pPr>
              <w:spacing w:after="0"/>
              <w:rPr>
                <w:sz w:val="2"/>
                <w:szCs w:val="2"/>
                <w:color w:val="auto"/>
              </w:rPr>
            </w:pPr>
          </w:p>
        </w:tc>
        <w:tc>
          <w:tcPr>
            <w:tcW w:w="20" w:type="dxa"/>
            <w:vAlign w:val="bottom"/>
            <w:tcBorders>
              <w:bottom w:val="single" w:sz="8" w:color="3C5896"/>
            </w:tcBorders>
          </w:tcPr>
          <w:p>
            <w:pPr>
              <w:spacing w:after="0"/>
              <w:rPr>
                <w:sz w:val="2"/>
                <w:szCs w:val="2"/>
                <w:color w:val="auto"/>
              </w:rPr>
            </w:pPr>
          </w:p>
        </w:tc>
        <w:tc>
          <w:tcPr>
            <w:tcW w:w="100" w:type="dxa"/>
            <w:vAlign w:val="bottom"/>
            <w:tcBorders>
              <w:bottom w:val="single" w:sz="8" w:color="3C5896"/>
            </w:tcBorders>
          </w:tcPr>
          <w:p>
            <w:pPr>
              <w:spacing w:after="0"/>
              <w:rPr>
                <w:sz w:val="2"/>
                <w:szCs w:val="2"/>
                <w:color w:val="auto"/>
              </w:rPr>
            </w:pPr>
          </w:p>
        </w:tc>
        <w:tc>
          <w:tcPr>
            <w:tcW w:w="160" w:type="dxa"/>
            <w:vAlign w:val="bottom"/>
            <w:tcBorders>
              <w:bottom w:val="single" w:sz="8" w:color="3C5896"/>
            </w:tcBorders>
          </w:tcPr>
          <w:p>
            <w:pPr>
              <w:spacing w:after="0"/>
              <w:rPr>
                <w:sz w:val="2"/>
                <w:szCs w:val="2"/>
                <w:color w:val="auto"/>
              </w:rPr>
            </w:pPr>
          </w:p>
        </w:tc>
        <w:tc>
          <w:tcPr>
            <w:tcW w:w="80" w:type="dxa"/>
            <w:vAlign w:val="bottom"/>
            <w:tcBorders>
              <w:bottom w:val="single" w:sz="8" w:color="3C5896"/>
            </w:tcBorders>
          </w:tcPr>
          <w:p>
            <w:pPr>
              <w:spacing w:after="0"/>
              <w:rPr>
                <w:sz w:val="2"/>
                <w:szCs w:val="2"/>
                <w:color w:val="auto"/>
              </w:rPr>
            </w:pPr>
          </w:p>
        </w:tc>
        <w:tc>
          <w:tcPr>
            <w:tcW w:w="420" w:type="dxa"/>
            <w:vAlign w:val="bottom"/>
            <w:tcBorders>
              <w:bottom w:val="single" w:sz="8" w:color="3C5896"/>
            </w:tcBorders>
          </w:tcPr>
          <w:p>
            <w:pPr>
              <w:spacing w:after="0"/>
              <w:rPr>
                <w:sz w:val="2"/>
                <w:szCs w:val="2"/>
                <w:color w:val="auto"/>
              </w:rPr>
            </w:pPr>
          </w:p>
        </w:tc>
        <w:tc>
          <w:tcPr>
            <w:tcW w:w="260" w:type="dxa"/>
            <w:vAlign w:val="bottom"/>
            <w:tcBorders>
              <w:bottom w:val="single" w:sz="8" w:color="3C5896"/>
            </w:tcBorders>
          </w:tcPr>
          <w:p>
            <w:pPr>
              <w:spacing w:after="0"/>
              <w:rPr>
                <w:sz w:val="2"/>
                <w:szCs w:val="2"/>
                <w:color w:val="auto"/>
              </w:rPr>
            </w:pPr>
          </w:p>
        </w:tc>
        <w:tc>
          <w:tcPr>
            <w:tcW w:w="40" w:type="dxa"/>
            <w:vAlign w:val="bottom"/>
            <w:tcBorders>
              <w:bottom w:val="single" w:sz="8" w:color="3C5896"/>
            </w:tcBorders>
          </w:tcPr>
          <w:p>
            <w:pPr>
              <w:spacing w:after="0"/>
              <w:rPr>
                <w:sz w:val="2"/>
                <w:szCs w:val="2"/>
                <w:color w:val="auto"/>
              </w:rPr>
            </w:pPr>
          </w:p>
        </w:tc>
        <w:tc>
          <w:tcPr>
            <w:tcW w:w="20" w:type="dxa"/>
            <w:vAlign w:val="bottom"/>
            <w:tcBorders>
              <w:bottom w:val="single" w:sz="8" w:color="3C5896"/>
            </w:tcBorders>
          </w:tcPr>
          <w:p>
            <w:pPr>
              <w:spacing w:after="0"/>
              <w:rPr>
                <w:sz w:val="2"/>
                <w:szCs w:val="2"/>
                <w:color w:val="auto"/>
              </w:rPr>
            </w:pPr>
          </w:p>
        </w:tc>
        <w:tc>
          <w:tcPr>
            <w:tcW w:w="20" w:type="dxa"/>
            <w:vAlign w:val="bottom"/>
            <w:tcBorders>
              <w:bottom w:val="single" w:sz="8" w:color="3C5896"/>
            </w:tcBorders>
          </w:tcPr>
          <w:p>
            <w:pPr>
              <w:spacing w:after="0"/>
              <w:rPr>
                <w:sz w:val="2"/>
                <w:szCs w:val="2"/>
                <w:color w:val="auto"/>
              </w:rPr>
            </w:pPr>
          </w:p>
        </w:tc>
        <w:tc>
          <w:tcPr>
            <w:tcW w:w="20" w:type="dxa"/>
            <w:vAlign w:val="bottom"/>
            <w:tcBorders>
              <w:bottom w:val="single" w:sz="8" w:color="3C5896"/>
            </w:tcBorders>
          </w:tcPr>
          <w:p>
            <w:pPr>
              <w:spacing w:after="0"/>
              <w:rPr>
                <w:sz w:val="2"/>
                <w:szCs w:val="2"/>
                <w:color w:val="auto"/>
              </w:rPr>
            </w:pPr>
          </w:p>
        </w:tc>
        <w:tc>
          <w:tcPr>
            <w:tcW w:w="60" w:type="dxa"/>
            <w:vAlign w:val="bottom"/>
            <w:tcBorders>
              <w:bottom w:val="single" w:sz="8" w:color="3C5896"/>
            </w:tcBorders>
          </w:tcPr>
          <w:p>
            <w:pPr>
              <w:spacing w:after="0"/>
              <w:rPr>
                <w:sz w:val="2"/>
                <w:szCs w:val="2"/>
                <w:color w:val="auto"/>
              </w:rPr>
            </w:pPr>
          </w:p>
        </w:tc>
        <w:tc>
          <w:tcPr>
            <w:tcW w:w="560" w:type="dxa"/>
            <w:vAlign w:val="bottom"/>
            <w:tcBorders>
              <w:bottom w:val="single" w:sz="8" w:color="3C5896"/>
            </w:tcBorders>
          </w:tcPr>
          <w:p>
            <w:pPr>
              <w:spacing w:after="0"/>
              <w:rPr>
                <w:sz w:val="2"/>
                <w:szCs w:val="2"/>
                <w:color w:val="auto"/>
              </w:rPr>
            </w:pPr>
          </w:p>
        </w:tc>
        <w:tc>
          <w:tcPr>
            <w:tcW w:w="60" w:type="dxa"/>
            <w:vAlign w:val="bottom"/>
            <w:tcBorders>
              <w:bottom w:val="single" w:sz="8" w:color="3C5896"/>
            </w:tcBorders>
          </w:tcPr>
          <w:p>
            <w:pPr>
              <w:spacing w:after="0"/>
              <w:rPr>
                <w:sz w:val="2"/>
                <w:szCs w:val="2"/>
                <w:color w:val="auto"/>
              </w:rPr>
            </w:pPr>
          </w:p>
        </w:tc>
        <w:tc>
          <w:tcPr>
            <w:tcW w:w="40" w:type="dxa"/>
            <w:vAlign w:val="bottom"/>
            <w:tcBorders>
              <w:bottom w:val="single" w:sz="8" w:color="3C5896"/>
            </w:tcBorders>
          </w:tcPr>
          <w:p>
            <w:pPr>
              <w:spacing w:after="0"/>
              <w:rPr>
                <w:sz w:val="2"/>
                <w:szCs w:val="2"/>
                <w:color w:val="auto"/>
              </w:rPr>
            </w:pPr>
          </w:p>
        </w:tc>
        <w:tc>
          <w:tcPr>
            <w:tcW w:w="40" w:type="dxa"/>
            <w:vAlign w:val="bottom"/>
            <w:tcBorders>
              <w:bottom w:val="single" w:sz="8" w:color="3C5896"/>
            </w:tcBorders>
          </w:tcPr>
          <w:p>
            <w:pPr>
              <w:spacing w:after="0"/>
              <w:rPr>
                <w:sz w:val="2"/>
                <w:szCs w:val="2"/>
                <w:color w:val="auto"/>
              </w:rPr>
            </w:pPr>
          </w:p>
        </w:tc>
        <w:tc>
          <w:tcPr>
            <w:tcW w:w="80" w:type="dxa"/>
            <w:vAlign w:val="bottom"/>
            <w:tcBorders>
              <w:bottom w:val="single" w:sz="8" w:color="3C5896"/>
            </w:tcBorders>
          </w:tcPr>
          <w:p>
            <w:pPr>
              <w:spacing w:after="0"/>
              <w:rPr>
                <w:sz w:val="2"/>
                <w:szCs w:val="2"/>
                <w:color w:val="auto"/>
              </w:rPr>
            </w:pPr>
          </w:p>
        </w:tc>
        <w:tc>
          <w:tcPr>
            <w:tcW w:w="120" w:type="dxa"/>
            <w:vAlign w:val="bottom"/>
            <w:tcBorders>
              <w:bottom w:val="single" w:sz="8" w:color="3C5896"/>
            </w:tcBorders>
          </w:tcPr>
          <w:p>
            <w:pPr>
              <w:spacing w:after="0"/>
              <w:rPr>
                <w:sz w:val="2"/>
                <w:szCs w:val="2"/>
                <w:color w:val="auto"/>
              </w:rPr>
            </w:pPr>
          </w:p>
        </w:tc>
        <w:tc>
          <w:tcPr>
            <w:tcW w:w="640" w:type="dxa"/>
            <w:vAlign w:val="bottom"/>
            <w:tcBorders>
              <w:bottom w:val="single" w:sz="8" w:color="3C5896"/>
            </w:tcBorders>
          </w:tcPr>
          <w:p>
            <w:pPr>
              <w:spacing w:after="0"/>
              <w:rPr>
                <w:sz w:val="2"/>
                <w:szCs w:val="2"/>
                <w:color w:val="auto"/>
              </w:rPr>
            </w:pPr>
          </w:p>
        </w:tc>
        <w:tc>
          <w:tcPr>
            <w:tcW w:w="120" w:type="dxa"/>
            <w:vAlign w:val="bottom"/>
            <w:tcBorders>
              <w:bottom w:val="single" w:sz="8" w:color="3C5896"/>
            </w:tcBorders>
          </w:tcPr>
          <w:p>
            <w:pPr>
              <w:spacing w:after="0"/>
              <w:rPr>
                <w:sz w:val="2"/>
                <w:szCs w:val="2"/>
                <w:color w:val="auto"/>
              </w:rPr>
            </w:pPr>
          </w:p>
        </w:tc>
        <w:tc>
          <w:tcPr>
            <w:tcW w:w="80" w:type="dxa"/>
            <w:vAlign w:val="bottom"/>
            <w:tcBorders>
              <w:bottom w:val="single" w:sz="8" w:color="3C5896"/>
            </w:tcBorders>
          </w:tcPr>
          <w:p>
            <w:pPr>
              <w:spacing w:after="0"/>
              <w:rPr>
                <w:sz w:val="2"/>
                <w:szCs w:val="2"/>
                <w:color w:val="auto"/>
              </w:rPr>
            </w:pPr>
          </w:p>
        </w:tc>
        <w:tc>
          <w:tcPr>
            <w:tcW w:w="20" w:type="dxa"/>
            <w:vAlign w:val="bottom"/>
            <w:tcBorders>
              <w:bottom w:val="single" w:sz="8" w:color="3C5896"/>
            </w:tcBorders>
          </w:tcPr>
          <w:p>
            <w:pPr>
              <w:spacing w:after="0"/>
              <w:rPr>
                <w:sz w:val="2"/>
                <w:szCs w:val="2"/>
                <w:color w:val="auto"/>
              </w:rPr>
            </w:pPr>
          </w:p>
        </w:tc>
        <w:tc>
          <w:tcPr>
            <w:tcW w:w="100" w:type="dxa"/>
            <w:vAlign w:val="bottom"/>
            <w:tcBorders>
              <w:bottom w:val="single" w:sz="8" w:color="3C5896"/>
            </w:tcBorders>
          </w:tcPr>
          <w:p>
            <w:pPr>
              <w:spacing w:after="0"/>
              <w:rPr>
                <w:sz w:val="2"/>
                <w:szCs w:val="2"/>
                <w:color w:val="auto"/>
              </w:rPr>
            </w:pPr>
          </w:p>
        </w:tc>
        <w:tc>
          <w:tcPr>
            <w:tcW w:w="100" w:type="dxa"/>
            <w:vAlign w:val="bottom"/>
            <w:tcBorders>
              <w:bottom w:val="single" w:sz="8" w:color="3C5896"/>
            </w:tcBorders>
          </w:tcPr>
          <w:p>
            <w:pPr>
              <w:spacing w:after="0"/>
              <w:rPr>
                <w:sz w:val="2"/>
                <w:szCs w:val="2"/>
                <w:color w:val="auto"/>
              </w:rPr>
            </w:pPr>
          </w:p>
        </w:tc>
        <w:tc>
          <w:tcPr>
            <w:tcW w:w="640" w:type="dxa"/>
            <w:vAlign w:val="bottom"/>
            <w:tcBorders>
              <w:bottom w:val="single" w:sz="8" w:color="3C5896"/>
            </w:tcBorders>
          </w:tcPr>
          <w:p>
            <w:pPr>
              <w:spacing w:after="0"/>
              <w:rPr>
                <w:sz w:val="2"/>
                <w:szCs w:val="2"/>
                <w:color w:val="auto"/>
              </w:rPr>
            </w:pPr>
          </w:p>
        </w:tc>
        <w:tc>
          <w:tcPr>
            <w:tcW w:w="80" w:type="dxa"/>
            <w:vAlign w:val="bottom"/>
            <w:tcBorders>
              <w:bottom w:val="single" w:sz="8" w:color="3C5896"/>
            </w:tcBorders>
          </w:tcPr>
          <w:p>
            <w:pPr>
              <w:spacing w:after="0"/>
              <w:rPr>
                <w:sz w:val="2"/>
                <w:szCs w:val="2"/>
                <w:color w:val="auto"/>
              </w:rPr>
            </w:pPr>
          </w:p>
        </w:tc>
        <w:tc>
          <w:tcPr>
            <w:tcW w:w="100" w:type="dxa"/>
            <w:vAlign w:val="bottom"/>
            <w:tcBorders>
              <w:bottom w:val="single" w:sz="8" w:color="3C5896"/>
              <w:right w:val="single" w:sz="8" w:color="3C589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-2477135</wp:posOffset>
            </wp:positionV>
            <wp:extent cx="3111500" cy="6172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111500" cy="61722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-1242695</wp:posOffset>
            </wp:positionV>
            <wp:extent cx="3111500" cy="6172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11500" cy="617220"/>
                    </a:xfrm>
                    <a:prstGeom prst="rect">
                      <a:avLst/>
                    </a:prstGeom>
                    <a:noFill/>
                  </pic:spPr>
                </pic:pic>
              </a:graphicData>
            </a:graphic>
          </wp:anchor>
        </w:drawing>
      </w:r>
    </w:p>
    <w:p>
      <w:pPr>
        <w:spacing w:after="0" w:line="17" w:lineRule="exact"/>
        <w:rPr>
          <w:sz w:val="20"/>
          <w:szCs w:val="20"/>
          <w:color w:val="auto"/>
        </w:rPr>
      </w:pPr>
    </w:p>
    <w:p>
      <w:pPr>
        <w:jc w:val="both"/>
        <w:ind w:left="1120" w:hanging="358"/>
        <w:spacing w:after="0" w:line="254"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Amounts reported for Messrs. Fahs, Moore, Francis, Brandman and Clark represent (i) upon a Qualifying Termination of employment (A) a lump-sum pro-rata bonus for the year of termination, based on actual performance and (B) the cash severance amount, times the multiplier applicable to such executive (2.0 for Mr. Fahs; 1.5 for Messrs. Moore and Brandman; 1.0 for Messrs. Francis and Clark), payable over 24 months (Mr. Fahs), 18 months (Messrs. Moore and Brandman) and 12 months (Messrs. Francis and Clark) and (ii) upon a Qualifying Termination of employment in the two-year period following a change in control (A) a lump-sum pro-rata bonus for the year of termination, based on target performance, (B) the cash severance amount, times the multiplier applicable to such executive (2.5 for Mr. Fahs; 2.0 for Messrs. Moore and Brandman; 1.5 for Messrs. Francis and Clark),</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payable over 30 months (Mr. Fahs), 24 months (Messrs. Moore and Brandman,) and 18 months (Messrs. Francis and Clark) and</w:t>
      </w:r>
    </w:p>
    <w:p>
      <w:pPr>
        <w:spacing w:after="0" w:line="6" w:lineRule="exact"/>
        <w:rPr>
          <w:sz w:val="20"/>
          <w:szCs w:val="20"/>
          <w:color w:val="auto"/>
        </w:rPr>
      </w:pPr>
    </w:p>
    <w:p>
      <w:pPr>
        <w:ind w:left="1120"/>
        <w:spacing w:after="0" w:line="282" w:lineRule="auto"/>
        <w:rPr>
          <w:sz w:val="20"/>
          <w:szCs w:val="20"/>
          <w:color w:val="auto"/>
        </w:rPr>
      </w:pPr>
      <w:r>
        <w:rPr>
          <w:rFonts w:ascii="Arial" w:cs="Arial" w:eastAsia="Arial" w:hAnsi="Arial"/>
          <w:sz w:val="15"/>
          <w:szCs w:val="15"/>
          <w:color w:val="auto"/>
        </w:rPr>
        <w:t>(C) payment of, or reimbursement for, up to $20,000 in outplacement services within the six-month period following termination of employment.</w:t>
      </w:r>
    </w:p>
    <w:p>
      <w:pPr>
        <w:spacing w:after="0" w:line="26" w:lineRule="exact"/>
        <w:rPr>
          <w:sz w:val="20"/>
          <w:szCs w:val="20"/>
          <w:color w:val="auto"/>
        </w:rPr>
      </w:pPr>
    </w:p>
    <w:p>
      <w:pPr>
        <w:jc w:val="both"/>
        <w:ind w:left="1120" w:hanging="358"/>
        <w:spacing w:after="0" w:line="263"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amounts reported represent the cost of providing each applicable NEO with the welfare benefit (i) upon a Qualifying Termination of employment, for 24 months (Mr. Fahs), 18 months (Messrs. Moore and Brandman), and 12 months (Messrs. Francis and Clark) and (ii) upon a Qualifying Termination of employment in the two-year period following a change in control, for 30 months (Mr. Fahs), 24 months (Messrs. Moore and Brandman), and 18 months (Messrs. Francis and Clark).</w:t>
      </w:r>
    </w:p>
    <w:p>
      <w:pPr>
        <w:spacing w:after="0" w:line="53" w:lineRule="exact"/>
        <w:rPr>
          <w:rFonts w:ascii="Arial" w:cs="Arial" w:eastAsia="Arial" w:hAnsi="Arial"/>
          <w:sz w:val="15"/>
          <w:szCs w:val="15"/>
          <w:color w:val="auto"/>
        </w:rPr>
      </w:pPr>
    </w:p>
    <w:p>
      <w:pPr>
        <w:jc w:val="both"/>
        <w:ind w:left="1120" w:hanging="358"/>
        <w:spacing w:after="0" w:line="266"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amounts reported represent accelerated vesting of unvested options upon a Qualifying Termination of employment, a Qualifying Termination of employment following a change in control and as a result of termination upon death or disability, as applicable, and are based on the closing price of our common stock of $47.99 per share on December 31, 2021, the last trading day in fiscal 2021.</w:t>
      </w:r>
    </w:p>
    <w:p>
      <w:pPr>
        <w:spacing w:after="0" w:line="222" w:lineRule="exact"/>
        <w:rPr>
          <w:rFonts w:ascii="Arial" w:cs="Arial" w:eastAsia="Arial" w:hAnsi="Arial"/>
          <w:sz w:val="15"/>
          <w:szCs w:val="15"/>
          <w:color w:val="auto"/>
        </w:rPr>
      </w:pPr>
    </w:p>
    <w:p>
      <w:pPr>
        <w:jc w:val="both"/>
        <w:ind w:left="1120" w:hanging="358"/>
        <w:spacing w:after="0" w:line="273"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amounts reported represent vesting of PSUs upon a Qualifying Termination of employment, a Qualifying Termination of employment following a change in control, and as a result of termination upon death or disability, as applicable, and are based on the closing price of our common stock of $47.99 per share on December 31, 2021, the last trading day in fiscal 2021.</w:t>
      </w:r>
    </w:p>
    <w:p>
      <w:pPr>
        <w:spacing w:after="0" w:line="32" w:lineRule="exact"/>
        <w:rPr>
          <w:rFonts w:ascii="Arial" w:cs="Arial" w:eastAsia="Arial" w:hAnsi="Arial"/>
          <w:sz w:val="15"/>
          <w:szCs w:val="15"/>
          <w:color w:val="auto"/>
        </w:rPr>
      </w:pPr>
    </w:p>
    <w:p>
      <w:pPr>
        <w:jc w:val="both"/>
        <w:ind w:left="1120" w:hanging="358"/>
        <w:spacing w:after="0" w:line="273"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amounts reported represent vesting of RSUs upon a Qualifying Termination of employment, a Qualifying Termination of employment following a change in control and as a result of termination upon death or disability, as applicable, and are based on the closing price of our common stock of $47.99 per share on December 31, 2021, the last trading day in fiscal 2021.</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During fiscal 2021, none of the members of our compensation committee has at any time been one of our executive officers or employees or, other than as noted herein and in the Transactions with Related Persons section above, had any relationship requiring disclosure by the Company. During 2021, none of our executive officers served as a member of the compensation committee (or other committee serving an equivalent function) or as a director of any other entity whose executive officers served on our compensation committee or Board of Directors.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46  </w:t>
      </w:r>
      <w:r>
        <w:rPr>
          <w:sz w:val="1"/>
          <w:szCs w:val="1"/>
          <w:color w:val="auto"/>
        </w:rPr>
        <w:drawing>
          <wp:inline distT="0" distB="0" distL="0" distR="0">
            <wp:extent cx="300355" cy="24003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FFFFFF"/>
        </w:rPr>
        <w:t>EXECUTIVE COMPENSATION​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numbers in the following table are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111760</wp:posOffset>
            </wp:positionV>
            <wp:extent cx="5837555" cy="1817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37555" cy="181737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920" w:hanging="1124"/>
        <w:spacing w:after="0"/>
        <w:tabs>
          <w:tab w:leader="none" w:pos="1920" w:val="left"/>
        </w:tabs>
        <w:numPr>
          <w:ilvl w:val="0"/>
          <w:numId w:val="44"/>
        </w:numPr>
        <w:rPr>
          <w:rFonts w:ascii="Arial" w:cs="Arial" w:eastAsia="Arial" w:hAnsi="Arial"/>
          <w:sz w:val="18"/>
          <w:szCs w:val="18"/>
          <w:b w:val="1"/>
          <w:bCs w:val="1"/>
          <w:color w:val="FFFFFF"/>
        </w:rPr>
      </w:pPr>
      <w:r>
        <w:rPr>
          <w:rFonts w:ascii="Arial" w:cs="Arial" w:eastAsia="Arial" w:hAnsi="Arial"/>
          <w:sz w:val="18"/>
          <w:szCs w:val="18"/>
          <w:b w:val="1"/>
          <w:bCs w:val="1"/>
          <w:color w:val="FFFFFF"/>
        </w:rPr>
        <w:t>Plan category</w:t>
      </w:r>
    </w:p>
    <w:p>
      <w:pPr>
        <w:spacing w:after="0" w:line="67" w:lineRule="exact"/>
        <w:rPr>
          <w:sz w:val="20"/>
          <w:szCs w:val="20"/>
          <w:color w:val="auto"/>
        </w:rPr>
      </w:pPr>
    </w:p>
    <w:p>
      <w:pPr>
        <w:ind w:left="800" w:right="60" w:firstLine="20"/>
        <w:spacing w:after="0" w:line="269" w:lineRule="auto"/>
        <w:rPr>
          <w:sz w:val="20"/>
          <w:szCs w:val="20"/>
          <w:color w:val="auto"/>
        </w:rPr>
      </w:pPr>
      <w:r>
        <w:rPr>
          <w:rFonts w:ascii="Arial" w:cs="Arial" w:eastAsia="Arial" w:hAnsi="Arial"/>
          <w:sz w:val="18"/>
          <w:szCs w:val="18"/>
          <w:color w:val="auto"/>
        </w:rPr>
        <w:t>Equity compensation plans approved by ​ security holders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Equity compensation plans not approved</w:t>
      </w:r>
    </w:p>
    <w:p>
      <w:pPr>
        <w:spacing w:after="0" w:line="29" w:lineRule="exact"/>
        <w:rPr>
          <w:sz w:val="20"/>
          <w:szCs w:val="20"/>
          <w:color w:val="auto"/>
        </w:rPr>
      </w:pPr>
    </w:p>
    <w:p>
      <w:pPr>
        <w:ind w:left="800" w:right="1580" w:hanging="4"/>
        <w:spacing w:after="0" w:line="319"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security holders ​Total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20" w:type="dxa"/>
            <w:vAlign w:val="bottom"/>
          </w:tcPr>
          <w:p>
            <w:pPr>
              <w:spacing w:after="0"/>
              <w:rPr>
                <w:sz w:val="19"/>
                <w:szCs w:val="19"/>
                <w:color w:val="auto"/>
              </w:rPr>
            </w:pPr>
          </w:p>
        </w:tc>
        <w:tc>
          <w:tcPr>
            <w:tcW w:w="17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FFFFFF"/>
                <w:w w:val="99"/>
              </w:rPr>
              <w:t>Number of</w:t>
            </w:r>
          </w:p>
        </w:tc>
        <w:tc>
          <w:tcPr>
            <w:tcW w:w="140" w:type="dxa"/>
            <w:vAlign w:val="bottom"/>
          </w:tcPr>
          <w:p>
            <w:pPr>
              <w:spacing w:after="0"/>
              <w:rPr>
                <w:sz w:val="19"/>
                <w:szCs w:val="1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8"/>
              </w:rPr>
              <w:t>Weighted-</w:t>
            </w:r>
          </w:p>
        </w:tc>
        <w:tc>
          <w:tcPr>
            <w:tcW w:w="16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FFFFFF"/>
                <w:w w:val="99"/>
              </w:rPr>
              <w:t>Number of securities</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2100" w:type="dxa"/>
            <w:vAlign w:val="bottom"/>
            <w:gridSpan w:val="3"/>
          </w:tcPr>
          <w:p>
            <w:pPr>
              <w:jc w:val="center"/>
              <w:ind w:left="30"/>
              <w:spacing w:after="0" w:line="189" w:lineRule="exact"/>
              <w:rPr>
                <w:sz w:val="20"/>
                <w:szCs w:val="20"/>
                <w:color w:val="auto"/>
              </w:rPr>
            </w:pPr>
            <w:r>
              <w:rPr>
                <w:rFonts w:ascii="Arial" w:cs="Arial" w:eastAsia="Arial" w:hAnsi="Arial"/>
                <w:sz w:val="18"/>
                <w:szCs w:val="18"/>
                <w:b w:val="1"/>
                <w:bCs w:val="1"/>
                <w:color w:val="FFFFFF"/>
                <w:w w:val="98"/>
              </w:rPr>
              <w:t>remaining available for</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7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FFFFFF"/>
                <w:w w:val="99"/>
              </w:rPr>
              <w:t>securities to be</w:t>
            </w:r>
          </w:p>
        </w:tc>
        <w:tc>
          <w:tcPr>
            <w:tcW w:w="14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8"/>
                <w:szCs w:val="18"/>
                <w:b w:val="1"/>
                <w:bCs w:val="1"/>
                <w:color w:val="FFFFFF"/>
              </w:rPr>
              <w:t>average exercise</w:t>
            </w:r>
          </w:p>
        </w:tc>
        <w:tc>
          <w:tcPr>
            <w:tcW w:w="160" w:type="dxa"/>
            <w:vAlign w:val="bottom"/>
          </w:tcPr>
          <w:p>
            <w:pPr>
              <w:spacing w:after="0"/>
              <w:rPr>
                <w:sz w:val="16"/>
                <w:szCs w:val="16"/>
                <w:color w:val="auto"/>
              </w:rPr>
            </w:pPr>
          </w:p>
        </w:tc>
        <w:tc>
          <w:tcPr>
            <w:tcW w:w="19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FFFFFF"/>
                <w:w w:val="98"/>
              </w:rPr>
              <w:t>future issuance under</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9"/>
              </w:rPr>
              <w:t>issued upon</w:t>
            </w:r>
          </w:p>
        </w:tc>
        <w:tc>
          <w:tcPr>
            <w:tcW w:w="1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rPr>
              <w:t>price of</w:t>
            </w:r>
          </w:p>
        </w:tc>
        <w:tc>
          <w:tcPr>
            <w:tcW w:w="16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8"/>
              </w:rPr>
              <w:t>equity compensation</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9"/>
              </w:rPr>
              <w:t>exercise of</w:t>
            </w:r>
          </w:p>
        </w:tc>
        <w:tc>
          <w:tcPr>
            <w:tcW w:w="1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8"/>
              </w:rPr>
              <w:t>outstanding</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center"/>
              <w:ind w:right="590"/>
              <w:spacing w:after="0" w:line="202" w:lineRule="exact"/>
              <w:rPr>
                <w:sz w:val="20"/>
                <w:szCs w:val="20"/>
                <w:color w:val="auto"/>
              </w:rPr>
            </w:pPr>
            <w:r>
              <w:rPr>
                <w:rFonts w:ascii="Arial" w:cs="Arial" w:eastAsia="Arial" w:hAnsi="Arial"/>
                <w:sz w:val="18"/>
                <w:szCs w:val="18"/>
                <w:b w:val="1"/>
                <w:bCs w:val="1"/>
                <w:color w:val="FFFFFF"/>
                <w:w w:val="97"/>
              </w:rPr>
              <w:t>plans</w:t>
            </w:r>
          </w:p>
        </w:tc>
        <w:tc>
          <w:tcPr>
            <w:tcW w:w="0" w:type="dxa"/>
            <w:vAlign w:val="bottom"/>
          </w:tcPr>
          <w:p>
            <w:pPr>
              <w:spacing w:after="0"/>
              <w:rPr>
                <w:sz w:val="1"/>
                <w:szCs w:val="1"/>
                <w:color w:val="auto"/>
              </w:rPr>
            </w:pPr>
          </w:p>
        </w:tc>
      </w:tr>
      <w:tr>
        <w:trPr>
          <w:trHeight w:val="189"/>
        </w:trPr>
        <w:tc>
          <w:tcPr>
            <w:tcW w:w="188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FFFFFF"/>
                <w:w w:val="99"/>
              </w:rPr>
              <w:t>outstanding options,</w:t>
            </w:r>
          </w:p>
        </w:tc>
        <w:tc>
          <w:tcPr>
            <w:tcW w:w="1640" w:type="dxa"/>
            <w:vAlign w:val="bottom"/>
            <w:gridSpan w:val="2"/>
          </w:tcPr>
          <w:p>
            <w:pPr>
              <w:jc w:val="center"/>
              <w:ind w:left="10"/>
              <w:spacing w:after="0" w:line="189" w:lineRule="exact"/>
              <w:rPr>
                <w:sz w:val="20"/>
                <w:szCs w:val="20"/>
                <w:color w:val="auto"/>
              </w:rPr>
            </w:pPr>
            <w:r>
              <w:rPr>
                <w:rFonts w:ascii="Arial" w:cs="Arial" w:eastAsia="Arial" w:hAnsi="Arial"/>
                <w:sz w:val="18"/>
                <w:szCs w:val="18"/>
                <w:b w:val="1"/>
                <w:bCs w:val="1"/>
                <w:color w:val="FFFFFF"/>
                <w:w w:val="99"/>
              </w:rPr>
              <w:t>options, warrants</w:t>
            </w:r>
          </w:p>
        </w:tc>
        <w:tc>
          <w:tcPr>
            <w:tcW w:w="160" w:type="dxa"/>
            <w:vAlign w:val="bottom"/>
          </w:tcPr>
          <w:p>
            <w:pPr>
              <w:spacing w:after="0"/>
              <w:rPr>
                <w:sz w:val="16"/>
                <w:szCs w:val="16"/>
                <w:color w:val="auto"/>
              </w:rPr>
            </w:pPr>
          </w:p>
        </w:tc>
        <w:tc>
          <w:tcPr>
            <w:tcW w:w="19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FFFFFF"/>
                <w:w w:val="99"/>
              </w:rPr>
              <w:t>(excluding securities</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FFFFFF"/>
                <w:w w:val="99"/>
              </w:rPr>
              <w:t>warrants and rights</w:t>
            </w:r>
          </w:p>
        </w:tc>
        <w:tc>
          <w:tcPr>
            <w:tcW w:w="1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FFFFFF"/>
                <w:w w:val="98"/>
              </w:rPr>
              <w:t>and rights</w:t>
            </w:r>
          </w:p>
        </w:tc>
        <w:tc>
          <w:tcPr>
            <w:tcW w:w="2100" w:type="dxa"/>
            <w:vAlign w:val="bottom"/>
            <w:gridSpan w:val="3"/>
          </w:tcPr>
          <w:p>
            <w:pPr>
              <w:jc w:val="center"/>
              <w:ind w:left="30"/>
              <w:spacing w:after="0" w:line="202" w:lineRule="exact"/>
              <w:rPr>
                <w:sz w:val="20"/>
                <w:szCs w:val="20"/>
                <w:color w:val="auto"/>
              </w:rPr>
            </w:pPr>
            <w:r>
              <w:rPr>
                <w:rFonts w:ascii="Arial" w:cs="Arial" w:eastAsia="Arial" w:hAnsi="Arial"/>
                <w:sz w:val="18"/>
                <w:szCs w:val="18"/>
                <w:b w:val="1"/>
                <w:bCs w:val="1"/>
                <w:color w:val="FFFFFF"/>
                <w:w w:val="99"/>
              </w:rPr>
              <w:t>reflected in column (a))</w:t>
            </w:r>
          </w:p>
        </w:tc>
        <w:tc>
          <w:tcPr>
            <w:tcW w:w="0" w:type="dxa"/>
            <w:vAlign w:val="bottom"/>
          </w:tcPr>
          <w:p>
            <w:pPr>
              <w:spacing w:after="0"/>
              <w:rPr>
                <w:sz w:val="1"/>
                <w:szCs w:val="1"/>
                <w:color w:val="auto"/>
              </w:rPr>
            </w:pPr>
          </w:p>
        </w:tc>
      </w:tr>
      <w:tr>
        <w:trPr>
          <w:trHeight w:val="262"/>
        </w:trPr>
        <w:tc>
          <w:tcPr>
            <w:tcW w:w="120" w:type="dxa"/>
            <w:vAlign w:val="bottom"/>
          </w:tcPr>
          <w:p>
            <w:pPr>
              <w:ind w:left="20"/>
              <w:spacing w:after="0"/>
              <w:rPr>
                <w:sz w:val="20"/>
                <w:szCs w:val="20"/>
                <w:color w:val="auto"/>
              </w:rPr>
            </w:pPr>
            <w:r>
              <w:rPr>
                <w:rFonts w:ascii="Arial" w:cs="Arial" w:eastAsia="Arial" w:hAnsi="Arial"/>
                <w:sz w:val="18"/>
                <w:szCs w:val="18"/>
                <w:b w:val="1"/>
                <w:bCs w:val="1"/>
                <w:color w:val="FFFFFF"/>
              </w:rPr>
              <w:t>​​</w:t>
            </w:r>
          </w:p>
        </w:tc>
        <w:tc>
          <w:tcPr>
            <w:tcW w:w="640" w:type="dxa"/>
            <w:vAlign w:val="bottom"/>
          </w:tcPr>
          <w:p>
            <w:pPr>
              <w:spacing w:after="0"/>
              <w:rPr>
                <w:sz w:val="22"/>
                <w:szCs w:val="22"/>
                <w:color w:val="auto"/>
              </w:rPr>
            </w:pPr>
          </w:p>
        </w:tc>
        <w:tc>
          <w:tcPr>
            <w:tcW w:w="1120" w:type="dxa"/>
            <w:vAlign w:val="bottom"/>
          </w:tcPr>
          <w:p>
            <w:pPr>
              <w:jc w:val="center"/>
              <w:ind w:right="570"/>
              <w:spacing w:after="0"/>
              <w:rPr>
                <w:sz w:val="20"/>
                <w:szCs w:val="20"/>
                <w:color w:val="auto"/>
              </w:rPr>
            </w:pPr>
            <w:r>
              <w:rPr>
                <w:rFonts w:ascii="Arial" w:cs="Arial" w:eastAsia="Arial" w:hAnsi="Arial"/>
                <w:sz w:val="18"/>
                <w:szCs w:val="18"/>
                <w:b w:val="1"/>
                <w:bCs w:val="1"/>
                <w:color w:val="FFFFFF"/>
                <w:w w:val="99"/>
              </w:rPr>
              <w:t>(a)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FFFFFF"/>
                <w:w w:val="95"/>
              </w:rPr>
              <w:t>(b)</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640" w:type="dxa"/>
            <w:vAlign w:val="bottom"/>
          </w:tcPr>
          <w:p>
            <w:pPr>
              <w:spacing w:after="0"/>
              <w:rPr>
                <w:sz w:val="22"/>
                <w:szCs w:val="22"/>
                <w:color w:val="auto"/>
              </w:rPr>
            </w:pPr>
          </w:p>
        </w:tc>
        <w:tc>
          <w:tcPr>
            <w:tcW w:w="1300" w:type="dxa"/>
            <w:vAlign w:val="bottom"/>
          </w:tcPr>
          <w:p>
            <w:pPr>
              <w:jc w:val="center"/>
              <w:ind w:right="550"/>
              <w:spacing w:after="0"/>
              <w:rPr>
                <w:sz w:val="20"/>
                <w:szCs w:val="20"/>
                <w:color w:val="auto"/>
              </w:rPr>
            </w:pPr>
            <w:r>
              <w:rPr>
                <w:rFonts w:ascii="Arial" w:cs="Arial" w:eastAsia="Arial" w:hAnsi="Arial"/>
                <w:sz w:val="18"/>
                <w:szCs w:val="18"/>
                <w:b w:val="1"/>
                <w:bCs w:val="1"/>
                <w:color w:val="FFFFFF"/>
                <w:w w:val="99"/>
              </w:rPr>
              <w:t>(c)</w:t>
            </w:r>
          </w:p>
        </w:tc>
        <w:tc>
          <w:tcPr>
            <w:tcW w:w="0" w:type="dxa"/>
            <w:vAlign w:val="bottom"/>
          </w:tcPr>
          <w:p>
            <w:pPr>
              <w:spacing w:after="0"/>
              <w:rPr>
                <w:sz w:val="1"/>
                <w:szCs w:val="1"/>
                <w:color w:val="auto"/>
              </w:rPr>
            </w:pPr>
          </w:p>
        </w:tc>
      </w:tr>
      <w:tr>
        <w:trPr>
          <w:trHeight w:val="473"/>
        </w:trPr>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10"/>
              <w:spacing w:after="0"/>
              <w:rPr>
                <w:sz w:val="20"/>
                <w:szCs w:val="20"/>
                <w:color w:val="auto"/>
              </w:rPr>
            </w:pPr>
            <w:r>
              <w:rPr>
                <w:rFonts w:ascii="Arial" w:cs="Arial" w:eastAsia="Arial" w:hAnsi="Arial"/>
                <w:sz w:val="18"/>
                <w:szCs w:val="18"/>
                <w:color w:val="auto"/>
              </w:rPr>
              <w:t>​1,459,556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​$28.06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12,014,960</w:t>
            </w:r>
          </w:p>
        </w:tc>
        <w:tc>
          <w:tcPr>
            <w:tcW w:w="0" w:type="dxa"/>
            <w:vAlign w:val="bottom"/>
          </w:tcPr>
          <w:p>
            <w:pPr>
              <w:spacing w:after="0"/>
              <w:rPr>
                <w:sz w:val="1"/>
                <w:szCs w:val="1"/>
                <w:color w:val="auto"/>
              </w:rPr>
            </w:pPr>
          </w:p>
        </w:tc>
      </w:tr>
      <w:tr>
        <w:trPr>
          <w:trHeight w:val="473"/>
        </w:trPr>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 ​ N/A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10"/>
              <w:spacing w:after="0"/>
              <w:rPr>
                <w:sz w:val="20"/>
                <w:szCs w:val="20"/>
                <w:color w:val="auto"/>
              </w:rPr>
            </w:pPr>
            <w:r>
              <w:rPr>
                <w:rFonts w:ascii="Arial" w:cs="Arial" w:eastAsia="Arial" w:hAnsi="Arial"/>
                <w:sz w:val="18"/>
                <w:szCs w:val="18"/>
                <w:color w:val="auto"/>
              </w:rPr>
              <w:t>​1,459,556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rPr>
              <w:t>​$28.06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12,014,960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sectPr>
          <w:pgSz w:w="11900" w:h="16838" w:orient="portrait"/>
          <w:cols w:equalWidth="0" w:num="3">
            <w:col w:w="4060" w:space="160"/>
            <w:col w:w="5620" w:space="40"/>
            <w:col w:w="80"/>
          </w:cols>
          <w:pgMar w:left="580" w:top="97" w:right="1359" w:bottom="1440" w:gutter="0" w:footer="0" w:header="0"/>
          <w:type w:val="continuous"/>
        </w:sectPr>
      </w:pPr>
    </w:p>
    <w:p>
      <w:pPr>
        <w:jc w:val="both"/>
        <w:ind w:left="1120" w:hanging="358"/>
        <w:spacing w:after="0" w:line="263" w:lineRule="auto"/>
        <w:tabs>
          <w:tab w:leader="none" w:pos="11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247,607 shares issuable under the 2014 Stock Incentive Plan. The weighted-average exercise price of such options within this plan is $14.28. Includes 1,217,331 shares issuable under the 2017 Omnibus Incentive Plan. Included within the 1,217,331 shares are 316,744 shares that could be issued upon the vesting of PSU awards, assuming target level of achievement. The weighted-average exercise price of such options within this plan is $34.52.</w:t>
      </w:r>
    </w:p>
    <w:p>
      <w:pPr>
        <w:spacing w:after="0" w:line="40" w:lineRule="exact"/>
        <w:rPr>
          <w:rFonts w:ascii="Arial" w:cs="Arial" w:eastAsia="Arial" w:hAnsi="Arial"/>
          <w:sz w:val="15"/>
          <w:szCs w:val="15"/>
          <w:color w:val="auto"/>
        </w:rPr>
      </w:pPr>
    </w:p>
    <w:p>
      <w:pPr>
        <w:ind w:left="1120" w:hanging="358"/>
        <w:spacing w:after="0" w:line="283" w:lineRule="auto"/>
        <w:tabs>
          <w:tab w:leader="none" w:pos="11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weighted-average exercise price excludes shares in of common stock that may be issued upon the settlement of restricted stock, RSUs or PSUs.</w:t>
      </w:r>
    </w:p>
    <w:p>
      <w:pPr>
        <w:spacing w:after="0" w:line="25" w:lineRule="exact"/>
        <w:rPr>
          <w:rFonts w:ascii="Arial" w:cs="Arial" w:eastAsia="Arial" w:hAnsi="Arial"/>
          <w:sz w:val="15"/>
          <w:szCs w:val="15"/>
          <w:color w:val="auto"/>
        </w:rPr>
      </w:pPr>
    </w:p>
    <w:p>
      <w:pPr>
        <w:jc w:val="both"/>
        <w:ind w:left="1120" w:hanging="358"/>
        <w:spacing w:after="0" w:line="259" w:lineRule="auto"/>
        <w:tabs>
          <w:tab w:leader="none" w:pos="11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8,804,155 shares that can be issued pursuant to future awards under the 2014 Stock Incentive Plan. Also includes 2,372,335 shares that can be issued pursuant to future awards under the 2017 Omnibus Incentive Plan. Includes 738,470 shares that can be issued under our ASPP. Total does not include (i) 9,632 shares purchased during our ASPP offering period ended February 28, 2022 and (ii) 11,229 shares subject to purchase during our current ASPP offering period ending May 28, 2022, which are estimated based on the closing price of the Company’s common stock of $36.46 on March 1, 2022, the first day in the current ASPP offering period, including the 10%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EXECUTIVE COMPENSATION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The Dodd-Frank Wall Street Reform Act and Consumer Protection Act of 2010 and the compensation disclosure rules of the SEC require the Company to disclose the ratio of the annual total compensation of Mr. Fahs, our CEO, to the median of the annual total compensation of the employees of the Company (other than our CEO) (the “CEO Pay Ratio”).</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fiscal 2021:</w:t>
      </w:r>
    </w:p>
    <w:p>
      <w:pPr>
        <w:spacing w:after="0" w:line="131" w:lineRule="exact"/>
        <w:rPr>
          <w:sz w:val="20"/>
          <w:szCs w:val="20"/>
          <w:color w:val="auto"/>
        </w:rPr>
      </w:pPr>
    </w:p>
    <w:p>
      <w:pPr>
        <w:ind w:left="1340" w:hanging="218"/>
        <w:spacing w:after="0" w:line="271" w:lineRule="auto"/>
        <w:tabs>
          <w:tab w:leader="none" w:pos="1340" w:val="left"/>
        </w:tabs>
        <w:numPr>
          <w:ilvl w:val="0"/>
          <w:numId w:val="47"/>
        </w:numPr>
        <w:rPr>
          <w:rFonts w:ascii="Arial" w:cs="Arial" w:eastAsia="Arial" w:hAnsi="Arial"/>
          <w:sz w:val="18"/>
          <w:szCs w:val="18"/>
          <w:color w:val="3C5896"/>
        </w:rPr>
      </w:pPr>
      <w:r>
        <w:rPr>
          <w:rFonts w:ascii="Arial" w:cs="Arial" w:eastAsia="Arial" w:hAnsi="Arial"/>
          <w:sz w:val="18"/>
          <w:szCs w:val="18"/>
          <w:color w:val="auto"/>
        </w:rPr>
        <w:t>the median of the annual total compensation of all our employees (other than Mr. Fahs, our CEO), was $22,798; and</w:t>
      </w:r>
    </w:p>
    <w:p>
      <w:pPr>
        <w:spacing w:after="0" w:line="59" w:lineRule="exact"/>
        <w:rPr>
          <w:rFonts w:ascii="Arial" w:cs="Arial" w:eastAsia="Arial" w:hAnsi="Arial"/>
          <w:sz w:val="18"/>
          <w:szCs w:val="18"/>
          <w:color w:val="3C5896"/>
        </w:rPr>
      </w:pPr>
    </w:p>
    <w:p>
      <w:pPr>
        <w:ind w:left="1340" w:hanging="218"/>
        <w:spacing w:after="0" w:line="271" w:lineRule="auto"/>
        <w:tabs>
          <w:tab w:leader="none" w:pos="1340" w:val="left"/>
        </w:tabs>
        <w:numPr>
          <w:ilvl w:val="0"/>
          <w:numId w:val="47"/>
        </w:numPr>
        <w:rPr>
          <w:rFonts w:ascii="Arial" w:cs="Arial" w:eastAsia="Arial" w:hAnsi="Arial"/>
          <w:sz w:val="18"/>
          <w:szCs w:val="18"/>
          <w:color w:val="3C5896"/>
        </w:rPr>
      </w:pPr>
      <w:r>
        <w:rPr>
          <w:rFonts w:ascii="Arial" w:cs="Arial" w:eastAsia="Arial" w:hAnsi="Arial"/>
          <w:sz w:val="18"/>
          <w:szCs w:val="18"/>
          <w:color w:val="auto"/>
        </w:rPr>
        <w:t>the annual total compensation of Mr. Fahs, our CEO, as reported in the Summary Compensation Table was $5,728,490.</w:t>
      </w:r>
    </w:p>
    <w:p>
      <w:pPr>
        <w:spacing w:after="0" w:line="59"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Based on this information, the ratio of the annual total compensation of our CEO to the median of the annual total compensation of all our employees was 251:1.</w:t>
      </w:r>
    </w:p>
    <w:p>
      <w:pPr>
        <w:spacing w:after="0" w:line="45"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To determine this pay ratio, we identified our median employee using our employee population as of November 1, 2021, which consisted of approximately 13,497 full-time and part-time employees, with 100% of these individuals located in the United States. No methodology was changed in determining the pay ratio. To identify our median employee, we used salary/wages and annual incentive/bonus from our payroll records in fiscal 2021 as our consistently applied compensation measure. In making this determination, we annualized the compensation of full-time and part-time employees who were hired or separated in fiscal 2021 but did not work for us for the entire fiscal year. After identifying our median employee, we calculated the median employee’s compensation for fiscal 2021 in accordance with the requirements of Item 402(c)(2)(x) of Regulation S-K of the Exchange Act. Compensation amounts were determined from our human resources and payroll systems of record.</w:t>
      </w:r>
    </w:p>
    <w:p>
      <w:pPr>
        <w:spacing w:after="0" w:line="7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Our CEO Pay Ratio is a reasonable estimate calculated in a manner consistent with Item 402(u) of Regulation S-K. Due to the flexibility afforded by Item 402(u) in allowing companies to adopt a wide range of methodologies and to make reasonable estimates and assumptions that reflect their compensation practices to identify the median employee and calculate the CEO Pay Ratio, our CEO Pay Ratio may not be comparable to the CEO pay ratios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48  </w:t>
      </w:r>
      <w:r>
        <w:rPr>
          <w:sz w:val="1"/>
          <w:szCs w:val="1"/>
          <w:color w:val="auto"/>
        </w:rPr>
        <w:drawing>
          <wp:inline distT="0" distB="0" distL="0" distR="0">
            <wp:extent cx="300355" cy="24003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FFFFFF"/>
        </w:rPr>
        <w:t>OWNERSHIP OF OUR SECURITIES​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OWNERSHIP OF OUR SECURITIES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2021 all reports required by Section 16(a) were timely filed.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Beneficial Ownership of National Vision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our common stock as of April 18, 2022 by (1) each individual or entity known by us to beneficially own more than 5% of our outstanding common stock, (2) each of our named executive officers, (3) each of our directors and director nominees and (4) all of our directors and our executive officers as a group. As of April 18, 2022, there were 81,596,628 shares of our common stock, par value $0.01 per share, outstanding.</w:t>
      </w:r>
    </w:p>
    <w:p>
      <w:pPr>
        <w:spacing w:after="0" w:line="71"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63"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63"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63"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jc w:val="right"/>
        <w:ind w:right="6120"/>
        <w:spacing w:after="0"/>
        <w:rPr>
          <w:sz w:val="20"/>
          <w:szCs w:val="20"/>
          <w:color w:val="auto"/>
        </w:rPr>
      </w:pPr>
      <w:r>
        <w:rPr>
          <w:rFonts w:ascii="Arial" w:cs="Arial" w:eastAsia="Arial" w:hAnsi="Arial"/>
          <w:sz w:val="18"/>
          <w:szCs w:val="18"/>
          <w:b w:val="1"/>
          <w:bCs w:val="1"/>
          <w:color w:val="FFFFFF"/>
        </w:rPr>
        <w:t>OWNERSHIP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5837555" cy="4465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37555" cy="446595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44" w:lineRule="exact"/>
        <w:rPr>
          <w:sz w:val="20"/>
          <w:szCs w:val="20"/>
          <w:color w:val="auto"/>
        </w:rPr>
      </w:pPr>
    </w:p>
    <w:tbl>
      <w:tblPr>
        <w:tblLayout w:type="fixed"/>
        <w:tblInd w:w="760" w:type="dxa"/>
        <w:tblCellMar>
          <w:top w:w="0" w:type="dxa"/>
          <w:left w:w="0" w:type="dxa"/>
          <w:bottom w:w="0" w:type="dxa"/>
          <w:right w:w="0" w:type="dxa"/>
        </w:tblCellMar>
      </w:tblPr>
      <w:tr>
        <w:trPr>
          <w:trHeight w:val="20"/>
        </w:trPr>
        <w:tc>
          <w:tcPr>
            <w:tcW w:w="20" w:type="dxa"/>
            <w:vAlign w:val="bottom"/>
            <w:shd w:val="clear" w:color="auto" w:fill="3C5896"/>
          </w:tcPr>
          <w:p>
            <w:pPr>
              <w:spacing w:after="0" w:line="20" w:lineRule="exact"/>
              <w:rPr>
                <w:sz w:val="1"/>
                <w:szCs w:val="1"/>
                <w:color w:val="auto"/>
              </w:rPr>
            </w:pPr>
          </w:p>
        </w:tc>
        <w:tc>
          <w:tcPr>
            <w:tcW w:w="1800" w:type="dxa"/>
            <w:vAlign w:val="bottom"/>
            <w:shd w:val="clear" w:color="auto" w:fill="3C5896"/>
          </w:tcPr>
          <w:p>
            <w:pPr>
              <w:spacing w:after="0" w:line="20" w:lineRule="exact"/>
              <w:rPr>
                <w:sz w:val="1"/>
                <w:szCs w:val="1"/>
                <w:color w:val="auto"/>
              </w:rPr>
            </w:pPr>
          </w:p>
        </w:tc>
        <w:tc>
          <w:tcPr>
            <w:tcW w:w="4080" w:type="dxa"/>
            <w:vAlign w:val="bottom"/>
            <w:shd w:val="clear" w:color="auto" w:fill="3C5896"/>
          </w:tcPr>
          <w:p>
            <w:pPr>
              <w:spacing w:after="0" w:line="20" w:lineRule="exact"/>
              <w:rPr>
                <w:sz w:val="1"/>
                <w:szCs w:val="1"/>
                <w:color w:val="auto"/>
              </w:rPr>
            </w:pPr>
          </w:p>
        </w:tc>
        <w:tc>
          <w:tcPr>
            <w:tcW w:w="60" w:type="dxa"/>
            <w:vAlign w:val="bottom"/>
            <w:tcBorders>
              <w:left w:val="single" w:sz="8" w:color="3C5896"/>
            </w:tcBorders>
          </w:tcPr>
          <w:p>
            <w:pPr>
              <w:spacing w:after="0" w:line="20" w:lineRule="exact"/>
              <w:rPr>
                <w:sz w:val="1"/>
                <w:szCs w:val="1"/>
                <w:color w:val="auto"/>
              </w:rPr>
            </w:pPr>
          </w:p>
        </w:tc>
        <w:tc>
          <w:tcPr>
            <w:tcW w:w="200" w:type="dxa"/>
            <w:vAlign w:val="bottom"/>
            <w:shd w:val="clear" w:color="auto" w:fill="3C5896"/>
          </w:tcPr>
          <w:p>
            <w:pPr>
              <w:spacing w:after="0" w:line="20" w:lineRule="exact"/>
              <w:rPr>
                <w:sz w:val="1"/>
                <w:szCs w:val="1"/>
                <w:color w:val="auto"/>
              </w:rPr>
            </w:pPr>
          </w:p>
        </w:tc>
        <w:tc>
          <w:tcPr>
            <w:tcW w:w="260" w:type="dxa"/>
            <w:vAlign w:val="bottom"/>
            <w:shd w:val="clear" w:color="auto" w:fill="3C5896"/>
          </w:tcPr>
          <w:p>
            <w:pPr>
              <w:spacing w:after="0" w:line="20" w:lineRule="exact"/>
              <w:rPr>
                <w:sz w:val="1"/>
                <w:szCs w:val="1"/>
                <w:color w:val="auto"/>
              </w:rPr>
            </w:pPr>
          </w:p>
        </w:tc>
        <w:tc>
          <w:tcPr>
            <w:tcW w:w="920" w:type="dxa"/>
            <w:vAlign w:val="bottom"/>
            <w:shd w:val="clear" w:color="auto" w:fill="3C5896"/>
          </w:tcPr>
          <w:p>
            <w:pPr>
              <w:spacing w:after="0" w:line="20" w:lineRule="exact"/>
              <w:rPr>
                <w:sz w:val="1"/>
                <w:szCs w:val="1"/>
                <w:color w:val="auto"/>
              </w:rPr>
            </w:pPr>
          </w:p>
        </w:tc>
        <w:tc>
          <w:tcPr>
            <w:tcW w:w="200" w:type="dxa"/>
            <w:vAlign w:val="bottom"/>
            <w:shd w:val="clear" w:color="auto" w:fill="3C589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20" w:type="dxa"/>
            <w:vAlign w:val="bottom"/>
          </w:tcPr>
          <w:p>
            <w:pPr>
              <w:spacing w:after="0"/>
              <w:rPr>
                <w:sz w:val="24"/>
                <w:szCs w:val="24"/>
                <w:color w:val="auto"/>
              </w:rPr>
            </w:pPr>
          </w:p>
        </w:tc>
        <w:tc>
          <w:tcPr>
            <w:tcW w:w="180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4080" w:type="dxa"/>
            <w:vAlign w:val="bottom"/>
            <w:shd w:val="clear" w:color="auto" w:fill="3C5896"/>
          </w:tcPr>
          <w:p>
            <w:pPr>
              <w:ind w:left="40"/>
              <w:spacing w:after="0"/>
              <w:rPr>
                <w:sz w:val="20"/>
                <w:szCs w:val="20"/>
                <w:color w:val="auto"/>
              </w:rPr>
            </w:pPr>
            <w:r>
              <w:rPr>
                <w:rFonts w:ascii="Arial" w:cs="Arial" w:eastAsia="Arial" w:hAnsi="Arial"/>
                <w:sz w:val="18"/>
                <w:szCs w:val="18"/>
                <w:b w:val="1"/>
                <w:bCs w:val="1"/>
                <w:color w:val="FFFFFF"/>
              </w:rPr>
              <w:t>Name of Beneficial Owner</w:t>
            </w:r>
          </w:p>
        </w:tc>
        <w:tc>
          <w:tcPr>
            <w:tcW w:w="260" w:type="dxa"/>
            <w:vAlign w:val="bottom"/>
            <w:gridSpan w:val="2"/>
          </w:tcPr>
          <w:p>
            <w:pPr>
              <w:spacing w:after="0"/>
              <w:rPr>
                <w:sz w:val="20"/>
                <w:szCs w:val="20"/>
                <w:color w:val="auto"/>
              </w:rPr>
            </w:pPr>
            <w:r>
              <w:rPr>
                <w:rFonts w:ascii="Arial" w:cs="Arial" w:eastAsia="Arial" w:hAnsi="Arial"/>
                <w:sz w:val="18"/>
                <w:szCs w:val="18"/>
                <w:b w:val="1"/>
                <w:bCs w:val="1"/>
                <w:color w:val="FFFFFF"/>
              </w:rPr>
              <w:t>​​</w:t>
            </w: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FFFFFF"/>
              </w:rPr>
              <w:t>Number</w:t>
            </w:r>
            <w:r>
              <w:rPr>
                <w:rFonts w:ascii="Arial" w:cs="Arial" w:eastAsia="Arial" w:hAnsi="Arial"/>
                <w:sz w:val="23"/>
                <w:szCs w:val="23"/>
                <w:b w:val="1"/>
                <w:bCs w:val="1"/>
                <w:color w:val="FFFFFF"/>
                <w:vertAlign w:val="superscript"/>
              </w:rPr>
              <w:t>(1)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FFFFFF"/>
              </w:rPr>
              <w:t>​​</w:t>
            </w:r>
          </w:p>
        </w:tc>
      </w:tr>
      <w:tr>
        <w:trPr>
          <w:trHeight w:val="257"/>
        </w:trPr>
        <w:tc>
          <w:tcPr>
            <w:tcW w:w="20" w:type="dxa"/>
            <w:vAlign w:val="bottom"/>
          </w:tcPr>
          <w:p>
            <w:pPr>
              <w:spacing w:after="0"/>
              <w:rPr>
                <w:sz w:val="22"/>
                <w:szCs w:val="22"/>
                <w:color w:val="auto"/>
              </w:rPr>
            </w:pPr>
          </w:p>
        </w:tc>
        <w:tc>
          <w:tcPr>
            <w:tcW w:w="5880" w:type="dxa"/>
            <w:vAlign w:val="bottom"/>
            <w:gridSpan w:val="2"/>
          </w:tcPr>
          <w:p>
            <w:pPr>
              <w:ind w:left="20"/>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Greater than 5% Stockholders:</w:t>
            </w:r>
          </w:p>
        </w:tc>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0" w:type="dxa"/>
            <w:vAlign w:val="bottom"/>
          </w:tcPr>
          <w:p>
            <w:pPr>
              <w:spacing w:after="0"/>
              <w:rPr>
                <w:sz w:val="24"/>
                <w:szCs w:val="24"/>
                <w:color w:val="auto"/>
              </w:rPr>
            </w:pPr>
          </w:p>
        </w:tc>
        <w:tc>
          <w:tcPr>
            <w:tcW w:w="5880" w:type="dxa"/>
            <w:vAlign w:val="bottom"/>
            <w:gridSpan w:val="2"/>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JPMorgan Chase &amp; Co.</w:t>
            </w:r>
            <w:r>
              <w:rPr>
                <w:rFonts w:ascii="Arial" w:cs="Arial" w:eastAsia="Arial" w:hAnsi="Arial"/>
                <w:sz w:val="21"/>
                <w:szCs w:val="21"/>
                <w:color w:val="auto"/>
                <w:vertAlign w:val="superscript"/>
              </w:rPr>
              <w:t>(2)</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​8,167,809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0" w:type="dxa"/>
            <w:vAlign w:val="bottom"/>
          </w:tcPr>
          <w:p>
            <w:pPr>
              <w:spacing w:after="0"/>
              <w:rPr>
                <w:sz w:val="24"/>
                <w:szCs w:val="24"/>
                <w:color w:val="auto"/>
              </w:rPr>
            </w:pPr>
          </w:p>
        </w:tc>
        <w:tc>
          <w:tcPr>
            <w:tcW w:w="588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The Vanguard Group</w:t>
            </w:r>
            <w:r>
              <w:rPr>
                <w:rFonts w:ascii="Arial" w:cs="Arial" w:eastAsia="Arial" w:hAnsi="Arial"/>
                <w:sz w:val="21"/>
                <w:szCs w:val="21"/>
                <w:color w:val="auto"/>
                <w:vertAlign w:val="superscript"/>
              </w:rPr>
              <w:t>(3)</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​7,649,021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1800" w:type="dxa"/>
            <w:vAlign w:val="bottom"/>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BlackRock, Inc.</w:t>
            </w:r>
            <w:r>
              <w:rPr>
                <w:rFonts w:ascii="Arial" w:cs="Arial" w:eastAsia="Arial" w:hAnsi="Arial"/>
                <w:sz w:val="21"/>
                <w:szCs w:val="21"/>
                <w:color w:val="auto"/>
                <w:vertAlign w:val="superscript"/>
              </w:rPr>
              <w:t>(4)</w:t>
            </w:r>
          </w:p>
        </w:tc>
        <w:tc>
          <w:tcPr>
            <w:tcW w:w="4080" w:type="dxa"/>
            <w:vAlign w:val="bottom"/>
            <w:shd w:val="clear" w:color="auto" w:fill="CCCCCC"/>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​6,191,002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588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William Blair Investment Management, LLC</w:t>
            </w:r>
            <w:r>
              <w:rPr>
                <w:rFonts w:ascii="Arial" w:cs="Arial" w:eastAsia="Arial" w:hAnsi="Arial"/>
                <w:sz w:val="21"/>
                <w:szCs w:val="21"/>
                <w:color w:val="auto"/>
                <w:vertAlign w:val="superscript"/>
              </w:rPr>
              <w:t>(5)</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​4,920,741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5880" w:type="dxa"/>
            <w:vAlign w:val="bottom"/>
            <w:gridSpan w:val="2"/>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AllianceBernstein, L.P.</w:t>
            </w:r>
            <w:r>
              <w:rPr>
                <w:rFonts w:ascii="Arial" w:cs="Arial" w:eastAsia="Arial" w:hAnsi="Arial"/>
                <w:sz w:val="21"/>
                <w:szCs w:val="21"/>
                <w:color w:val="auto"/>
                <w:vertAlign w:val="superscript"/>
              </w:rPr>
              <w:t>(6)</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​4,806,964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588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Adage Capital Partners, L.P.</w:t>
            </w:r>
            <w:r>
              <w:rPr>
                <w:rFonts w:ascii="Arial" w:cs="Arial" w:eastAsia="Arial" w:hAnsi="Arial"/>
                <w:sz w:val="21"/>
                <w:szCs w:val="21"/>
                <w:color w:val="auto"/>
                <w:vertAlign w:val="superscript"/>
              </w:rPr>
              <w:t>(7)</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​4,220,332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5880" w:type="dxa"/>
            <w:vAlign w:val="bottom"/>
            <w:gridSpan w:val="2"/>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ClearBridge Investments, LLC</w:t>
            </w:r>
            <w:r>
              <w:rPr>
                <w:rFonts w:ascii="Arial" w:cs="Arial" w:eastAsia="Arial" w:hAnsi="Arial"/>
                <w:sz w:val="21"/>
                <w:szCs w:val="21"/>
                <w:color w:val="auto"/>
                <w:vertAlign w:val="superscript"/>
              </w:rPr>
              <w:t>(8)</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​4,180,982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880" w:type="dxa"/>
            <w:vAlign w:val="bottom"/>
            <w:gridSpan w:val="2"/>
          </w:tcPr>
          <w:p>
            <w:pPr>
              <w:ind w:left="20"/>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Named Executive Officers and Directors:</w:t>
            </w:r>
          </w:p>
        </w:tc>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0" w:type="dxa"/>
            <w:vAlign w:val="bottom"/>
          </w:tcPr>
          <w:p>
            <w:pPr>
              <w:spacing w:after="0"/>
              <w:rPr>
                <w:sz w:val="24"/>
                <w:szCs w:val="24"/>
                <w:color w:val="auto"/>
              </w:rPr>
            </w:pPr>
          </w:p>
        </w:tc>
        <w:tc>
          <w:tcPr>
            <w:tcW w:w="1800" w:type="dxa"/>
            <w:vAlign w:val="bottom"/>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L. Reade Fahs</w:t>
            </w:r>
            <w:r>
              <w:rPr>
                <w:rFonts w:ascii="Arial" w:cs="Arial" w:eastAsia="Arial" w:hAnsi="Arial"/>
                <w:sz w:val="21"/>
                <w:szCs w:val="21"/>
                <w:color w:val="auto"/>
                <w:vertAlign w:val="superscript"/>
              </w:rPr>
              <w:t>(9)</w:t>
            </w:r>
          </w:p>
        </w:tc>
        <w:tc>
          <w:tcPr>
            <w:tcW w:w="4080" w:type="dxa"/>
            <w:vAlign w:val="bottom"/>
            <w:shd w:val="clear" w:color="auto" w:fill="CCCCCC"/>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945,244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1800" w:type="dxa"/>
            <w:vAlign w:val="bottom"/>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Patrick R. Moore</w:t>
            </w:r>
          </w:p>
        </w:tc>
        <w:tc>
          <w:tcPr>
            <w:tcW w:w="4080" w:type="dxa"/>
            <w:vAlign w:val="bottom"/>
          </w:tcPr>
          <w:p>
            <w:pPr>
              <w:spacing w:after="0"/>
              <w:rPr>
                <w:sz w:val="22"/>
                <w:szCs w:val="22"/>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169,926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1800" w:type="dxa"/>
            <w:vAlign w:val="bottom"/>
            <w:shd w:val="clear" w:color="auto" w:fill="CCCCCC"/>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Jared Brandman</w:t>
            </w:r>
          </w:p>
        </w:tc>
        <w:tc>
          <w:tcPr>
            <w:tcW w:w="4080" w:type="dxa"/>
            <w:vAlign w:val="bottom"/>
            <w:shd w:val="clear" w:color="auto" w:fill="CCCCCC"/>
          </w:tcPr>
          <w:p>
            <w:pPr>
              <w:spacing w:after="0"/>
              <w:rPr>
                <w:sz w:val="22"/>
                <w:szCs w:val="22"/>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59,331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1800" w:type="dxa"/>
            <w:vAlign w:val="bottom"/>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Bill Clark</w:t>
            </w:r>
          </w:p>
        </w:tc>
        <w:tc>
          <w:tcPr>
            <w:tcW w:w="4080" w:type="dxa"/>
            <w:vAlign w:val="bottom"/>
          </w:tcPr>
          <w:p>
            <w:pPr>
              <w:spacing w:after="0"/>
              <w:rPr>
                <w:sz w:val="22"/>
                <w:szCs w:val="22"/>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39,642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1800" w:type="dxa"/>
            <w:vAlign w:val="bottom"/>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Roger Francis</w:t>
            </w:r>
            <w:r>
              <w:rPr>
                <w:rFonts w:ascii="Arial" w:cs="Arial" w:eastAsia="Arial" w:hAnsi="Arial"/>
                <w:sz w:val="21"/>
                <w:szCs w:val="21"/>
                <w:color w:val="auto"/>
                <w:vertAlign w:val="superscript"/>
              </w:rPr>
              <w:t>(10)</w:t>
            </w:r>
          </w:p>
        </w:tc>
        <w:tc>
          <w:tcPr>
            <w:tcW w:w="4080" w:type="dxa"/>
            <w:vAlign w:val="bottom"/>
            <w:shd w:val="clear" w:color="auto" w:fill="CCCCCC"/>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4,467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588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D. Randolph Peeler</w:t>
            </w:r>
            <w:r>
              <w:rPr>
                <w:rFonts w:ascii="Arial" w:cs="Arial" w:eastAsia="Arial" w:hAnsi="Arial"/>
                <w:sz w:val="21"/>
                <w:szCs w:val="21"/>
                <w:color w:val="auto"/>
                <w:vertAlign w:val="superscript"/>
              </w:rPr>
              <w:t>(11)(12)</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71,277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1800" w:type="dxa"/>
            <w:vAlign w:val="bottom"/>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David M. Tehle</w:t>
            </w:r>
            <w:r>
              <w:rPr>
                <w:rFonts w:ascii="Arial" w:cs="Arial" w:eastAsia="Arial" w:hAnsi="Arial"/>
                <w:sz w:val="21"/>
                <w:szCs w:val="21"/>
                <w:color w:val="auto"/>
                <w:vertAlign w:val="superscript"/>
              </w:rPr>
              <w:t>(12)</w:t>
            </w:r>
          </w:p>
        </w:tc>
        <w:tc>
          <w:tcPr>
            <w:tcW w:w="4080" w:type="dxa"/>
            <w:vAlign w:val="bottom"/>
            <w:shd w:val="clear" w:color="auto" w:fill="CCCCCC"/>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17,214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1800" w:type="dxa"/>
            <w:vAlign w:val="bottom"/>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Virginia A. Hepner</w:t>
            </w:r>
            <w:r>
              <w:rPr>
                <w:rFonts w:ascii="Arial" w:cs="Arial" w:eastAsia="Arial" w:hAnsi="Arial"/>
                <w:sz w:val="21"/>
                <w:szCs w:val="21"/>
                <w:color w:val="auto"/>
                <w:vertAlign w:val="superscript"/>
              </w:rPr>
              <w:t>(12)</w:t>
            </w:r>
          </w:p>
        </w:tc>
        <w:tc>
          <w:tcPr>
            <w:tcW w:w="40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11,588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0" w:type="dxa"/>
            <w:vAlign w:val="bottom"/>
          </w:tcPr>
          <w:p>
            <w:pPr>
              <w:spacing w:after="0"/>
              <w:rPr>
                <w:sz w:val="24"/>
                <w:szCs w:val="24"/>
                <w:color w:val="auto"/>
              </w:rPr>
            </w:pPr>
          </w:p>
        </w:tc>
        <w:tc>
          <w:tcPr>
            <w:tcW w:w="5880" w:type="dxa"/>
            <w:vAlign w:val="bottom"/>
            <w:gridSpan w:val="2"/>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Thomas V. Taylor, Jr.</w:t>
            </w:r>
            <w:r>
              <w:rPr>
                <w:rFonts w:ascii="Arial" w:cs="Arial" w:eastAsia="Arial" w:hAnsi="Arial"/>
                <w:sz w:val="21"/>
                <w:szCs w:val="21"/>
                <w:color w:val="auto"/>
                <w:vertAlign w:val="superscript"/>
              </w:rPr>
              <w:t>(12)</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15,032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0" w:type="dxa"/>
            <w:vAlign w:val="bottom"/>
          </w:tcPr>
          <w:p>
            <w:pPr>
              <w:spacing w:after="0"/>
              <w:rPr>
                <w:sz w:val="24"/>
                <w:szCs w:val="24"/>
                <w:color w:val="auto"/>
              </w:rPr>
            </w:pPr>
          </w:p>
        </w:tc>
        <w:tc>
          <w:tcPr>
            <w:tcW w:w="1800" w:type="dxa"/>
            <w:vAlign w:val="bottom"/>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Heather Cianfrocco</w:t>
            </w:r>
            <w:r>
              <w:rPr>
                <w:rFonts w:ascii="Arial" w:cs="Arial" w:eastAsia="Arial" w:hAnsi="Arial"/>
                <w:sz w:val="21"/>
                <w:szCs w:val="21"/>
                <w:color w:val="auto"/>
                <w:vertAlign w:val="superscript"/>
              </w:rPr>
              <w:t>(12)</w:t>
            </w:r>
          </w:p>
        </w:tc>
        <w:tc>
          <w:tcPr>
            <w:tcW w:w="40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8,809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1800" w:type="dxa"/>
            <w:vAlign w:val="bottom"/>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Naomi Kelman</w:t>
            </w:r>
            <w:r>
              <w:rPr>
                <w:rFonts w:ascii="Arial" w:cs="Arial" w:eastAsia="Arial" w:hAnsi="Arial"/>
                <w:sz w:val="21"/>
                <w:szCs w:val="21"/>
                <w:color w:val="auto"/>
                <w:vertAlign w:val="superscript"/>
              </w:rPr>
              <w:t>(12)</w:t>
            </w:r>
          </w:p>
        </w:tc>
        <w:tc>
          <w:tcPr>
            <w:tcW w:w="4080" w:type="dxa"/>
            <w:vAlign w:val="bottom"/>
            <w:shd w:val="clear" w:color="auto" w:fill="CCCCCC"/>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4,748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tcPr>
          <w:p>
            <w:pPr>
              <w:spacing w:after="0"/>
              <w:rPr>
                <w:sz w:val="24"/>
                <w:szCs w:val="24"/>
                <w:color w:val="auto"/>
              </w:rPr>
            </w:pPr>
          </w:p>
        </w:tc>
        <w:tc>
          <w:tcPr>
            <w:tcW w:w="1800" w:type="dxa"/>
            <w:vAlign w:val="bottom"/>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Susan S. Johnson</w:t>
            </w:r>
            <w:r>
              <w:rPr>
                <w:rFonts w:ascii="Arial" w:cs="Arial" w:eastAsia="Arial" w:hAnsi="Arial"/>
                <w:sz w:val="21"/>
                <w:szCs w:val="21"/>
                <w:color w:val="auto"/>
                <w:vertAlign w:val="superscript"/>
              </w:rPr>
              <w:t>(12)</w:t>
            </w:r>
          </w:p>
        </w:tc>
        <w:tc>
          <w:tcPr>
            <w:tcW w:w="40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4,429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0" w:type="dxa"/>
            <w:vAlign w:val="bottom"/>
          </w:tcPr>
          <w:p>
            <w:pPr>
              <w:spacing w:after="0"/>
              <w:rPr>
                <w:sz w:val="24"/>
                <w:szCs w:val="24"/>
                <w:color w:val="auto"/>
              </w:rPr>
            </w:pPr>
          </w:p>
        </w:tc>
        <w:tc>
          <w:tcPr>
            <w:tcW w:w="1800" w:type="dxa"/>
            <w:vAlign w:val="bottom"/>
            <w:shd w:val="clear" w:color="auto" w:fill="CCCCCC"/>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Jose Armario</w:t>
            </w:r>
            <w:r>
              <w:rPr>
                <w:rFonts w:ascii="Arial" w:cs="Arial" w:eastAsia="Arial" w:hAnsi="Arial"/>
                <w:sz w:val="21"/>
                <w:szCs w:val="21"/>
                <w:color w:val="auto"/>
                <w:vertAlign w:val="superscript"/>
              </w:rPr>
              <w:t>(12)</w:t>
            </w:r>
          </w:p>
        </w:tc>
        <w:tc>
          <w:tcPr>
            <w:tcW w:w="4080" w:type="dxa"/>
            <w:vAlign w:val="bottom"/>
            <w:shd w:val="clear" w:color="auto" w:fill="CCCCCC"/>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4,173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(16 persons)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1,374,614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Percentage of</w:t>
      </w:r>
    </w:p>
    <w:p>
      <w:pPr>
        <w:spacing w:after="0" w:line="234" w:lineRule="auto"/>
        <w:rPr>
          <w:sz w:val="20"/>
          <w:szCs w:val="20"/>
          <w:color w:val="auto"/>
        </w:rPr>
      </w:pPr>
      <w:r>
        <w:rPr>
          <w:rFonts w:ascii="Arial" w:cs="Arial" w:eastAsia="Arial" w:hAnsi="Arial"/>
          <w:sz w:val="18"/>
          <w:szCs w:val="18"/>
          <w:b w:val="1"/>
          <w:bCs w:val="1"/>
          <w:color w:val="FFFFFF"/>
        </w:rPr>
        <w:t>Total Common</w:t>
      </w:r>
    </w:p>
    <w:p>
      <w:pPr>
        <w:spacing w:after="0" w:line="1" w:lineRule="exact"/>
        <w:rPr>
          <w:sz w:val="20"/>
          <w:szCs w:val="20"/>
          <w:color w:val="auto"/>
        </w:rPr>
      </w:pPr>
    </w:p>
    <w:p>
      <w:pPr>
        <w:jc w:val="both"/>
        <w:ind w:left="400"/>
        <w:spacing w:after="0"/>
        <w:tabs>
          <w:tab w:leader="none" w:pos="1420" w:val="left"/>
        </w:tabs>
        <w:rPr>
          <w:sz w:val="20"/>
          <w:szCs w:val="20"/>
          <w:color w:val="auto"/>
        </w:rPr>
      </w:pPr>
      <w:r>
        <w:rPr>
          <w:rFonts w:ascii="Arial" w:cs="Arial" w:eastAsia="Arial" w:hAnsi="Arial"/>
          <w:sz w:val="18"/>
          <w:szCs w:val="18"/>
          <w:b w:val="1"/>
          <w:bCs w:val="1"/>
          <w:color w:val="FFFFFF"/>
        </w:rPr>
        <w:t>Stock</w:t>
      </w:r>
      <w:r>
        <w:rPr>
          <w:sz w:val="20"/>
          <w:szCs w:val="20"/>
          <w:color w:val="auto"/>
        </w:rPr>
        <w:tab/>
      </w:r>
      <w:r>
        <w:rPr>
          <w:rFonts w:ascii="Arial" w:cs="Arial" w:eastAsia="Arial" w:hAnsi="Arial"/>
          <w:sz w:val="18"/>
          <w:szCs w:val="18"/>
          <w:b w:val="1"/>
          <w:bCs w:val="1"/>
          <w:color w:val="FFFFFF"/>
        </w:rPr>
        <w: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720" w:type="dxa"/>
            <w:vAlign w:val="bottom"/>
          </w:tcPr>
          <w:p>
            <w:pPr>
              <w:spacing w:after="0"/>
              <w:rPr>
                <w:sz w:val="20"/>
                <w:szCs w:val="20"/>
                <w:color w:val="auto"/>
              </w:rPr>
            </w:pPr>
            <w:r>
              <w:rPr>
                <w:rFonts w:ascii="Arial" w:cs="Arial" w:eastAsia="Arial" w:hAnsi="Arial"/>
                <w:sz w:val="18"/>
                <w:szCs w:val="18"/>
                <w:b w:val="1"/>
                <w:bCs w:val="1"/>
                <w:color w:val="auto"/>
              </w:rPr>
              <w:t>​   ​</w:t>
            </w:r>
          </w:p>
        </w:tc>
        <w:tc>
          <w:tcPr>
            <w:tcW w:w="300" w:type="dxa"/>
            <w:vAlign w:val="bottom"/>
          </w:tcPr>
          <w:p>
            <w:pPr>
              <w:ind w:left="220"/>
              <w:spacing w:after="0"/>
              <w:rPr>
                <w:sz w:val="20"/>
                <w:szCs w:val="20"/>
                <w:color w:val="auto"/>
              </w:rPr>
            </w:pPr>
            <w:r>
              <w:rPr>
                <w:rFonts w:ascii="Arial" w:cs="Arial" w:eastAsia="Arial" w:hAnsi="Arial"/>
                <w:sz w:val="18"/>
                <w:szCs w:val="18"/>
                <w:b w:val="1"/>
                <w:bCs w:val="1"/>
                <w:color w:val="auto"/>
              </w:rPr>
              <w:t>​​</w:t>
            </w:r>
          </w:p>
        </w:tc>
      </w:tr>
      <w:tr>
        <w:trPr>
          <w:trHeight w:val="283"/>
        </w:trPr>
        <w:tc>
          <w:tcPr>
            <w:tcW w:w="72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​10.0%</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72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9.4%</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7.6%</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72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6.0%</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72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5.9%</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72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5.2%</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315"/>
        </w:trPr>
        <w:tc>
          <w:tcPr>
            <w:tcW w:w="720" w:type="dxa"/>
            <w:vAlign w:val="bottom"/>
          </w:tcPr>
          <w:p>
            <w:pPr>
              <w:spacing w:after="0" w:line="31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5.1%</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ind w:left="220"/>
              <w:spacing w:after="0"/>
              <w:rPr>
                <w:sz w:val="20"/>
                <w:szCs w:val="20"/>
                <w:color w:val="auto"/>
              </w:rPr>
            </w:pPr>
            <w:r>
              <w:rPr>
                <w:rFonts w:ascii="Arial" w:cs="Arial" w:eastAsia="Arial" w:hAnsi="Arial"/>
                <w:sz w:val="18"/>
                <w:szCs w:val="18"/>
                <w:b w:val="1"/>
                <w:bCs w:val="1"/>
                <w:color w:val="auto"/>
              </w:rPr>
              <w:t>​​</w:t>
            </w:r>
          </w:p>
        </w:tc>
      </w:tr>
      <w:tr>
        <w:trPr>
          <w:trHeight w:val="257"/>
        </w:trPr>
        <w:tc>
          <w:tcPr>
            <w:tcW w:w="72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1.2%</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57"/>
        </w:trPr>
        <w:tc>
          <w:tcPr>
            <w:tcW w:w="160" w:type="dxa"/>
            <w:vAlign w:val="bottom"/>
          </w:tcPr>
          <w:p>
            <w:pP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56"/>
        </w:trPr>
        <w:tc>
          <w:tcPr>
            <w:tcW w:w="160" w:type="dxa"/>
            <w:vAlign w:val="bottom"/>
          </w:tcPr>
          <w:p>
            <w:pP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4"/>
        </w:trPr>
        <w:tc>
          <w:tcPr>
            <w:tcW w:w="160" w:type="dxa"/>
            <w:vAlign w:val="bottom"/>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160" w:type="dxa"/>
            <w:vAlign w:val="bottom"/>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160" w:type="dxa"/>
            <w:vAlign w:val="bottom"/>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160" w:type="dxa"/>
            <w:vAlign w:val="bottom"/>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160" w:type="dxa"/>
            <w:vAlign w:val="bottom"/>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4"/>
        </w:trPr>
        <w:tc>
          <w:tcPr>
            <w:tcW w:w="160" w:type="dxa"/>
            <w:vAlign w:val="bottom"/>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160" w:type="dxa"/>
            <w:vAlign w:val="bottom"/>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4"/>
        </w:trPr>
        <w:tc>
          <w:tcPr>
            <w:tcW w:w="160" w:type="dxa"/>
            <w:vAlign w:val="bottom"/>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83"/>
        </w:trPr>
        <w:tc>
          <w:tcPr>
            <w:tcW w:w="160" w:type="dxa"/>
            <w:vAlign w:val="bottom"/>
          </w:tcPr>
          <w:p>
            <w:pPr>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57"/>
        </w:trPr>
        <w:tc>
          <w:tcPr>
            <w:tcW w:w="160" w:type="dxa"/>
            <w:vAlign w:val="bottom"/>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 1.7%</w:t>
            </w:r>
          </w:p>
        </w:tc>
        <w:tc>
          <w:tcPr>
            <w:tcW w:w="300" w:type="dxa"/>
            <w:vAlign w:val="bottom"/>
          </w:tcPr>
          <w:p>
            <w:pPr>
              <w:ind w:left="220"/>
              <w:spacing w:after="0"/>
              <w:rPr>
                <w:sz w:val="20"/>
                <w:szCs w:val="20"/>
                <w:color w:val="auto"/>
              </w:rPr>
            </w:pPr>
            <w:r>
              <w:rPr>
                <w:rFonts w:ascii="Arial" w:cs="Arial" w:eastAsia="Arial" w:hAnsi="Arial"/>
                <w:sz w:val="18"/>
                <w:szCs w:val="18"/>
                <w:color w:val="auto"/>
              </w:rPr>
              <w:t>​​</w:t>
            </w:r>
          </w:p>
        </w:tc>
      </w:tr>
    </w:tbl>
    <w:p>
      <w:pPr>
        <w:spacing w:after="0" w:line="60" w:lineRule="exact"/>
        <w:rPr>
          <w:sz w:val="20"/>
          <w:szCs w:val="20"/>
          <w:color w:val="auto"/>
        </w:rPr>
      </w:pPr>
    </w:p>
    <w:p>
      <w:pPr>
        <w:sectPr>
          <w:pgSz w:w="11900" w:h="16838" w:orient="portrait"/>
          <w:cols w:equalWidth="0" w:num="2">
            <w:col w:w="8380" w:space="100"/>
            <w:col w:w="1480"/>
          </w:cols>
          <w:pgMar w:left="580" w:top="97" w:right="1359" w:bottom="1440" w:gutter="0" w:footer="0" w:header="0"/>
          <w:type w:val="continuous"/>
        </w:sectPr>
      </w:pPr>
    </w:p>
    <w:p>
      <w:pPr>
        <w:ind w:left="1120" w:hanging="358"/>
        <w:spacing w:after="0"/>
        <w:tabs>
          <w:tab w:leader="none" w:pos="11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84" w:lineRule="exact"/>
        <w:rPr>
          <w:sz w:val="20"/>
          <w:szCs w:val="20"/>
          <w:color w:val="auto"/>
        </w:rPr>
      </w:pPr>
    </w:p>
    <w:p>
      <w:pPr>
        <w:jc w:val="both"/>
        <w:ind w:left="1120" w:hanging="358"/>
        <w:spacing w:after="0" w:line="273"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number of shares reported includes shares covered by options that are exercisable within 60 days as follows: Mr. Fahs, 91,410; Mr. Moore, 149,594; Mr. Brandman, 45,634; Mr. Clark, 28,785; Mr. Francis, 2,228; and all directors and executive officers as a group, 271,443.</w:t>
      </w:r>
    </w:p>
    <w:p>
      <w:pPr>
        <w:spacing w:after="0" w:line="32" w:lineRule="exact"/>
        <w:rPr>
          <w:rFonts w:ascii="Arial" w:cs="Arial" w:eastAsia="Arial" w:hAnsi="Arial"/>
          <w:sz w:val="15"/>
          <w:szCs w:val="15"/>
          <w:color w:val="auto"/>
        </w:rPr>
      </w:pPr>
    </w:p>
    <w:p>
      <w:pPr>
        <w:jc w:val="both"/>
        <w:ind w:left="1120" w:hanging="358"/>
        <w:spacing w:after="0" w:line="273"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JPMorgan Chase &amp; Co. with the SEC on January 14, 2022, reporting beneficial ownership as of December 31, 2021. JPMorgan Chase &amp; Co. reported that it has sole voting power with respect to 7,641,420 shares of common stock and sole dispositive power with respect to 8,167,727 shares of common stock.</w:t>
      </w:r>
    </w:p>
    <w:p>
      <w:pPr>
        <w:spacing w:after="0" w:line="32"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The Vanguard Group with the SEC on February 10, 2022, reporting beneficial ownership as of December 31, 2021. The Vanguard Group reported that it has shared voting power with respect to 154,425 shares of common stock, sole dispositive power with respect to 7,423,242 shares of common stock, and shared dispositive power with respect to 225,779 shares of common stock.</w:t>
      </w:r>
    </w:p>
    <w:p>
      <w:pPr>
        <w:spacing w:after="0" w:line="40" w:lineRule="exact"/>
        <w:rPr>
          <w:rFonts w:ascii="Arial" w:cs="Arial" w:eastAsia="Arial" w:hAnsi="Arial"/>
          <w:sz w:val="15"/>
          <w:szCs w:val="15"/>
          <w:color w:val="auto"/>
        </w:rPr>
      </w:pPr>
    </w:p>
    <w:p>
      <w:pPr>
        <w:jc w:val="both"/>
        <w:ind w:left="1120" w:hanging="358"/>
        <w:spacing w:after="0" w:line="273"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BlackRock, Inc. with the SEC on February 3, 2022, reporting beneficial ownership as of December 31, 2021. BlackRock, Inc. reported that it has sole voting power with respect to 6,001,078 shares of common stock and sole dispositive power with respect to 6,191,002 shares of common stock.</w:t>
      </w:r>
    </w:p>
    <w:p>
      <w:pPr>
        <w:spacing w:after="0" w:line="32"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William Blair Investment Management, LLC with the SEC on February 9, 2022, reporting beneficial ownership as of December 31, 2021. William Blair Investment Management, LLC reported that it has sole voting power with respect to 4,321,847 shares of common stock and sole dispositive power with respect to 4,920,741 shares of common stock.</w:t>
      </w:r>
    </w:p>
    <w:p>
      <w:pPr>
        <w:spacing w:after="0" w:line="40" w:lineRule="exact"/>
        <w:rPr>
          <w:rFonts w:ascii="Arial" w:cs="Arial" w:eastAsia="Arial" w:hAnsi="Arial"/>
          <w:sz w:val="15"/>
          <w:szCs w:val="15"/>
          <w:color w:val="auto"/>
        </w:rPr>
      </w:pPr>
    </w:p>
    <w:p>
      <w:pPr>
        <w:jc w:val="both"/>
        <w:ind w:left="1120" w:hanging="358"/>
        <w:spacing w:after="0" w:line="263"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information is based on a Schedule 13G filed by AllianceBernstein, L.P. with the SEC on February 14, 2022, reporting beneficial ownership as of December 31, 2021. AllianceBernstein, L.P. reported that it has sole voting power with respect to 4,553,311 shares of common stock, sole dispositive power with respect to 4,806,964 shares of common stock and shared dispositive power with respect to 41,990 shares of common stock</w:t>
      </w:r>
    </w:p>
    <w:p>
      <w:pPr>
        <w:spacing w:after="0" w:line="40" w:lineRule="exact"/>
        <w:rPr>
          <w:rFonts w:ascii="Arial" w:cs="Arial" w:eastAsia="Arial" w:hAnsi="Arial"/>
          <w:sz w:val="15"/>
          <w:szCs w:val="15"/>
          <w:color w:val="auto"/>
        </w:rPr>
      </w:pPr>
    </w:p>
    <w:p>
      <w:pPr>
        <w:ind w:left="1120" w:right="20" w:hanging="358"/>
        <w:spacing w:after="0" w:line="301" w:lineRule="auto"/>
        <w:tabs>
          <w:tab w:leader="none" w:pos="11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Adage Capital Partners, L.P. with the SEC on February 10, 2022, reporting beneficial ownership as of date of the filing of the Schedule 13G/A. Each of Adage Capital Partners, L.P., Adage Capital</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50  </w:t>
      </w:r>
      <w:r>
        <w:rPr>
          <w:sz w:val="1"/>
          <w:szCs w:val="1"/>
          <w:color w:val="auto"/>
        </w:rPr>
        <w:drawing>
          <wp:inline distT="0" distB="0" distL="0" distR="0">
            <wp:extent cx="300355" cy="24003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FFFFFF"/>
        </w:rPr>
        <w:t>OWNERSHIP OF OUR SECURITIES​</w:t>
      </w:r>
    </w:p>
    <w:p>
      <w:pPr>
        <w:spacing w:after="0" w:line="226" w:lineRule="exact"/>
        <w:rPr>
          <w:sz w:val="20"/>
          <w:szCs w:val="20"/>
          <w:color w:val="auto"/>
        </w:rPr>
      </w:pPr>
    </w:p>
    <w:p>
      <w:pPr>
        <w:ind w:left="1120"/>
        <w:spacing w:after="0" w:line="283" w:lineRule="auto"/>
        <w:rPr>
          <w:sz w:val="20"/>
          <w:szCs w:val="20"/>
          <w:color w:val="auto"/>
        </w:rPr>
      </w:pPr>
      <w:r>
        <w:rPr>
          <w:rFonts w:ascii="Arial" w:cs="Arial" w:eastAsia="Arial" w:hAnsi="Arial"/>
          <w:sz w:val="15"/>
          <w:szCs w:val="15"/>
          <w:color w:val="auto"/>
        </w:rPr>
        <w:t>Partners GP, L.L.C., Adage Capital Advisors, L.L.C., Robert Atchinson and Phillip Gross reported that it has shared voting power and shared dispositive power with respect to 4,220,332 shares of common stock.</w:t>
      </w:r>
    </w:p>
    <w:p>
      <w:pPr>
        <w:spacing w:after="0" w:line="25" w:lineRule="exact"/>
        <w:rPr>
          <w:sz w:val="20"/>
          <w:szCs w:val="20"/>
          <w:color w:val="auto"/>
        </w:rPr>
      </w:pPr>
    </w:p>
    <w:p>
      <w:pPr>
        <w:jc w:val="both"/>
        <w:ind w:left="1120" w:hanging="358"/>
        <w:spacing w:after="0" w:line="273" w:lineRule="auto"/>
        <w:tabs>
          <w:tab w:leader="none" w:pos="1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information is based on a Schedule 13G/A filed by ClearBridge Investments, LLC with the SEC on February 10, 2022, reporting beneficial ownership as of December 31, 2021. ClearBridge Investments, LLC reported that it has shared voting power and shared dispositive power with respect to 4,180,982 shares of common stock.</w:t>
      </w:r>
    </w:p>
    <w:p>
      <w:pPr>
        <w:spacing w:after="0" w:line="32" w:lineRule="exact"/>
        <w:rPr>
          <w:rFonts w:ascii="Arial" w:cs="Arial" w:eastAsia="Arial" w:hAnsi="Arial"/>
          <w:sz w:val="15"/>
          <w:szCs w:val="15"/>
          <w:color w:val="auto"/>
        </w:rPr>
      </w:pPr>
    </w:p>
    <w:p>
      <w:pPr>
        <w:ind w:left="1120" w:hanging="358"/>
        <w:spacing w:after="0"/>
        <w:tabs>
          <w:tab w:leader="none" w:pos="1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Includes shares held by the Fahs Family Trust.</w:t>
      </w:r>
    </w:p>
    <w:p>
      <w:pPr>
        <w:spacing w:after="0" w:line="70" w:lineRule="exact"/>
        <w:rPr>
          <w:rFonts w:ascii="Arial" w:cs="Arial" w:eastAsia="Arial" w:hAnsi="Arial"/>
          <w:sz w:val="15"/>
          <w:szCs w:val="15"/>
          <w:color w:val="auto"/>
        </w:rPr>
      </w:pPr>
    </w:p>
    <w:p>
      <w:pPr>
        <w:ind w:left="1120" w:hanging="358"/>
        <w:spacing w:after="0"/>
        <w:tabs>
          <w:tab w:leader="none" w:pos="1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This includes 2,228 stock options and 2,239 restricted stock units that will vest on May 3, 2022.</w:t>
      </w:r>
    </w:p>
    <w:p>
      <w:pPr>
        <w:spacing w:after="0" w:line="84" w:lineRule="exact"/>
        <w:rPr>
          <w:rFonts w:ascii="Arial" w:cs="Arial" w:eastAsia="Arial" w:hAnsi="Arial"/>
          <w:sz w:val="15"/>
          <w:szCs w:val="15"/>
          <w:color w:val="auto"/>
        </w:rPr>
      </w:pPr>
    </w:p>
    <w:p>
      <w:pPr>
        <w:ind w:left="1120" w:hanging="358"/>
        <w:spacing w:after="0"/>
        <w:tabs>
          <w:tab w:leader="none" w:pos="1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Includes shares held by The David Randolph Peeler Trust—2001.</w:t>
      </w:r>
    </w:p>
    <w:p>
      <w:pPr>
        <w:spacing w:after="0" w:line="84" w:lineRule="exact"/>
        <w:rPr>
          <w:rFonts w:ascii="Arial" w:cs="Arial" w:eastAsia="Arial" w:hAnsi="Arial"/>
          <w:sz w:val="15"/>
          <w:szCs w:val="15"/>
          <w:color w:val="auto"/>
        </w:rPr>
      </w:pPr>
    </w:p>
    <w:p>
      <w:pPr>
        <w:ind w:left="1120" w:hanging="358"/>
        <w:spacing w:after="0" w:line="283" w:lineRule="auto"/>
        <w:tabs>
          <w:tab w:leader="none" w:pos="11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For Mr. Tehle, Ms. Hepner, Mr. Taylor, Ms. Cianfrocco, Ms. Kelman, Ms. Johnson and Mr. Armario this table includes grants of restricted stock made on June 9, 2021 which will vest within 60 days of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AUDIT COMMITTEE MATTERS</w:t>
      </w:r>
    </w:p>
    <w:p>
      <w:pPr>
        <w:spacing w:after="0" w:line="202" w:lineRule="exact"/>
        <w:rPr>
          <w:sz w:val="20"/>
          <w:szCs w:val="20"/>
          <w:color w:val="auto"/>
        </w:rPr>
      </w:pPr>
    </w:p>
    <w:p>
      <w:pPr>
        <w:ind w:left="760" w:right="1040"/>
        <w:spacing w:after="0" w:line="268" w:lineRule="auto"/>
        <w:rPr>
          <w:sz w:val="20"/>
          <w:szCs w:val="20"/>
          <w:color w:val="auto"/>
        </w:rPr>
      </w:pPr>
      <w:r>
        <w:rPr>
          <w:rFonts w:ascii="Arial" w:cs="Arial" w:eastAsia="Arial" w:hAnsi="Arial"/>
          <w:sz w:val="32"/>
          <w:szCs w:val="32"/>
          <w:color w:val="auto"/>
        </w:rPr>
        <w:t>PROPOSAL NO. 3—RATIFICATION OF INDEPENDENT REGISTERED PUBLIC ACCOUNTING FIRM</w:t>
      </w:r>
    </w:p>
    <w:p>
      <w:pPr>
        <w:spacing w:after="0" w:line="65" w:lineRule="exact"/>
        <w:rPr>
          <w:sz w:val="20"/>
          <w:szCs w:val="20"/>
          <w:color w:val="auto"/>
        </w:rPr>
      </w:pPr>
    </w:p>
    <w:p>
      <w:pPr>
        <w:ind w:left="820" w:right="20" w:hanging="40"/>
        <w:spacing w:after="0" w:line="211" w:lineRule="auto"/>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W</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 I</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OTING ON</w:t>
      </w:r>
      <w:r>
        <w:rPr>
          <w:rFonts w:ascii="Arial" w:cs="Arial" w:eastAsia="Arial" w:hAnsi="Arial"/>
          <w:sz w:val="18"/>
          <w:szCs w:val="18"/>
          <w:b w:val="1"/>
          <w:bCs w:val="1"/>
          <w:color w:val="auto"/>
        </w:rPr>
        <w:t>?</w:t>
      </w:r>
      <w:r>
        <w:rPr>
          <w:sz w:val="20"/>
          <w:szCs w:val="20"/>
          <w:color w:val="auto"/>
        </w:rPr>
        <w:t xml:space="preserve"> </w:t>
      </w:r>
      <w:r>
        <w:rPr>
          <w:rFonts w:ascii="Arial" w:cs="Arial" w:eastAsia="Arial" w:hAnsi="Arial"/>
          <w:sz w:val="18"/>
          <w:szCs w:val="18"/>
          <w:color w:val="auto"/>
        </w:rPr>
        <w:t xml:space="preserve">Stockholders are being asked to ratify the appointment of Deloitte &amp; Touche LLP to serve </w:t>
      </w:r>
      <w:r>
        <w:rPr>
          <w:rFonts w:ascii="Arial" w:cs="Arial" w:eastAsia="Arial" w:hAnsi="Arial"/>
          <w:sz w:val="35"/>
          <w:szCs w:val="35"/>
          <w:b w:val="1"/>
          <w:bCs w:val="1"/>
          <w:color w:val="auto"/>
          <w:vertAlign w:val="superscript"/>
        </w:rPr>
        <w:t>​</w:t>
      </w:r>
      <w:r>
        <w:rPr>
          <w:rFonts w:ascii="Arial" w:cs="Arial" w:eastAsia="Arial" w:hAnsi="Arial"/>
          <w:sz w:val="18"/>
          <w:szCs w:val="18"/>
          <w:color w:val="auto"/>
        </w:rPr>
        <w:t xml:space="preserve"> as the Company’s independent registered public accounting firm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-335915</wp:posOffset>
            </wp:positionV>
            <wp:extent cx="5837555" cy="1423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37555" cy="1423035"/>
                    </a:xfrm>
                    <a:prstGeom prst="rect">
                      <a:avLst/>
                    </a:prstGeom>
                    <a:noFill/>
                  </pic:spPr>
                </pic:pic>
              </a:graphicData>
            </a:graphic>
          </wp:anchor>
        </w:drawing>
      </w:r>
    </w:p>
    <w:p>
      <w:pPr>
        <w:ind w:left="820" w:right="20" w:hanging="40"/>
        <w:spacing w:after="0" w:line="273"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w:t>
      </w:r>
      <w:r>
        <w:rPr>
          <w:rFonts w:ascii="Arial" w:cs="Arial" w:eastAsia="Arial" w:hAnsi="Arial"/>
          <w:sz w:val="18"/>
          <w:szCs w:val="18"/>
          <w:b w:val="1"/>
          <w:bCs w:val="1"/>
          <w:color w:val="auto"/>
        </w:rPr>
        <w:t>.</w:t>
      </w:r>
      <w:r>
        <w:rPr>
          <w:sz w:val="20"/>
          <w:szCs w:val="20"/>
          <w:color w:val="auto"/>
        </w:rPr>
        <w:t xml:space="preserve"> </w:t>
      </w:r>
      <w:r>
        <w:rPr>
          <w:rFonts w:ascii="Arial" w:cs="Arial" w:eastAsia="Arial" w:hAnsi="Arial"/>
          <w:sz w:val="18"/>
          <w:szCs w:val="18"/>
          <w:color w:val="auto"/>
        </w:rPr>
        <w:t xml:space="preserve">Our Board of Directors recommends stockholders vote FOR the ratification of Deloitte &amp; </w:t>
      </w:r>
      <w:r>
        <w:rPr>
          <w:rFonts w:ascii="Arial" w:cs="Arial" w:eastAsia="Arial" w:hAnsi="Arial"/>
          <w:sz w:val="18"/>
          <w:szCs w:val="18"/>
          <w:b w:val="1"/>
          <w:bCs w:val="1"/>
          <w:color w:val="auto"/>
        </w:rPr>
        <w:t>​</w:t>
      </w:r>
      <w:r>
        <w:rPr>
          <w:rFonts w:ascii="Arial" w:cs="Arial" w:eastAsia="Arial" w:hAnsi="Arial"/>
          <w:sz w:val="18"/>
          <w:szCs w:val="18"/>
          <w:color w:val="auto"/>
        </w:rPr>
        <w:t xml:space="preserve"> Touche LLP as our independent auditors for fiscal 2022.</w:t>
      </w:r>
    </w:p>
    <w:p>
      <w:pPr>
        <w:spacing w:after="0" w:line="2" w:lineRule="exact"/>
        <w:rPr>
          <w:sz w:val="20"/>
          <w:szCs w:val="20"/>
          <w:color w:val="auto"/>
        </w:rPr>
      </w:pPr>
    </w:p>
    <w:p>
      <w:pPr>
        <w:ind w:left="820" w:right="20" w:hanging="40"/>
        <w:spacing w:after="0" w:line="264"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w:t>
      </w:r>
      <w:r>
        <w:rPr>
          <w:sz w:val="20"/>
          <w:szCs w:val="20"/>
          <w:color w:val="auto"/>
        </w:rPr>
        <w:t xml:space="preserve"> </w:t>
      </w:r>
      <w:r>
        <w:rPr>
          <w:rFonts w:ascii="Arial" w:cs="Arial" w:eastAsia="Arial" w:hAnsi="Arial"/>
          <w:sz w:val="18"/>
          <w:szCs w:val="18"/>
          <w:color w:val="auto"/>
        </w:rPr>
        <w:t xml:space="preserve">Although the audit committee has sole authority to appoint the Company’s independent </w:t>
      </w:r>
      <w:r>
        <w:rPr>
          <w:rFonts w:ascii="Arial" w:cs="Arial" w:eastAsia="Arial" w:hAnsi="Arial"/>
          <w:sz w:val="18"/>
          <w:szCs w:val="18"/>
          <w:b w:val="1"/>
          <w:bCs w:val="1"/>
          <w:color w:val="auto"/>
        </w:rPr>
        <w:t>​</w:t>
      </w:r>
      <w:r>
        <w:rPr>
          <w:rFonts w:ascii="Arial" w:cs="Arial" w:eastAsia="Arial" w:hAnsi="Arial"/>
          <w:sz w:val="18"/>
          <w:szCs w:val="18"/>
          <w:color w:val="auto"/>
        </w:rPr>
        <w:t xml:space="preserve"> registered public accounting firm, the Board submits its selection to our stockholders for ratification as a matter of good corporate governance. The proposal must be approved by a majority of the voting power of the shares of stock present in person or represented by proxy and entitled to vote at the Annual Meeting. If our stockholders should not ratify the appointment of Deloitte &amp; Touche LLP, the audit committee will reconsider the appointment.</w:t>
      </w:r>
    </w:p>
    <w:p>
      <w:pPr>
        <w:spacing w:after="0" w:line="243"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The audit committee has selected Deloitte &amp; Touche LLP to serve as our independent registered public accounting firm for fiscal 2022.</w:t>
      </w:r>
    </w:p>
    <w:p>
      <w:pPr>
        <w:spacing w:after="0" w:line="31"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 One or more representatives of Deloitte &amp; Touche LLP are expected to be present at the Annual Meeting. The representative(s) will have an opportunity to make a statement if they desire and will be available to respond to questions from stockholders.</w:t>
      </w:r>
    </w:p>
    <w:p>
      <w:pPr>
        <w:spacing w:after="0" w:line="69" w:lineRule="exact"/>
        <w:rPr>
          <w:sz w:val="20"/>
          <w:szCs w:val="20"/>
          <w:color w:val="auto"/>
        </w:rPr>
      </w:pPr>
    </w:p>
    <w:p>
      <w:pPr>
        <w:jc w:val="both"/>
        <w:ind w:left="760"/>
        <w:spacing w:after="0" w:line="271" w:lineRule="auto"/>
        <w:rPr>
          <w:sz w:val="20"/>
          <w:szCs w:val="20"/>
          <w:color w:val="auto"/>
        </w:rPr>
      </w:pPr>
      <w:r>
        <w:rPr>
          <w:rFonts w:ascii="Arial" w:cs="Arial" w:eastAsia="Arial" w:hAnsi="Arial"/>
          <w:sz w:val="18"/>
          <w:szCs w:val="18"/>
          <w:color w:val="auto"/>
        </w:rPr>
        <w:t>The shares represented by your proxy will be voted “FOR” the ratification of the selection of Deloitte &amp; Touche LLP unless you specify otherwise.</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169"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Deloitte &amp; Touche LLP for the audit of our financial statements for fiscal 2021 and fiscal 2020 and for fees billed for other services rendered by Deloitte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3954780</wp:posOffset>
            </wp:positionH>
            <wp:positionV relativeFrom="paragraph">
              <wp:posOffset>3175</wp:posOffset>
            </wp:positionV>
            <wp:extent cx="1183005" cy="8655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83005" cy="86550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3175</wp:posOffset>
            </wp:positionV>
            <wp:extent cx="3429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16319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160" w:type="dxa"/>
            <w:vAlign w:val="bottom"/>
            <w:shd w:val="clear" w:color="auto" w:fill="3C5896"/>
          </w:tcPr>
          <w:p>
            <w:pPr>
              <w:spacing w:after="0" w:line="20" w:lineRule="exact"/>
              <w:rPr>
                <w:sz w:val="1"/>
                <w:szCs w:val="1"/>
                <w:color w:val="auto"/>
              </w:rPr>
            </w:pPr>
          </w:p>
        </w:tc>
        <w:tc>
          <w:tcPr>
            <w:tcW w:w="3280" w:type="dxa"/>
            <w:vAlign w:val="bottom"/>
            <w:shd w:val="clear" w:color="auto" w:fill="3C5896"/>
          </w:tcPr>
          <w:p>
            <w:pPr>
              <w:spacing w:after="0" w:line="20" w:lineRule="exact"/>
              <w:rPr>
                <w:sz w:val="1"/>
                <w:szCs w:val="1"/>
                <w:color w:val="auto"/>
              </w:rPr>
            </w:pPr>
          </w:p>
        </w:tc>
        <w:tc>
          <w:tcPr>
            <w:tcW w:w="60" w:type="dxa"/>
            <w:vAlign w:val="bottom"/>
            <w:tcBorders>
              <w:left w:val="single" w:sz="8" w:color="3C5896"/>
            </w:tcBorders>
          </w:tcPr>
          <w:p>
            <w:pPr>
              <w:spacing w:after="0" w:line="20" w:lineRule="exact"/>
              <w:rPr>
                <w:sz w:val="1"/>
                <w:szCs w:val="1"/>
                <w:color w:val="auto"/>
              </w:rPr>
            </w:pPr>
          </w:p>
        </w:tc>
        <w:tc>
          <w:tcPr>
            <w:tcW w:w="120" w:type="dxa"/>
            <w:vAlign w:val="bottom"/>
            <w:shd w:val="clear" w:color="auto" w:fill="3C5896"/>
          </w:tcPr>
          <w:p>
            <w:pPr>
              <w:spacing w:after="0" w:line="20" w:lineRule="exact"/>
              <w:rPr>
                <w:sz w:val="1"/>
                <w:szCs w:val="1"/>
                <w:color w:val="auto"/>
              </w:rPr>
            </w:pPr>
          </w:p>
        </w:tc>
        <w:tc>
          <w:tcPr>
            <w:tcW w:w="760" w:type="dxa"/>
            <w:vAlign w:val="bottom"/>
            <w:shd w:val="clear" w:color="auto" w:fill="3C5896"/>
          </w:tcPr>
          <w:p>
            <w:pPr>
              <w:spacing w:after="0" w:line="20" w:lineRule="exact"/>
              <w:rPr>
                <w:sz w:val="1"/>
                <w:szCs w:val="1"/>
                <w:color w:val="auto"/>
              </w:rPr>
            </w:pPr>
          </w:p>
        </w:tc>
        <w:tc>
          <w:tcPr>
            <w:tcW w:w="780" w:type="dxa"/>
            <w:vAlign w:val="bottom"/>
            <w:shd w:val="clear" w:color="auto" w:fill="3C5896"/>
          </w:tcPr>
          <w:p>
            <w:pPr>
              <w:spacing w:after="0" w:line="20" w:lineRule="exact"/>
              <w:rPr>
                <w:sz w:val="1"/>
                <w:szCs w:val="1"/>
                <w:color w:val="auto"/>
              </w:rPr>
            </w:pPr>
          </w:p>
        </w:tc>
        <w:tc>
          <w:tcPr>
            <w:tcW w:w="160" w:type="dxa"/>
            <w:vAlign w:val="bottom"/>
            <w:shd w:val="clear" w:color="auto" w:fill="3C589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3C5896"/>
          </w:tcPr>
          <w:p>
            <w:pPr>
              <w:spacing w:after="0" w:line="20" w:lineRule="exact"/>
              <w:rPr>
                <w:sz w:val="1"/>
                <w:szCs w:val="1"/>
                <w:color w:val="auto"/>
              </w:rPr>
            </w:pPr>
          </w:p>
        </w:tc>
        <w:tc>
          <w:tcPr>
            <w:tcW w:w="520" w:type="dxa"/>
            <w:vAlign w:val="bottom"/>
            <w:shd w:val="clear" w:color="auto" w:fill="3C5896"/>
          </w:tcPr>
          <w:p>
            <w:pPr>
              <w:spacing w:after="0" w:line="20" w:lineRule="exact"/>
              <w:rPr>
                <w:sz w:val="1"/>
                <w:szCs w:val="1"/>
                <w:color w:val="auto"/>
              </w:rPr>
            </w:pPr>
          </w:p>
        </w:tc>
        <w:tc>
          <w:tcPr>
            <w:tcW w:w="1040" w:type="dxa"/>
            <w:vAlign w:val="bottom"/>
            <w:shd w:val="clear" w:color="auto" w:fill="3C5896"/>
          </w:tcPr>
          <w:p>
            <w:pPr>
              <w:spacing w:after="0" w:line="20" w:lineRule="exact"/>
              <w:rPr>
                <w:sz w:val="1"/>
                <w:szCs w:val="1"/>
                <w:color w:val="auto"/>
              </w:rPr>
            </w:pPr>
          </w:p>
        </w:tc>
        <w:tc>
          <w:tcPr>
            <w:tcW w:w="160" w:type="dxa"/>
            <w:vAlign w:val="bottom"/>
            <w:shd w:val="clear" w:color="auto" w:fill="3C5896"/>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3280" w:type="dxa"/>
            <w:vAlign w:val="bottom"/>
            <w:shd w:val="clear" w:color="auto" w:fill="3C5896"/>
          </w:tcPr>
          <w:p>
            <w:pPr>
              <w:ind w:left="560"/>
              <w:spacing w:after="0"/>
              <w:rPr>
                <w:sz w:val="20"/>
                <w:szCs w:val="20"/>
                <w:color w:val="auto"/>
              </w:rPr>
            </w:pPr>
            <w:r>
              <w:rPr>
                <w:rFonts w:ascii="Arial" w:cs="Arial" w:eastAsia="Arial" w:hAnsi="Arial"/>
                <w:sz w:val="18"/>
                <w:szCs w:val="18"/>
                <w:b w:val="1"/>
                <w:bCs w:val="1"/>
                <w:color w:val="FFFFFF"/>
              </w:rPr>
              <w: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FFFFFF"/>
              </w:rPr>
              <w:t>​​</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FFFFFF"/>
              </w:rPr>
              <w:t>Fiscal Year 2021</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FFFFFF"/>
              </w:rPr>
              <w:t>​​</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FFFFFF"/>
                <w:shd w:val="clear" w:color="auto" w:fill="3C5896"/>
              </w:rPr>
              <w:t>Fiscal Year 2020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FFFFFF"/>
                <w:shd w:val="clear" w:color="auto" w:fill="3C5896"/>
              </w:rPr>
              <w:t>​</w:t>
            </w:r>
          </w:p>
        </w:tc>
      </w:tr>
      <w:tr>
        <w:trPr>
          <w:trHeight w:val="230"/>
        </w:trPr>
        <w:tc>
          <w:tcPr>
            <w:tcW w:w="20" w:type="dxa"/>
            <w:vAlign w:val="bottom"/>
            <w:shd w:val="clear" w:color="auto" w:fill="3C5896"/>
          </w:tcPr>
          <w:p>
            <w:pPr>
              <w:spacing w:after="0"/>
              <w:rPr>
                <w:sz w:val="19"/>
                <w:szCs w:val="19"/>
                <w:color w:val="auto"/>
              </w:rPr>
            </w:pPr>
          </w:p>
        </w:tc>
        <w:tc>
          <w:tcPr>
            <w:tcW w:w="2160" w:type="dxa"/>
            <w:vAlign w:val="bottom"/>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Audit fees</w:t>
            </w:r>
            <w:r>
              <w:rPr>
                <w:rFonts w:ascii="Arial" w:cs="Arial" w:eastAsia="Arial" w:hAnsi="Arial"/>
                <w:sz w:val="18"/>
                <w:szCs w:val="18"/>
                <w:color w:val="auto"/>
                <w:vertAlign w:val="superscript"/>
              </w:rPr>
              <w:t>(1)</w:t>
            </w:r>
          </w:p>
        </w:tc>
        <w:tc>
          <w:tcPr>
            <w:tcW w:w="328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30"/>
              <w:spacing w:after="0"/>
              <w:rPr>
                <w:sz w:val="20"/>
                <w:szCs w:val="20"/>
                <w:color w:val="auto"/>
              </w:rPr>
            </w:pPr>
            <w:r>
              <w:rPr>
                <w:rFonts w:ascii="Arial" w:cs="Arial" w:eastAsia="Arial" w:hAnsi="Arial"/>
                <w:sz w:val="18"/>
                <w:szCs w:val="18"/>
                <w:color w:val="auto"/>
              </w:rPr>
              <w:t>​$1,985,642</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30"/>
              <w:spacing w:after="0"/>
              <w:rPr>
                <w:sz w:val="20"/>
                <w:szCs w:val="20"/>
                <w:color w:val="auto"/>
              </w:rPr>
            </w:pPr>
            <w:r>
              <w:rPr>
                <w:rFonts w:ascii="Arial" w:cs="Arial" w:eastAsia="Arial" w:hAnsi="Arial"/>
                <w:sz w:val="18"/>
                <w:szCs w:val="18"/>
                <w:color w:val="auto"/>
              </w:rPr>
              <w:t>​$1,972,656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3C5896"/>
          </w:tcPr>
          <w:p>
            <w:pPr>
              <w:spacing w:after="0"/>
              <w:rPr>
                <w:sz w:val="19"/>
                <w:szCs w:val="19"/>
                <w:color w:val="auto"/>
              </w:rPr>
            </w:pPr>
          </w:p>
        </w:tc>
        <w:tc>
          <w:tcPr>
            <w:tcW w:w="2160" w:type="dxa"/>
            <w:vAlign w:val="bottom"/>
            <w:shd w:val="clear" w:color="auto" w:fill="CCCCCC"/>
          </w:tcPr>
          <w:p>
            <w:pPr>
              <w:ind w:left="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5"/>
                <w:szCs w:val="15"/>
                <w:color w:val="auto"/>
              </w:rPr>
              <w:t>Audit-related fees</w:t>
            </w:r>
            <w:r>
              <w:rPr>
                <w:rFonts w:ascii="Arial" w:cs="Arial" w:eastAsia="Arial" w:hAnsi="Arial"/>
                <w:sz w:val="18"/>
                <w:szCs w:val="18"/>
                <w:color w:val="auto"/>
                <w:vertAlign w:val="superscript"/>
              </w:rPr>
              <w:t>(2)</w:t>
            </w:r>
          </w:p>
        </w:tc>
        <w:tc>
          <w:tcPr>
            <w:tcW w:w="3280" w:type="dxa"/>
            <w:vAlign w:val="bottom"/>
            <w:shd w:val="clear" w:color="auto" w:fill="CCCCCC"/>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30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104,520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shd w:val="clear" w:color="auto" w:fill="3C5896"/>
          </w:tcPr>
          <w:p>
            <w:pPr>
              <w:spacing w:after="0"/>
              <w:rPr>
                <w:sz w:val="18"/>
                <w:szCs w:val="18"/>
                <w:color w:val="auto"/>
              </w:rPr>
            </w:pPr>
          </w:p>
        </w:tc>
        <w:tc>
          <w:tcPr>
            <w:tcW w:w="2160" w:type="dxa"/>
            <w:vAlign w:val="bottom"/>
          </w:tcPr>
          <w:p>
            <w:pPr>
              <w:ind w:left="20"/>
              <w:spacing w:after="0" w:line="211"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Tax fees</w:t>
            </w:r>
            <w:r>
              <w:rPr>
                <w:rFonts w:ascii="Arial" w:cs="Arial" w:eastAsia="Arial" w:hAnsi="Arial"/>
                <w:sz w:val="17"/>
                <w:szCs w:val="17"/>
                <w:color w:val="auto"/>
                <w:vertAlign w:val="superscript"/>
              </w:rPr>
              <w:t>(3)</w:t>
            </w:r>
          </w:p>
        </w:tc>
        <w:tc>
          <w:tcPr>
            <w:tcW w:w="32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30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ind w:left="30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17,375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20" w:type="dxa"/>
            <w:vAlign w:val="bottom"/>
            <w:shd w:val="clear" w:color="auto" w:fill="3C5896"/>
          </w:tcPr>
          <w:p>
            <w:pPr>
              <w:spacing w:after="0"/>
              <w:rPr>
                <w:sz w:val="19"/>
                <w:szCs w:val="19"/>
                <w:color w:val="auto"/>
              </w:rPr>
            </w:pPr>
          </w:p>
        </w:tc>
        <w:tc>
          <w:tcPr>
            <w:tcW w:w="2160" w:type="dxa"/>
            <w:vAlign w:val="bottom"/>
            <w:shd w:val="clear" w:color="auto" w:fill="CCCCCC"/>
          </w:tcPr>
          <w:p>
            <w:pPr>
              <w:ind w:left="20"/>
              <w:spacing w:after="0" w:line="202" w:lineRule="exact"/>
              <w:rPr>
                <w:sz w:val="20"/>
                <w:szCs w:val="20"/>
                <w:color w:val="auto"/>
              </w:rPr>
            </w:pPr>
            <w:r>
              <w:rPr>
                <w:rFonts w:ascii="Arial" w:cs="Arial" w:eastAsia="Arial" w:hAnsi="Arial"/>
                <w:sz w:val="18"/>
                <w:szCs w:val="18"/>
                <w:color w:val="auto"/>
              </w:rPr>
              <w:t>​All other fees</w:t>
            </w:r>
          </w:p>
        </w:tc>
        <w:tc>
          <w:tcPr>
            <w:tcW w:w="3280" w:type="dxa"/>
            <w:vAlign w:val="bottom"/>
            <w:shd w:val="clear" w:color="auto" w:fill="CCCCCC"/>
          </w:tcPr>
          <w:p>
            <w:pPr>
              <w:spacing w:after="0"/>
              <w:rPr>
                <w:sz w:val="19"/>
                <w:szCs w:val="19"/>
                <w:color w:val="auto"/>
              </w:rPr>
            </w:pPr>
          </w:p>
        </w:tc>
        <w:tc>
          <w:tcPr>
            <w:tcW w:w="1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ind w:left="300"/>
              <w:spacing w:after="0" w:line="202" w:lineRule="exact"/>
              <w:rPr>
                <w:sz w:val="20"/>
                <w:szCs w:val="20"/>
                <w:color w:val="auto"/>
              </w:rPr>
            </w:pPr>
            <w:r>
              <w:rPr>
                <w:rFonts w:ascii="Arial" w:cs="Arial" w:eastAsia="Arial" w:hAnsi="Arial"/>
                <w:sz w:val="18"/>
                <w:szCs w:val="18"/>
                <w:color w:val="auto"/>
              </w:rPr>
              <w:t>​ ​</w:t>
            </w:r>
          </w:p>
        </w:tc>
        <w:tc>
          <w:tcPr>
            <w:tcW w:w="7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300"/>
              <w:spacing w:after="0" w:line="202" w:lineRule="exact"/>
              <w:rPr>
                <w:sz w:val="20"/>
                <w:szCs w:val="20"/>
                <w:color w:val="auto"/>
              </w:rPr>
            </w:pPr>
            <w:r>
              <w:rPr>
                <w:rFonts w:ascii="Arial" w:cs="Arial" w:eastAsia="Arial" w:hAnsi="Arial"/>
                <w:sz w:val="18"/>
                <w:szCs w:val="18"/>
                <w:color w:val="auto"/>
              </w:rPr>
              <w:t>​ ​</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3C5896"/>
            </w:tcBorders>
            <w:shd w:val="clear" w:color="auto" w:fill="3C5896"/>
          </w:tcPr>
          <w:p>
            <w:pPr>
              <w:spacing w:after="0"/>
              <w:rPr>
                <w:sz w:val="18"/>
                <w:szCs w:val="18"/>
                <w:color w:val="auto"/>
              </w:rPr>
            </w:pPr>
          </w:p>
        </w:tc>
        <w:tc>
          <w:tcPr>
            <w:tcW w:w="2160" w:type="dxa"/>
            <w:vAlign w:val="bottom"/>
            <w:tcBorders>
              <w:bottom w:val="single" w:sz="8" w:color="3C5896"/>
            </w:tcBorders>
          </w:tcPr>
          <w:p>
            <w:pPr>
              <w:ind w:left="2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3C5896"/>
            </w:tcBorders>
          </w:tcPr>
          <w:p>
            <w:pPr>
              <w:spacing w:after="0"/>
              <w:rPr>
                <w:sz w:val="18"/>
                <w:szCs w:val="18"/>
                <w:color w:val="auto"/>
              </w:rPr>
            </w:pPr>
          </w:p>
        </w:tc>
        <w:tc>
          <w:tcPr>
            <w:tcW w:w="180" w:type="dxa"/>
            <w:vAlign w:val="bottom"/>
            <w:tcBorders>
              <w:bottom w:val="single" w:sz="8" w:color="3C5896"/>
            </w:tcBorders>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3C5896"/>
            </w:tcBorders>
            <w:gridSpan w:val="2"/>
          </w:tcPr>
          <w:p>
            <w:pPr>
              <w:jc w:val="right"/>
              <w:ind w:right="230"/>
              <w:spacing w:after="0"/>
              <w:rPr>
                <w:sz w:val="20"/>
                <w:szCs w:val="20"/>
                <w:color w:val="auto"/>
              </w:rPr>
            </w:pPr>
            <w:r>
              <w:rPr>
                <w:rFonts w:ascii="Arial" w:cs="Arial" w:eastAsia="Arial" w:hAnsi="Arial"/>
                <w:sz w:val="18"/>
                <w:szCs w:val="18"/>
                <w:color w:val="auto"/>
              </w:rPr>
              <w:t>​$1,985,642</w:t>
            </w:r>
          </w:p>
        </w:tc>
        <w:tc>
          <w:tcPr>
            <w:tcW w:w="300" w:type="dxa"/>
            <w:vAlign w:val="bottom"/>
            <w:tcBorders>
              <w:bottom w:val="single" w:sz="8" w:color="3C5896"/>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3C5896"/>
            </w:tcBorders>
            <w:gridSpan w:val="2"/>
          </w:tcPr>
          <w:p>
            <w:pPr>
              <w:jc w:val="right"/>
              <w:ind w:right="230"/>
              <w:spacing w:after="0"/>
              <w:rPr>
                <w:sz w:val="20"/>
                <w:szCs w:val="20"/>
                <w:color w:val="auto"/>
              </w:rPr>
            </w:pPr>
            <w:r>
              <w:rPr>
                <w:rFonts w:ascii="Arial" w:cs="Arial" w:eastAsia="Arial" w:hAnsi="Arial"/>
                <w:sz w:val="18"/>
                <w:szCs w:val="18"/>
                <w:color w:val="auto"/>
              </w:rPr>
              <w:t>​$2,094,551</w:t>
            </w:r>
          </w:p>
        </w:tc>
        <w:tc>
          <w:tcPr>
            <w:tcW w:w="16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-710565</wp:posOffset>
            </wp:positionV>
            <wp:extent cx="2357755" cy="7112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57755" cy="711200"/>
                    </a:xfrm>
                    <a:prstGeom prst="rect">
                      <a:avLst/>
                    </a:prstGeom>
                    <a:noFill/>
                  </pic:spPr>
                </pic:pic>
              </a:graphicData>
            </a:graphic>
          </wp:anchor>
        </w:drawing>
      </w:r>
    </w:p>
    <w:p>
      <w:pPr>
        <w:spacing w:after="0" w:line="30" w:lineRule="exact"/>
        <w:rPr>
          <w:sz w:val="20"/>
          <w:szCs w:val="20"/>
          <w:color w:val="auto"/>
        </w:rPr>
      </w:pPr>
    </w:p>
    <w:p>
      <w:pPr>
        <w:ind w:left="1120" w:hanging="358"/>
        <w:spacing w:after="0" w:line="283" w:lineRule="auto"/>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the audit of the Company’s annual financial statements and the quarterly reviews of its financial statements, and assistance with documents filed with the SEC</w:t>
      </w:r>
    </w:p>
    <w:p>
      <w:pPr>
        <w:spacing w:after="0" w:line="11" w:lineRule="exact"/>
        <w:rPr>
          <w:rFonts w:ascii="Arial" w:cs="Arial" w:eastAsia="Arial" w:hAnsi="Arial"/>
          <w:sz w:val="15"/>
          <w:szCs w:val="15"/>
          <w:color w:val="auto"/>
        </w:rPr>
      </w:pPr>
    </w:p>
    <w:p>
      <w:pPr>
        <w:ind w:left="1120" w:hanging="358"/>
        <w:spacing w:after="0"/>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aggregate fees for professional services performed in connection with the issuance of comfort letters.</w:t>
      </w:r>
    </w:p>
    <w:p>
      <w:pPr>
        <w:spacing w:after="0" w:line="70" w:lineRule="exact"/>
        <w:rPr>
          <w:rFonts w:ascii="Arial" w:cs="Arial" w:eastAsia="Arial" w:hAnsi="Arial"/>
          <w:sz w:val="15"/>
          <w:szCs w:val="15"/>
          <w:color w:val="auto"/>
        </w:rPr>
      </w:pPr>
    </w:p>
    <w:p>
      <w:pPr>
        <w:ind w:left="1120" w:hanging="358"/>
        <w:spacing w:after="0"/>
        <w:tabs>
          <w:tab w:leader="none" w:pos="11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the aggregate fees for professional services rendered for tax compliance, and tax consultation and planning.</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82"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52  </w:t>
      </w:r>
      <w:r>
        <w:rPr>
          <w:sz w:val="1"/>
          <w:szCs w:val="1"/>
          <w:color w:val="auto"/>
        </w:rPr>
        <w:drawing>
          <wp:inline distT="0" distB="0" distL="0" distR="0">
            <wp:extent cx="300355" cy="24003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FFFFFF"/>
        </w:rPr>
        <w:t>AUDIT COMMITTEE MATTERS​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64"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73"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January 1, 2022 filed with the SEC.</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Audit Committee</w:t>
      </w:r>
    </w:p>
    <w:p>
      <w:pPr>
        <w:spacing w:after="0" w:line="17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David M. Tehle, Chair</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Virginia A. Hepner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Susan S. Johnson</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Naomi Kelman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IMPORTANT INFORMATION ABOUT VOTING AT THE ANNUAL MEETING</w:t>
      </w:r>
    </w:p>
    <w:p>
      <w:pPr>
        <w:spacing w:after="0" w:line="200" w:lineRule="exact"/>
        <w:rPr>
          <w:sz w:val="20"/>
          <w:szCs w:val="20"/>
          <w:color w:val="auto"/>
        </w:rPr>
      </w:pPr>
    </w:p>
    <w:p>
      <w:pPr>
        <w:jc w:val="both"/>
        <w:ind w:left="760"/>
        <w:spacing w:after="0" w:line="289" w:lineRule="auto"/>
        <w:rPr>
          <w:sz w:val="20"/>
          <w:szCs w:val="20"/>
          <w:color w:val="auto"/>
        </w:rPr>
      </w:pPr>
      <w:r>
        <w:rPr>
          <w:rFonts w:ascii="Arial" w:cs="Arial" w:eastAsia="Arial" w:hAnsi="Arial"/>
          <w:sz w:val="32"/>
          <w:szCs w:val="32"/>
          <w:b w:val="1"/>
          <w:bCs w:val="1"/>
          <w:color w:val="auto"/>
        </w:rPr>
        <w:t>IMPORTANT INFORMATION ABOUT VOTING AT THE ANNUAL MEETING</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Annual Meeting will be conducted entirely by means of a virtual meeting format only due to the pandemic and to support the health and safety of our stockholders, associates, directors and officers. While you will not be able to attend the Annual Meeting at a physical location, we are committed to ensuring that stockholders will be afforded the same rights and opportunities to participate as they would at an in-person meeting. You will be able to attend the meeting online, vote your shares electronically and submit questions during the virtual Annual Meeting.</w:t>
      </w:r>
    </w:p>
    <w:p>
      <w:pPr>
        <w:spacing w:after="0" w:line="71"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 xml:space="preserve">The Annual Meeting will be a virtual meeting only and will be conducted exclusively by webcast. To attend the virtual Annual Meeting, please visit </w:t>
      </w:r>
      <w:r>
        <w:rPr>
          <w:rFonts w:ascii="Arial" w:cs="Arial" w:eastAsia="Arial" w:hAnsi="Arial"/>
          <w:sz w:val="18"/>
          <w:szCs w:val="18"/>
          <w:u w:val="single" w:color="auto"/>
          <w:color w:val="auto"/>
        </w:rPr>
        <w:t>meetnow.global/MYH4QL4</w:t>
      </w:r>
      <w:r>
        <w:rPr>
          <w:rFonts w:ascii="Arial" w:cs="Arial" w:eastAsia="Arial" w:hAnsi="Arial"/>
          <w:sz w:val="18"/>
          <w:szCs w:val="18"/>
          <w:color w:val="auto"/>
        </w:rPr>
        <w:t xml:space="preserve"> and enter your control number included on your Notice of Internet Availability of Proxy Materials, proxy card or voting instruction form. The Annual Meeting will begin promptly at 1:00 p.m., Eastern Time, on June 15, 2022. We encourage you to access the Annual Meeting webcast 15 minutes prior to the start time.</w:t>
      </w:r>
    </w:p>
    <w:p>
      <w:pPr>
        <w:spacing w:after="0" w:line="7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During the Annual Meeting, you may vote and submit questions by following the instructions provided on the meeting website. We will endeavor to answer as many questions submitted by stockholders as time permits. We reserve the right to exclude questions regarding topics that are not pertinent to meeting matters or Company business or are inappropriate. Additional information regarding the rules of conduct for the Annual Meeting and other materials, including our list of stockholders, will be available during the Annual Meeting on the meeting website.</w:t>
      </w:r>
    </w:p>
    <w:p>
      <w:pPr>
        <w:spacing w:after="0" w:line="74"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If you encounter technical difficulties accessing the Annual Meeting or during the check-in or meeting time, please call the technical support number that will be posted on the meeting log-in page for assistance. Technical support will be available beginning approximately 15 minutes prior to the start of the Annual Meeting through its conclusion.</w:t>
      </w:r>
    </w:p>
    <w:p>
      <w:pPr>
        <w:spacing w:after="0" w:line="63"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Even if you plan to attend and participate in the Annual Meeting, we encourage you to vote your shares in advance using one of the methods described in this proxy statement to ensure your vote will be represented at the Annual Meeting.</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Voting in Advance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If at the close of business on April 18, 2022, you were a stockholder of record or held shares through a broker or bank, you may vote your shares during the Annual Meeting.</w:t>
      </w:r>
    </w:p>
    <w:p>
      <w:pPr>
        <w:spacing w:after="0" w:line="45"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Except as set forth below, if you wish to vote in advance of the Annual Meeting using one of the following methods, your vote must be received prior to 11:59 p.m., Eastern Time, on June 14, 2022.</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vote by proxy if you are a stockholder of record:</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9" w:lineRule="exact"/>
        <w:rPr>
          <w:sz w:val="20"/>
          <w:szCs w:val="20"/>
          <w:color w:val="auto"/>
        </w:rPr>
      </w:pPr>
    </w:p>
    <w:p>
      <w:pPr>
        <w:ind w:left="1120" w:hanging="214"/>
        <w:spacing w:after="0"/>
        <w:tabs>
          <w:tab w:leader="none" w:pos="1120" w:val="left"/>
        </w:tabs>
        <w:numPr>
          <w:ilvl w:val="0"/>
          <w:numId w:val="52"/>
        </w:numPr>
        <w:rPr>
          <w:rFonts w:ascii="Arial" w:cs="Arial" w:eastAsia="Arial" w:hAnsi="Arial"/>
          <w:sz w:val="18"/>
          <w:szCs w:val="18"/>
          <w:color w:val="3C5896"/>
        </w:rPr>
      </w:pPr>
      <w:r>
        <w:rPr>
          <w:rFonts w:ascii="Arial" w:cs="Arial" w:eastAsia="Arial" w:hAnsi="Arial"/>
          <w:sz w:val="18"/>
          <w:szCs w:val="18"/>
          <w:color w:val="auto"/>
        </w:rPr>
        <w:t xml:space="preserve">Go to the website </w:t>
      </w:r>
      <w:r>
        <w:rPr>
          <w:rFonts w:ascii="Arial" w:cs="Arial" w:eastAsia="Arial" w:hAnsi="Arial"/>
          <w:sz w:val="18"/>
          <w:szCs w:val="18"/>
          <w:u w:val="single" w:color="auto"/>
          <w:color w:val="auto"/>
        </w:rPr>
        <w:t>www.investorvote.com/EYE</w:t>
      </w:r>
      <w:r>
        <w:rPr>
          <w:rFonts w:ascii="Arial" w:cs="Arial" w:eastAsia="Arial" w:hAnsi="Arial"/>
          <w:sz w:val="18"/>
          <w:szCs w:val="18"/>
          <w:color w:val="auto"/>
        </w:rPr>
        <w:t xml:space="preserve"> and follow the instructions, 24 hours a day, seven days a week.</w:t>
      </w:r>
    </w:p>
    <w:p>
      <w:pPr>
        <w:spacing w:after="0" w:line="103"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2"/>
        </w:numPr>
        <w:rPr>
          <w:rFonts w:ascii="Arial" w:cs="Arial" w:eastAsia="Arial" w:hAnsi="Arial"/>
          <w:sz w:val="18"/>
          <w:szCs w:val="18"/>
          <w:color w:val="3C5896"/>
        </w:rPr>
      </w:pPr>
      <w:r>
        <w:rPr>
          <w:rFonts w:ascii="Arial" w:cs="Arial" w:eastAsia="Arial" w:hAnsi="Arial"/>
          <w:sz w:val="18"/>
          <w:szCs w:val="18"/>
          <w:color w:val="auto"/>
        </w:rPr>
        <w:t>You will need the control number included on your Notice of Internet Availability of Proxy Materials, proxy card or related materials to obtain your records and to create an electronic voting instruction form.</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ind w:left="1120" w:hanging="214"/>
        <w:spacing w:after="0" w:line="287" w:lineRule="auto"/>
        <w:tabs>
          <w:tab w:leader="none" w:pos="1120" w:val="left"/>
        </w:tabs>
        <w:numPr>
          <w:ilvl w:val="0"/>
          <w:numId w:val="53"/>
        </w:numPr>
        <w:rPr>
          <w:rFonts w:ascii="Arial" w:cs="Arial" w:eastAsia="Arial" w:hAnsi="Arial"/>
          <w:sz w:val="18"/>
          <w:szCs w:val="18"/>
          <w:color w:val="3C5896"/>
        </w:rPr>
      </w:pPr>
      <w:r>
        <w:rPr>
          <w:rFonts w:ascii="Arial" w:cs="Arial" w:eastAsia="Arial" w:hAnsi="Arial"/>
          <w:sz w:val="18"/>
          <w:szCs w:val="18"/>
          <w:color w:val="auto"/>
        </w:rPr>
        <w:t>From a touch-tone telephone, dial 1-800-652-VOTE (8683) and follow the recorded instructions, 24 hours a day, seven days a week.</w:t>
      </w:r>
    </w:p>
    <w:p>
      <w:pPr>
        <w:spacing w:after="0" w:line="31" w:lineRule="exact"/>
        <w:rPr>
          <w:rFonts w:ascii="Arial" w:cs="Arial" w:eastAsia="Arial" w:hAnsi="Arial"/>
          <w:sz w:val="18"/>
          <w:szCs w:val="18"/>
          <w:color w:val="3C5896"/>
        </w:rPr>
      </w:pPr>
    </w:p>
    <w:p>
      <w:pPr>
        <w:ind w:left="1120" w:hanging="214"/>
        <w:spacing w:after="0" w:line="287" w:lineRule="auto"/>
        <w:tabs>
          <w:tab w:leader="none" w:pos="1120" w:val="left"/>
        </w:tabs>
        <w:numPr>
          <w:ilvl w:val="0"/>
          <w:numId w:val="53"/>
        </w:numPr>
        <w:rPr>
          <w:rFonts w:ascii="Arial" w:cs="Arial" w:eastAsia="Arial" w:hAnsi="Arial"/>
          <w:sz w:val="18"/>
          <w:szCs w:val="18"/>
          <w:color w:val="3C5896"/>
        </w:rPr>
      </w:pPr>
      <w:r>
        <w:rPr>
          <w:rFonts w:ascii="Arial" w:cs="Arial" w:eastAsia="Arial" w:hAnsi="Arial"/>
          <w:sz w:val="18"/>
          <w:szCs w:val="18"/>
          <w:color w:val="auto"/>
        </w:rPr>
        <w:t>You will need the control number included on your Notice of Internet Availability of Proxy Materials, proxy card or related materials in order to vote by telephone.</w:t>
      </w:r>
    </w:p>
    <w:p>
      <w:pPr>
        <w:spacing w:after="0" w:line="3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54  </w:t>
      </w:r>
      <w:r>
        <w:rPr>
          <w:sz w:val="1"/>
          <w:szCs w:val="1"/>
          <w:color w:val="auto"/>
        </w:rPr>
        <w:drawing>
          <wp:inline distT="0" distB="0" distL="0" distR="0">
            <wp:extent cx="300355" cy="24003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FFFFFF"/>
        </w:rPr>
        <w:t>IMPORTANT INFORMATION ABOUT VOTING AT THE ANNUAL MEETING​</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ind w:left="1120" w:hanging="214"/>
        <w:spacing w:after="0"/>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Mark your selections on the proxy card.</w:t>
      </w:r>
    </w:p>
    <w:p>
      <w:pPr>
        <w:spacing w:after="0" w:line="117" w:lineRule="exact"/>
        <w:rPr>
          <w:rFonts w:ascii="Arial" w:cs="Arial" w:eastAsia="Arial" w:hAnsi="Arial"/>
          <w:sz w:val="18"/>
          <w:szCs w:val="18"/>
          <w:color w:val="3C5896"/>
        </w:rPr>
      </w:pPr>
    </w:p>
    <w:p>
      <w:pPr>
        <w:ind w:left="1120" w:hanging="214"/>
        <w:spacing w:after="0"/>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Date and sign your name exactly as it appears on your proxy card.</w:t>
      </w:r>
    </w:p>
    <w:p>
      <w:pPr>
        <w:spacing w:after="0" w:line="103" w:lineRule="exact"/>
        <w:rPr>
          <w:rFonts w:ascii="Arial" w:cs="Arial" w:eastAsia="Arial" w:hAnsi="Arial"/>
          <w:sz w:val="18"/>
          <w:szCs w:val="18"/>
          <w:color w:val="3C5896"/>
        </w:rPr>
      </w:pPr>
    </w:p>
    <w:p>
      <w:pPr>
        <w:ind w:left="1120" w:hanging="214"/>
        <w:spacing w:after="0"/>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Mail the proxy card in the enclosed postage-paid envelope provided to you.</w:t>
      </w:r>
    </w:p>
    <w:p>
      <w:pPr>
        <w:spacing w:after="0" w:line="117"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4"/>
        </w:numPr>
        <w:rPr>
          <w:rFonts w:ascii="Arial" w:cs="Arial" w:eastAsia="Arial" w:hAnsi="Arial"/>
          <w:sz w:val="18"/>
          <w:szCs w:val="18"/>
          <w:color w:val="3C5896"/>
        </w:rPr>
      </w:pPr>
      <w:r>
        <w:rPr>
          <w:rFonts w:ascii="Arial" w:cs="Arial" w:eastAsia="Arial" w:hAnsi="Arial"/>
          <w:sz w:val="18"/>
          <w:szCs w:val="18"/>
          <w:color w:val="auto"/>
        </w:rPr>
        <w:t>If you received a Notice of Internet Availability of Proxy Materials and would like to vote in writing, please follow the instructions in the notice to obtain paper proxy materials.</w:t>
      </w:r>
    </w:p>
    <w:p>
      <w:pPr>
        <w:spacing w:after="0" w:line="59"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To vote by proxy if you are a beneficial owner of shares held through a broker, bank or other nominee, you may submit voting instructions to your broker, bank or other nominee. Please refer to information from your broker, bank or other nominee on how to submit voting instructions.</w:t>
      </w:r>
    </w:p>
    <w:p>
      <w:pPr>
        <w:spacing w:after="0" w:line="63" w:lineRule="exact"/>
        <w:rPr>
          <w:sz w:val="20"/>
          <w:szCs w:val="20"/>
          <w:color w:val="auto"/>
        </w:rPr>
      </w:pPr>
    </w:p>
    <w:p>
      <w:pPr>
        <w:jc w:val="both"/>
        <w:ind w:left="760"/>
        <w:spacing w:after="0" w:line="265" w:lineRule="auto"/>
        <w:rPr>
          <w:sz w:val="20"/>
          <w:szCs w:val="20"/>
          <w:color w:val="auto"/>
        </w:rPr>
      </w:pPr>
      <w:r>
        <w:rPr>
          <w:rFonts w:ascii="Arial" w:cs="Arial" w:eastAsia="Arial" w:hAnsi="Arial"/>
          <w:sz w:val="18"/>
          <w:szCs w:val="18"/>
          <w:b w:val="1"/>
          <w:bCs w:val="1"/>
          <w:color w:val="auto"/>
        </w:rPr>
        <w:t>If you are a stockholder of record and you would like to vote in any manner other than online during the virtual Annual Meeting, your vote must be received by 11:59 p.m., Eastern Time, on June 14, 2022 to be counted. If you hold shares through a broker, bank or other nominee, please refer to information from your bank, broker or nominee for voting instructions.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Voting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 xml:space="preserve">If you are a stockholder of record or a beneficial owner of shares held through a broker, bank or other nominee, you may vote online during the Annual Meeting. You will need the control number included on your Notice of Internet Availability of Proxy Materials, proxy card or voting instruction form to log into the virtual Annual Meeting platform at </w:t>
      </w:r>
      <w:r>
        <w:rPr>
          <w:rFonts w:ascii="Arial" w:cs="Arial" w:eastAsia="Arial" w:hAnsi="Arial"/>
          <w:sz w:val="18"/>
          <w:szCs w:val="18"/>
          <w:u w:val="single" w:color="auto"/>
          <w:color w:val="auto"/>
        </w:rPr>
        <w:t>meetnow.global/MYH4QL4</w:t>
      </w:r>
      <w:r>
        <w:rPr>
          <w:rFonts w:ascii="Arial" w:cs="Arial" w:eastAsia="Arial" w:hAnsi="Arial"/>
          <w:sz w:val="18"/>
          <w:szCs w:val="18"/>
          <w:color w:val="auto"/>
        </w:rPr>
        <w:t>. Voting electronically at the Annual Meeting will replace any previous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OTHER INFORMATION FOR STOCKHOLDERS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Stockholder Proposals for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23" w:lineRule="exact"/>
        <w:rPr>
          <w:sz w:val="20"/>
          <w:szCs w:val="20"/>
          <w:color w:val="auto"/>
        </w:rPr>
      </w:pPr>
    </w:p>
    <w:p>
      <w:pPr>
        <w:jc w:val="both"/>
        <w:ind w:left="760"/>
        <w:spacing w:after="0" w:line="270" w:lineRule="auto"/>
        <w:rPr>
          <w:sz w:val="20"/>
          <w:szCs w:val="20"/>
          <w:color w:val="auto"/>
        </w:rPr>
      </w:pPr>
      <w:r>
        <w:rPr>
          <w:rFonts w:ascii="Arial" w:cs="Arial" w:eastAsia="Arial" w:hAnsi="Arial"/>
          <w:sz w:val="18"/>
          <w:szCs w:val="18"/>
          <w:color w:val="auto"/>
        </w:rPr>
        <w:t>If any stockholder wishes to propose a matter for consideration at our 2023 Annual Meeting of Stockholders, the proposal should be mailed by certified mail return receipt requested, to our Secretary, National Vision Holdings, Inc., 2435 Commerce Avenue, Building 2200, Duluth, Georgia 30096. To be eligible under the SEC’s stockholder proposal rule (Rule 14a-8(e) of the Exchange Act) for inclusion in our proxy statement for the 2023 Annual Meeting, a proposal must be received by our Secretary on or before December 27, 2022. Failure to deliver a proposal in accordance with this procedure may result in it not being deemed timely received.</w:t>
      </w:r>
    </w:p>
    <w:p>
      <w:pPr>
        <w:spacing w:after="0" w:line="6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2023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first anniversary of the preceding year’s Annual Meeting. Therefore, to be presented at our 2023 Annual Meeting, such a proposal must be received on or after February 15, 2023, but not later than March 17, 2023. In the event that the date of the 2023 Annual Meeting is advanced by more than 30 days, or delayed by more than 70 days, from the anniversary date of this year’s Annual Meeting of Stockholders, notice by the stockholder to be timely must be so delivered not earlier than the 120th day prior to the 2023 Annual Meeting and not later than the close of business on the later of the 90th day prior to the 2023 Annual Meeting or the tenth day following the day on which public announcement of the date of the 2023 Annual Meeting is first made. Any such proposal will be considered timely only if it is otherwise in compliance with the requirements set forth in our Bylaws. Notwithstanding the foregoing, if the number of directors to be elected to the Board of Directors at the 2023 Annual Meeting is increased and there is no public announcement by the Company naming all of the nominees for director or specifying the size of the increased Board of Directors at least 100 calendar days prior to the first anniversary of the 2022 Annual Meeting (i.e. prior to March 7, 2023), then notice by a stockholder shall be considered timely, but only with respect to nominees for any new positions created by such increase, if it is received by the Secretary not later than the close of business on 10th calendar day following the day on which such public announcement is first made by the Company. Any such proposal will be considered timely only if it is otherwise in compliance with the requirements set forth in our Bylaws.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36"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our Annual Report on Form 10-K for the fiscal year ended January 1, 2022 by contacting the Secretary, National Vision Holdings, Inc., 2435 Commerce Avenue, Building 2200, Duluth, Georgia 30096 or by telephone at (770) 822-3600.</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23" w:lineRule="exact"/>
        <w:rPr>
          <w:sz w:val="20"/>
          <w:szCs w:val="20"/>
          <w:color w:val="auto"/>
        </w:rPr>
      </w:pPr>
    </w:p>
    <w:p>
      <w:pPr>
        <w:jc w:val="both"/>
        <w:ind w:left="760"/>
        <w:spacing w:after="0" w:line="284" w:lineRule="auto"/>
        <w:rPr>
          <w:sz w:val="20"/>
          <w:szCs w:val="20"/>
          <w:color w:val="auto"/>
        </w:rPr>
      </w:pPr>
      <w:r>
        <w:rPr>
          <w:rFonts w:ascii="Arial" w:cs="Arial" w:eastAsia="Arial" w:hAnsi="Arial"/>
          <w:sz w:val="18"/>
          <w:szCs w:val="18"/>
          <w:color w:val="auto"/>
        </w:rPr>
        <w:t>The Board of Directors does not know of any other matters to be brought before the meeting. If other matters are properly presented, the proxy holders have discretionary authority to vote all proxies in accordance with their best judgment.</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56  </w:t>
      </w:r>
      <w:r>
        <w:rPr>
          <w:sz w:val="1"/>
          <w:szCs w:val="1"/>
          <w:color w:val="auto"/>
        </w:rPr>
        <w:drawing>
          <wp:inline distT="0" distB="0" distL="0" distR="0">
            <wp:extent cx="300355" cy="24003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46355</wp:posOffset>
            </wp:positionV>
            <wp:extent cx="58375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Why am I being provided with these materials?</w:t>
      </w:r>
    </w:p>
    <w:p>
      <w:pPr>
        <w:spacing w:after="0" w:line="108"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We have delivered these proxy materials to you in connection with the solicitation by the Board of Directors of National Vision Holdings, Inc. of proxies to be voted at our Annual Meeting of Stockholders to be held on June 15, 2022, and at any postponements or adjournments of the Annual Meeting.</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am I voting 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three proposals scheduled to be voted on at the Annual Meeting:</w:t>
      </w:r>
    </w:p>
    <w:p>
      <w:pPr>
        <w:spacing w:after="0" w:line="131" w:lineRule="exact"/>
        <w:rPr>
          <w:sz w:val="20"/>
          <w:szCs w:val="20"/>
          <w:color w:val="auto"/>
        </w:rPr>
      </w:pPr>
    </w:p>
    <w:p>
      <w:pPr>
        <w:ind w:left="1120" w:hanging="214"/>
        <w:spacing w:after="0"/>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b w:val="1"/>
          <w:bCs w:val="1"/>
          <w:color w:val="auto"/>
        </w:rPr>
        <w:t>Proposal No. 1</w:t>
      </w:r>
      <w:r>
        <w:rPr>
          <w:rFonts w:ascii="Arial" w:cs="Arial" w:eastAsia="Arial" w:hAnsi="Arial"/>
          <w:sz w:val="18"/>
          <w:szCs w:val="18"/>
          <w:color w:val="auto"/>
        </w:rPr>
        <w:t>: Election of the director nominees listed in this proxy statement.</w:t>
      </w:r>
    </w:p>
    <w:p>
      <w:pPr>
        <w:spacing w:after="0" w:line="117"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b w:val="1"/>
          <w:bCs w:val="1"/>
          <w:color w:val="auto"/>
        </w:rPr>
        <w:t>Proposal No. 2</w:t>
      </w:r>
      <w:r>
        <w:rPr>
          <w:rFonts w:ascii="Arial" w:cs="Arial" w:eastAsia="Arial" w:hAnsi="Arial"/>
          <w:sz w:val="18"/>
          <w:szCs w:val="18"/>
          <w:color w:val="auto"/>
        </w:rPr>
        <w:t>: Approval, in a non-binding advisory vote, of the compensation paid to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59"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5"/>
        </w:numPr>
        <w:rPr>
          <w:rFonts w:ascii="Arial" w:cs="Arial" w:eastAsia="Arial" w:hAnsi="Arial"/>
          <w:sz w:val="18"/>
          <w:szCs w:val="18"/>
          <w:color w:val="3C5896"/>
        </w:rPr>
      </w:pPr>
      <w:r>
        <w:rPr>
          <w:rFonts w:ascii="Arial" w:cs="Arial" w:eastAsia="Arial" w:hAnsi="Arial"/>
          <w:sz w:val="18"/>
          <w:szCs w:val="18"/>
          <w:b w:val="1"/>
          <w:bCs w:val="1"/>
          <w:color w:val="auto"/>
        </w:rPr>
        <w:t>Proposal No. 3</w:t>
      </w:r>
      <w:r>
        <w:rPr>
          <w:rFonts w:ascii="Arial" w:cs="Arial" w:eastAsia="Arial" w:hAnsi="Arial"/>
          <w:sz w:val="18"/>
          <w:szCs w:val="18"/>
          <w:color w:val="auto"/>
        </w:rPr>
        <w:t>: Ratification of the appointment of Deloitte &amp; Touche LLP as our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fiscal 2022.</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is entitled to vote?</w:t>
      </w:r>
    </w:p>
    <w:p>
      <w:pPr>
        <w:spacing w:after="0" w:line="121"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Stockholders as of the close of business on April 18, 2022 (the “Record Date”) may vote at the Annual Meeting. As of that date, there were 81,596,628 shares of common stock outstanding. You have one vote for each share of common stock held by you as of the Record Date, including shares:</w:t>
      </w:r>
    </w:p>
    <w:p>
      <w:pPr>
        <w:spacing w:after="0" w:line="76" w:lineRule="exact"/>
        <w:rPr>
          <w:sz w:val="20"/>
          <w:szCs w:val="20"/>
          <w:color w:val="auto"/>
        </w:rPr>
      </w:pPr>
    </w:p>
    <w:p>
      <w:pPr>
        <w:ind w:left="1120" w:hanging="214"/>
        <w:spacing w:after="0"/>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Held directly in your name as “stockholder of record” (also​ referred to as “registered stockholder”);</w:t>
      </w:r>
    </w:p>
    <w:p>
      <w:pPr>
        <w:spacing w:after="0" w:line="103" w:lineRule="exact"/>
        <w:rPr>
          <w:rFonts w:ascii="Arial" w:cs="Arial" w:eastAsia="Arial" w:hAnsi="Arial"/>
          <w:sz w:val="18"/>
          <w:szCs w:val="18"/>
          <w:color w:val="3C5896"/>
        </w:rPr>
      </w:pPr>
    </w:p>
    <w:p>
      <w:pPr>
        <w:jc w:val="both"/>
        <w:ind w:left="1120" w:hanging="214"/>
        <w:spacing w:after="0" w:line="261" w:lineRule="auto"/>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Held for you in an account with a broker, bank or other nominee (shares held in “street name”)—Street name holders generally cannot vote their shares directly and instead must instruct the brokerage firm, bank or nominee how to vote their shares; and</w:t>
      </w:r>
    </w:p>
    <w:p>
      <w:pPr>
        <w:spacing w:after="0" w:line="67" w:lineRule="exact"/>
        <w:rPr>
          <w:rFonts w:ascii="Arial" w:cs="Arial" w:eastAsia="Arial" w:hAnsi="Arial"/>
          <w:sz w:val="18"/>
          <w:szCs w:val="18"/>
          <w:color w:val="3C5896"/>
        </w:rPr>
      </w:pPr>
    </w:p>
    <w:p>
      <w:pPr>
        <w:ind w:left="1120" w:hanging="214"/>
        <w:spacing w:after="0"/>
        <w:tabs>
          <w:tab w:leader="none" w:pos="1120" w:val="left"/>
        </w:tabs>
        <w:numPr>
          <w:ilvl w:val="0"/>
          <w:numId w:val="56"/>
        </w:numPr>
        <w:rPr>
          <w:rFonts w:ascii="Arial" w:cs="Arial" w:eastAsia="Arial" w:hAnsi="Arial"/>
          <w:sz w:val="18"/>
          <w:szCs w:val="18"/>
          <w:color w:val="3C5896"/>
        </w:rPr>
      </w:pPr>
      <w:r>
        <w:rPr>
          <w:rFonts w:ascii="Arial" w:cs="Arial" w:eastAsia="Arial" w:hAnsi="Arial"/>
          <w:sz w:val="18"/>
          <w:szCs w:val="18"/>
          <w:color w:val="auto"/>
        </w:rPr>
        <w:t>Held for you by us as restricted securities under either our 2014 Stock Plan or our 2017 Omnibus Plan.</w:t>
      </w:r>
    </w:p>
    <w:p>
      <w:pPr>
        <w:spacing w:after="0" w:line="175" w:lineRule="exact"/>
        <w:rPr>
          <w:sz w:val="20"/>
          <w:szCs w:val="20"/>
          <w:color w:val="auto"/>
        </w:rPr>
      </w:pPr>
    </w:p>
    <w:p>
      <w:pPr>
        <w:ind w:left="760" w:right="860"/>
        <w:spacing w:after="0" w:line="272" w:lineRule="auto"/>
        <w:rPr>
          <w:sz w:val="20"/>
          <w:szCs w:val="20"/>
          <w:color w:val="auto"/>
        </w:rPr>
      </w:pPr>
      <w:r>
        <w:rPr>
          <w:rFonts w:ascii="Arial" w:cs="Arial" w:eastAsia="Arial" w:hAnsi="Arial"/>
          <w:sz w:val="22"/>
          <w:szCs w:val="22"/>
          <w:b w:val="1"/>
          <w:bCs w:val="1"/>
          <w:color w:val="3C5896"/>
        </w:rPr>
        <w:t>Important Notice Regarding the Availability of Proxy Materials for the Stockholder Meeting to be held on Wednesday, June 15, 2022</w:t>
      </w:r>
    </w:p>
    <w:p>
      <w:pPr>
        <w:spacing w:after="0" w:line="44"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 xml:space="preserve">This Proxy Statement and our Annual Report on Form 10-K for the year ended January 1, 2022 are available free of charge at </w:t>
      </w:r>
      <w:r>
        <w:rPr>
          <w:rFonts w:ascii="Arial" w:cs="Arial" w:eastAsia="Arial" w:hAnsi="Arial"/>
          <w:sz w:val="18"/>
          <w:szCs w:val="18"/>
          <w:u w:val="single" w:color="auto"/>
          <w:color w:val="auto"/>
        </w:rPr>
        <w:t>www.edocumentview.com/EYE</w:t>
      </w:r>
      <w:r>
        <w:rPr>
          <w:rFonts w:ascii="Arial" w:cs="Arial" w:eastAsia="Arial" w:hAnsi="Arial"/>
          <w:sz w:val="18"/>
          <w:szCs w:val="18"/>
          <w:color w:val="auto"/>
        </w:rPr>
        <w:t>.</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constitutes a quorum?</w:t>
      </w:r>
    </w:p>
    <w:p>
      <w:pPr>
        <w:spacing w:after="0" w:line="121"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The holders of record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is a “broker non-vote”?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broker non-vote occurs when shares held through a broker are not voted with respect to a proposal because</w:t>
      </w:r>
    </w:p>
    <w:p>
      <w:pPr>
        <w:spacing w:after="0" w:line="27" w:lineRule="exact"/>
        <w:rPr>
          <w:sz w:val="20"/>
          <w:szCs w:val="20"/>
          <w:color w:val="auto"/>
        </w:rPr>
      </w:pPr>
    </w:p>
    <w:p>
      <w:pPr>
        <w:jc w:val="both"/>
        <w:ind w:left="760" w:firstLine="2"/>
        <w:spacing w:after="0" w:line="254" w:lineRule="auto"/>
        <w:tabs>
          <w:tab w:leader="none" w:pos="10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broker has not received voting instructions from the stockholder who beneficially owns the shares and (2) the broker lacks the authority to vote the shares at its discretion. Proposal Nos. 1, and 2 are considered non-routine matters, and a broker will lack the authority to vote uninstructed shares at their discretion on such proposals. Proposal No. 3 is considered a routine matter, and a broker will be permitted to exercise its discretion to vote uninstructed shares on this proposal.</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many votes are required to approve each proposal?</w:t>
      </w:r>
    </w:p>
    <w:p>
      <w:pPr>
        <w:spacing w:after="0" w:line="121"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Under our Bylaws, directors are elected by a plurality of the votes cast in respect of the shares present in person or represented by proxy at the Annual Meeting and entitled to vote on the election of directors, which means that the director nominees with the greatest number of FOR votes cast, even if less than a majority, will be elected until all open positions of the Board have been filled. There is no cumulative voting.</w:t>
      </w:r>
    </w:p>
    <w:p>
      <w:pPr>
        <w:spacing w:after="0" w:line="67"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25"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For any other proposal being considered at the virtual Annual Meeting, under our Bylaws, approval of the proposal requires the vote of the holders of a majority of the voting power of the shares of stock present in person or represented by proxy at the Annual Meeting and entitled to vote on such proposal. While Proposal No. 2, the vote on executive compensation, is advisory in nature and non-binding, the Board will review the voting results and expects to take them into consideration when making future decisions regarding executive compensation.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are votes counted?</w:t>
      </w:r>
    </w:p>
    <w:p>
      <w:pPr>
        <w:spacing w:after="0" w:line="121" w:lineRule="exact"/>
        <w:rPr>
          <w:sz w:val="20"/>
          <w:szCs w:val="20"/>
          <w:color w:val="auto"/>
        </w:rPr>
      </w:pPr>
    </w:p>
    <w:p>
      <w:pPr>
        <w:jc w:val="both"/>
        <w:ind w:left="760"/>
        <w:spacing w:after="0" w:line="252" w:lineRule="auto"/>
        <w:rPr>
          <w:sz w:val="20"/>
          <w:szCs w:val="20"/>
          <w:color w:val="auto"/>
        </w:rPr>
      </w:pPr>
      <w:r>
        <w:rPr>
          <w:rFonts w:ascii="Arial" w:cs="Arial" w:eastAsia="Arial" w:hAnsi="Arial"/>
          <w:sz w:val="18"/>
          <w:szCs w:val="18"/>
          <w:color w:val="auto"/>
        </w:rPr>
        <w:t>With respect to the election of directors (Proposal No. 1), you may vote “FOR” or “WITHHOLD” with respect to the nominees. Votes that are “withheld” will have the same effect as an abstention and will not count as a vote “FOR” or “AGAINST” a director because directors are elected by plurality voting. Broker non-votes will have no effect on the outcome of Proposal No. 1.</w:t>
      </w:r>
    </w:p>
    <w:p>
      <w:pPr>
        <w:spacing w:after="0" w:line="62"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With respect to the advisory vote to approve the compensation of our named executive officers (Proposal No. 2) and the approval of the ratification of our independent registered public accounting firm (Proposal No. 3), you may vote “FOR,” “AGAINST” or “ABSTAIN.” For each of Proposal Nos. 2 and 3, abstentions will have the effect of a vote “against” the proposal. For Proposal No. 2, broker non-votes will have no effect on the outcome of the proposal.</w:t>
      </w:r>
    </w:p>
    <w:p>
      <w:pPr>
        <w:spacing w:after="0" w:line="68"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If you just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does the Board recommend that I vote?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recommends that you vote your shares:</w:t>
      </w:r>
    </w:p>
    <w:p>
      <w:pPr>
        <w:spacing w:after="0" w:line="117" w:lineRule="exact"/>
        <w:rPr>
          <w:sz w:val="20"/>
          <w:szCs w:val="20"/>
          <w:color w:val="auto"/>
        </w:rPr>
      </w:pPr>
    </w:p>
    <w:p>
      <w:pPr>
        <w:ind w:left="1120" w:hanging="214"/>
        <w:spacing w:after="0"/>
        <w:tabs>
          <w:tab w:leader="none" w:pos="1120" w:val="left"/>
        </w:tabs>
        <w:numPr>
          <w:ilvl w:val="0"/>
          <w:numId w:val="58"/>
        </w:numPr>
        <w:rPr>
          <w:rFonts w:ascii="Arial" w:cs="Arial" w:eastAsia="Arial" w:hAnsi="Arial"/>
          <w:sz w:val="18"/>
          <w:szCs w:val="18"/>
          <w:color w:val="3C5896"/>
        </w:rPr>
      </w:pPr>
      <w:r>
        <w:rPr>
          <w:rFonts w:ascii="Arial" w:cs="Arial" w:eastAsia="Arial" w:hAnsi="Arial"/>
          <w:sz w:val="18"/>
          <w:szCs w:val="18"/>
          <w:color w:val="auto"/>
        </w:rPr>
        <w:t>“FOR” the director nominees set forth in this proxy statement.</w:t>
      </w:r>
    </w:p>
    <w:p>
      <w:pPr>
        <w:spacing w:after="0" w:line="117" w:lineRule="exact"/>
        <w:rPr>
          <w:rFonts w:ascii="Arial" w:cs="Arial" w:eastAsia="Arial" w:hAnsi="Arial"/>
          <w:sz w:val="18"/>
          <w:szCs w:val="18"/>
          <w:color w:val="3C5896"/>
        </w:rPr>
      </w:pPr>
    </w:p>
    <w:p>
      <w:pPr>
        <w:ind w:left="1120" w:right="20" w:hanging="214"/>
        <w:spacing w:after="0" w:line="271" w:lineRule="auto"/>
        <w:tabs>
          <w:tab w:leader="none" w:pos="1120" w:val="left"/>
        </w:tabs>
        <w:numPr>
          <w:ilvl w:val="0"/>
          <w:numId w:val="58"/>
        </w:numPr>
        <w:rPr>
          <w:rFonts w:ascii="Arial" w:cs="Arial" w:eastAsia="Arial" w:hAnsi="Arial"/>
          <w:sz w:val="18"/>
          <w:szCs w:val="18"/>
          <w:color w:val="3C5896"/>
        </w:rPr>
      </w:pPr>
      <w:r>
        <w:rPr>
          <w:rFonts w:ascii="Arial" w:cs="Arial" w:eastAsia="Arial" w:hAnsi="Arial"/>
          <w:sz w:val="18"/>
          <w:szCs w:val="18"/>
          <w:color w:val="auto"/>
        </w:rPr>
        <w:t>“FOR” the approval, on a non-binding, advisory basis, of the compensation paid to our named executive officers.</w:t>
      </w:r>
    </w:p>
    <w:p>
      <w:pPr>
        <w:spacing w:after="0" w:line="59"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58"/>
        </w:numPr>
        <w:rPr>
          <w:rFonts w:ascii="Arial" w:cs="Arial" w:eastAsia="Arial" w:hAnsi="Arial"/>
          <w:sz w:val="18"/>
          <w:szCs w:val="18"/>
          <w:color w:val="3C5896"/>
        </w:rPr>
      </w:pPr>
      <w:r>
        <w:rPr>
          <w:rFonts w:ascii="Arial" w:cs="Arial" w:eastAsia="Arial" w:hAnsi="Arial"/>
          <w:sz w:val="18"/>
          <w:szCs w:val="18"/>
          <w:color w:val="auto"/>
        </w:rPr>
        <w:t>“FOR” the ratification of the appointment of Deloitte &amp; Touche LLP as our independent registered public accounting firm for fiscal 2022.</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count the vote?</w:t>
      </w:r>
    </w:p>
    <w:p>
      <w:pPr>
        <w:spacing w:after="0" w:line="121" w:lineRule="exact"/>
        <w:rPr>
          <w:sz w:val="20"/>
          <w:szCs w:val="20"/>
          <w:color w:val="auto"/>
        </w:rPr>
      </w:pPr>
    </w:p>
    <w:p>
      <w:pPr>
        <w:ind w:left="760" w:right="20"/>
        <w:spacing w:after="0" w:line="287" w:lineRule="auto"/>
        <w:rPr>
          <w:sz w:val="20"/>
          <w:szCs w:val="20"/>
          <w:color w:val="auto"/>
        </w:rPr>
      </w:pPr>
      <w:r>
        <w:rPr>
          <w:rFonts w:ascii="Arial" w:cs="Arial" w:eastAsia="Arial" w:hAnsi="Arial"/>
          <w:sz w:val="18"/>
          <w:szCs w:val="18"/>
          <w:color w:val="auto"/>
        </w:rPr>
        <w:t>Representatives of Computershare Trust Company, N.A., our transfer agent, will tabulate the votes and act as inspectors of election.</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How do I vote my shares without attending the Annual Meeting?</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If you are a stockholder of record, you may vote by authorizing a proxy to vote on your behalf at the Annual Meeting.</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Specifically, you may authorize a proxy:</w:t>
      </w:r>
    </w:p>
    <w:p>
      <w:pPr>
        <w:spacing w:after="0" w:line="99" w:lineRule="exact"/>
        <w:rPr>
          <w:sz w:val="20"/>
          <w:szCs w:val="20"/>
          <w:color w:val="auto"/>
        </w:rPr>
      </w:pPr>
    </w:p>
    <w:p>
      <w:pPr>
        <w:jc w:val="both"/>
        <w:ind w:left="1120" w:hanging="214"/>
        <w:spacing w:after="0" w:line="257" w:lineRule="auto"/>
        <w:tabs>
          <w:tab w:leader="none" w:pos="1120" w:val="left"/>
        </w:tabs>
        <w:numPr>
          <w:ilvl w:val="0"/>
          <w:numId w:val="59"/>
        </w:numPr>
        <w:rPr>
          <w:rFonts w:ascii="Arial" w:cs="Arial" w:eastAsia="Arial" w:hAnsi="Arial"/>
          <w:sz w:val="18"/>
          <w:szCs w:val="18"/>
          <w:color w:val="3C5896"/>
        </w:rPr>
      </w:pPr>
      <w:r>
        <w:rPr>
          <w:rFonts w:ascii="Arial" w:cs="Arial" w:eastAsia="Arial" w:hAnsi="Arial"/>
          <w:sz w:val="18"/>
          <w:szCs w:val="18"/>
          <w:i w:val="1"/>
          <w:iCs w:val="1"/>
          <w:color w:val="auto"/>
        </w:rPr>
        <w:t>By Internet—</w:t>
      </w:r>
      <w:r>
        <w:rPr>
          <w:rFonts w:ascii="Arial" w:cs="Arial" w:eastAsia="Arial" w:hAnsi="Arial"/>
          <w:sz w:val="18"/>
          <w:szCs w:val="18"/>
          <w:color w:val="auto"/>
        </w:rPr>
        <w:t>If you have Internet access, you may submit your proxy by going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www.investorvote.com/EYE</w:t>
      </w:r>
      <w:r>
        <w:rPr>
          <w:rFonts w:ascii="Arial" w:cs="Arial" w:eastAsia="Arial" w:hAnsi="Arial"/>
          <w:sz w:val="18"/>
          <w:szCs w:val="18"/>
          <w:i w:val="1"/>
          <w:iCs w:val="1"/>
          <w:color w:val="auto"/>
        </w:rPr>
        <w:t xml:space="preserve"> </w:t>
      </w:r>
      <w:r>
        <w:rPr>
          <w:rFonts w:ascii="Arial" w:cs="Arial" w:eastAsia="Arial" w:hAnsi="Arial"/>
          <w:sz w:val="18"/>
          <w:szCs w:val="18"/>
          <w:color w:val="auto"/>
        </w:rPr>
        <w:t>and by following the instructions on how to complete an electronic proxy card. You will need the control number included on your Notice of Internet Availability of Proxy Materials, proxy card or related materials in order to vote by Internet.</w:t>
      </w:r>
    </w:p>
    <w:p>
      <w:pPr>
        <w:spacing w:after="0" w:line="58" w:lineRule="exact"/>
        <w:rPr>
          <w:rFonts w:ascii="Arial" w:cs="Arial" w:eastAsia="Arial" w:hAnsi="Arial"/>
          <w:sz w:val="18"/>
          <w:szCs w:val="18"/>
          <w:color w:val="3C5896"/>
        </w:rPr>
      </w:pPr>
    </w:p>
    <w:p>
      <w:pPr>
        <w:jc w:val="both"/>
        <w:ind w:left="1120" w:hanging="214"/>
        <w:spacing w:after="0" w:line="261" w:lineRule="auto"/>
        <w:tabs>
          <w:tab w:leader="none" w:pos="1120" w:val="left"/>
        </w:tabs>
        <w:numPr>
          <w:ilvl w:val="0"/>
          <w:numId w:val="59"/>
        </w:numPr>
        <w:rPr>
          <w:rFonts w:ascii="Arial" w:cs="Arial" w:eastAsia="Arial" w:hAnsi="Arial"/>
          <w:sz w:val="18"/>
          <w:szCs w:val="18"/>
          <w:color w:val="3C5896"/>
        </w:rPr>
      </w:pPr>
      <w:r>
        <w:rPr>
          <w:rFonts w:ascii="Arial" w:cs="Arial" w:eastAsia="Arial" w:hAnsi="Arial"/>
          <w:sz w:val="18"/>
          <w:szCs w:val="18"/>
          <w:i w:val="1"/>
          <w:iCs w:val="1"/>
          <w:color w:val="auto"/>
        </w:rPr>
        <w:t>By Telephone—</w:t>
      </w:r>
      <w:r>
        <w:rPr>
          <w:rFonts w:ascii="Arial" w:cs="Arial" w:eastAsia="Arial" w:hAnsi="Arial"/>
          <w:sz w:val="18"/>
          <w:szCs w:val="18"/>
          <w:color w:val="auto"/>
        </w:rPr>
        <w:t>If you have access to a touch-tone telephone, you may submit your proxy by dialing 1-800-652-VOTE (8683) and by following the recorded instructions. You will need the control number included on your notice, proxy card or related materials in order to vote by telephone.</w:t>
      </w:r>
    </w:p>
    <w:p>
      <w:pPr>
        <w:spacing w:after="0" w:line="53" w:lineRule="exact"/>
        <w:rPr>
          <w:rFonts w:ascii="Arial" w:cs="Arial" w:eastAsia="Arial" w:hAnsi="Arial"/>
          <w:sz w:val="18"/>
          <w:szCs w:val="18"/>
          <w:color w:val="3C5896"/>
        </w:rPr>
      </w:pPr>
    </w:p>
    <w:p>
      <w:pPr>
        <w:jc w:val="both"/>
        <w:ind w:left="1120" w:hanging="214"/>
        <w:spacing w:after="0" w:line="251" w:lineRule="auto"/>
        <w:tabs>
          <w:tab w:leader="none" w:pos="1120" w:val="left"/>
        </w:tabs>
        <w:numPr>
          <w:ilvl w:val="0"/>
          <w:numId w:val="59"/>
        </w:numPr>
        <w:rPr>
          <w:rFonts w:ascii="Arial" w:cs="Arial" w:eastAsia="Arial" w:hAnsi="Arial"/>
          <w:sz w:val="18"/>
          <w:szCs w:val="18"/>
          <w:color w:val="3C5896"/>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mail by signing and dating the enclosed proxy card where indicated and by mailing</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81" w:lineRule="exact"/>
        <w:rPr>
          <w:sz w:val="20"/>
          <w:szCs w:val="20"/>
          <w:color w:val="auto"/>
        </w:rPr>
      </w:pPr>
    </w:p>
    <w:p>
      <w:pPr>
        <w:jc w:val="both"/>
        <w:ind w:left="760"/>
        <w:spacing w:after="0" w:line="294" w:lineRule="auto"/>
        <w:rPr>
          <w:sz w:val="20"/>
          <w:szCs w:val="20"/>
          <w:color w:val="auto"/>
        </w:rPr>
      </w:pPr>
      <w:r>
        <w:rPr>
          <w:rFonts w:ascii="Arial" w:cs="Arial" w:eastAsia="Arial" w:hAnsi="Arial"/>
          <w:sz w:val="18"/>
          <w:szCs w:val="18"/>
          <w:b w:val="1"/>
          <w:bCs w:val="1"/>
          <w:i w:val="1"/>
          <w:iCs w:val="1"/>
          <w:color w:val="auto"/>
        </w:rPr>
        <w:t>Internet and telephone voting will close at 11:59 p.m., Eastern Time, on June 14, 2022. Proxy cards with respect to shares held of record must be received no later than June 4, 2022.</w:t>
      </w:r>
    </w:p>
    <w:p>
      <w:pPr>
        <w:spacing w:after="0" w:line="31"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58  </w:t>
      </w:r>
      <w:r>
        <w:rPr>
          <w:sz w:val="1"/>
          <w:szCs w:val="1"/>
          <w:color w:val="auto"/>
        </w:rPr>
        <w:drawing>
          <wp:inline distT="0" distB="0" distL="0" distR="0">
            <wp:extent cx="300355" cy="24003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FFFFFF"/>
        </w:rPr>
        <w:t>OTHER INFORMATION FOR STOCKHOLDERS​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What does it mean if I receive more than one proxy card on or about the same time?</w:t>
      </w:r>
    </w:p>
    <w:p>
      <w:pPr>
        <w:spacing w:after="0" w:line="121" w:lineRule="exact"/>
        <w:rPr>
          <w:sz w:val="20"/>
          <w:szCs w:val="20"/>
          <w:color w:val="auto"/>
        </w:rPr>
      </w:pPr>
    </w:p>
    <w:p>
      <w:pPr>
        <w:jc w:val="both"/>
        <w:ind w:left="760"/>
        <w:spacing w:after="0" w:line="268"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May I change my vote or revoke my proxy?</w:t>
      </w:r>
    </w:p>
    <w:p>
      <w:pPr>
        <w:spacing w:after="0" w:line="121"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Yes. Whether you have voted by Internet, telephone or mail, if you are a stockholder of record, you may change your vote and revoke your proxy by:</w:t>
      </w:r>
    </w:p>
    <w:p>
      <w:pPr>
        <w:spacing w:after="0" w:line="45" w:lineRule="exact"/>
        <w:rPr>
          <w:sz w:val="20"/>
          <w:szCs w:val="20"/>
          <w:color w:val="auto"/>
        </w:rPr>
      </w:pPr>
    </w:p>
    <w:p>
      <w:pPr>
        <w:ind w:left="1120" w:hanging="214"/>
        <w:spacing w:after="0" w:line="287" w:lineRule="auto"/>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sending a written statement to that effect to our Secretary, provided such statement is received no later than June 14, 2022;</w:t>
      </w:r>
    </w:p>
    <w:p>
      <w:pPr>
        <w:spacing w:after="0" w:line="31" w:lineRule="exact"/>
        <w:rPr>
          <w:rFonts w:ascii="Arial" w:cs="Arial" w:eastAsia="Arial" w:hAnsi="Arial"/>
          <w:sz w:val="18"/>
          <w:szCs w:val="18"/>
          <w:color w:val="3C5896"/>
        </w:rPr>
      </w:pPr>
    </w:p>
    <w:p>
      <w:pPr>
        <w:ind w:left="1120" w:hanging="214"/>
        <w:spacing w:after="0" w:line="271" w:lineRule="auto"/>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voting by Internet or telephone at a later time than your previous vote and before the closing of those voting facilities at 11:59 p.m., Eastern Time, on June 14, 2022;</w:t>
      </w:r>
    </w:p>
    <w:p>
      <w:pPr>
        <w:spacing w:after="0" w:line="59" w:lineRule="exact"/>
        <w:rPr>
          <w:rFonts w:ascii="Arial" w:cs="Arial" w:eastAsia="Arial" w:hAnsi="Arial"/>
          <w:sz w:val="18"/>
          <w:szCs w:val="18"/>
          <w:color w:val="3C5896"/>
        </w:rPr>
      </w:pPr>
    </w:p>
    <w:p>
      <w:pPr>
        <w:ind w:left="1120" w:right="20" w:hanging="214"/>
        <w:spacing w:after="0" w:line="271" w:lineRule="auto"/>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submitting a properly signed proxy card, which has a later date than your previous vote, and that is received no later than June 14, 2022; or</w:t>
      </w:r>
    </w:p>
    <w:p>
      <w:pPr>
        <w:spacing w:after="0" w:line="59" w:lineRule="exact"/>
        <w:rPr>
          <w:rFonts w:ascii="Arial" w:cs="Arial" w:eastAsia="Arial" w:hAnsi="Arial"/>
          <w:sz w:val="18"/>
          <w:szCs w:val="18"/>
          <w:color w:val="3C5896"/>
        </w:rPr>
      </w:pPr>
    </w:p>
    <w:p>
      <w:pPr>
        <w:ind w:left="1120" w:hanging="214"/>
        <w:spacing w:after="0"/>
        <w:tabs>
          <w:tab w:leader="none" w:pos="1120" w:val="left"/>
        </w:tabs>
        <w:numPr>
          <w:ilvl w:val="0"/>
          <w:numId w:val="60"/>
        </w:numPr>
        <w:rPr>
          <w:rFonts w:ascii="Arial" w:cs="Arial" w:eastAsia="Arial" w:hAnsi="Arial"/>
          <w:sz w:val="18"/>
          <w:szCs w:val="18"/>
          <w:color w:val="3C5896"/>
        </w:rPr>
      </w:pPr>
      <w:r>
        <w:rPr>
          <w:rFonts w:ascii="Arial" w:cs="Arial" w:eastAsia="Arial" w:hAnsi="Arial"/>
          <w:sz w:val="18"/>
          <w:szCs w:val="18"/>
          <w:color w:val="auto"/>
        </w:rPr>
        <w:t>attending the virtual Annual Meeting and voting online during the meeting.</w:t>
      </w:r>
    </w:p>
    <w:p>
      <w:pPr>
        <w:spacing w:after="0" w:line="104"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If you hold shares in street name, please refer to information from your bank, broker or other nominee on how to revoke or submit new voting instructions.</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Could other matters be decided at the Annual Meeting?</w:t>
      </w:r>
    </w:p>
    <w:p>
      <w:pPr>
        <w:spacing w:after="0" w:line="108"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Who will pay for the cost of this proxy solicitation?</w:t>
      </w:r>
    </w:p>
    <w:p>
      <w:pPr>
        <w:spacing w:after="0" w:line="108"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We have also retained Alliance Advisors, LLC to aid in the solicitation of proxies for an estimated fee of $22,500 plus expenses. Brokers and other nominees will be requested to solicit proxies or authorizations from beneficial owners and will be reimbursed for their reasonable expenses.</w:t>
      </w:r>
    </w:p>
    <w:p>
      <w:pPr>
        <w:spacing w:after="0" w:line="143" w:lineRule="exact"/>
        <w:rPr>
          <w:sz w:val="20"/>
          <w:szCs w:val="20"/>
          <w:color w:val="auto"/>
        </w:rPr>
      </w:pPr>
    </w:p>
    <w:p>
      <w:pPr>
        <w:ind w:left="760" w:right="100"/>
        <w:spacing w:after="0" w:line="272" w:lineRule="auto"/>
        <w:rPr>
          <w:sz w:val="20"/>
          <w:szCs w:val="20"/>
          <w:color w:val="auto"/>
        </w:rPr>
      </w:pPr>
      <w:r>
        <w:rPr>
          <w:rFonts w:ascii="Arial" w:cs="Arial" w:eastAsia="Arial" w:hAnsi="Arial"/>
          <w:sz w:val="22"/>
          <w:szCs w:val="22"/>
          <w:b w:val="1"/>
          <w:bCs w:val="1"/>
          <w:color w:val="3C5896"/>
        </w:rPr>
        <w:t>How can I view copies of the Company’s corporate documents and SEC filings, including the Proxy Statement and Annual Report?</w:t>
      </w:r>
    </w:p>
    <w:p>
      <w:pPr>
        <w:spacing w:after="0" w:line="44"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 xml:space="preserve">Our website contains the Company’s Certificate of Incorporation, Bylaws, Corporate Governance Guidelines, Committee Charters, Code of Conduct and the Company’s SEC filings. To view these documents, go to </w:t>
      </w:r>
      <w:r>
        <w:rPr>
          <w:rFonts w:ascii="Arial" w:cs="Arial" w:eastAsia="Arial" w:hAnsi="Arial"/>
          <w:sz w:val="18"/>
          <w:szCs w:val="18"/>
          <w:u w:val="single" w:color="auto"/>
          <w:color w:val="auto"/>
        </w:rPr>
        <w:t>www.nationalvision.com</w:t>
      </w:r>
      <w:r>
        <w:rPr>
          <w:rFonts w:ascii="Arial" w:cs="Arial" w:eastAsia="Arial" w:hAnsi="Arial"/>
          <w:sz w:val="18"/>
          <w:szCs w:val="18"/>
          <w:color w:val="auto"/>
        </w:rPr>
        <w:t xml:space="preserve"> and click on “Investors.” Copies of our Annual Report on Form 10-K for the year ended January 1, 2022 are also available without charge to stockholders upon written request addressed to:</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Secretary</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Building 2200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Duluth, Georgia 30096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37555" cy="179705"/>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auto"/>
        </w:rPr>
        <w:t>APPENDIX A</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3C5896"/>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37465</wp:posOffset>
            </wp:positionV>
            <wp:extent cx="58375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196"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 xml:space="preserve">The Proxy Statement Summary and Compensation Discussion and Analysis sections of our proxy statement contain Non-GAAP financial measures within the meaning of Regulation G promulgated by the SEC. The Company uses certain Non-GAAP financial measures to supplement the Company’s financial information presented in accordance with GAAP and aid understanding of the Company’s business performance.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For additional details regarding our Non-GAAP financial measures below, see the Company’s Current Report on Form 8-K filed with the SEC on February 28, 2022. This information is also available in the investors section of the Company’s website, </w:t>
      </w:r>
      <w:r>
        <w:rPr>
          <w:rFonts w:ascii="Arial" w:cs="Arial" w:eastAsia="Arial" w:hAnsi="Arial"/>
          <w:sz w:val="17"/>
          <w:szCs w:val="17"/>
          <w:u w:val="single" w:color="auto"/>
          <w:color w:val="auto"/>
        </w:rPr>
        <w:t>www.nationalvision.com</w:t>
      </w:r>
      <w:r>
        <w:rPr>
          <w:rFonts w:ascii="Arial" w:cs="Arial" w:eastAsia="Arial" w:hAnsi="Arial"/>
          <w:sz w:val="17"/>
          <w:szCs w:val="17"/>
          <w:color w:val="auto"/>
        </w:rPr>
        <w:t>.</w:t>
      </w:r>
    </w:p>
    <w:p>
      <w:pPr>
        <w:spacing w:after="0" w:line="6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We define Adjusted Operating Income as net income, plus interest expense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other expenses.</w:t>
      </w:r>
    </w:p>
    <w:p>
      <w:pPr>
        <w:spacing w:after="0" w:line="68" w:lineRule="exact"/>
        <w:rPr>
          <w:sz w:val="20"/>
          <w:szCs w:val="20"/>
          <w:color w:val="auto"/>
        </w:rPr>
      </w:pPr>
    </w:p>
    <w:p>
      <w:pPr>
        <w:jc w:val="both"/>
        <w:ind w:left="760"/>
        <w:spacing w:after="0" w:line="287" w:lineRule="auto"/>
        <w:rPr>
          <w:sz w:val="20"/>
          <w:szCs w:val="20"/>
          <w:color w:val="auto"/>
        </w:rPr>
      </w:pPr>
      <w:r>
        <w:rPr>
          <w:rFonts w:ascii="Arial" w:cs="Arial" w:eastAsia="Arial" w:hAnsi="Arial"/>
          <w:sz w:val="18"/>
          <w:szCs w:val="18"/>
          <w:color w:val="auto"/>
        </w:rPr>
        <w:t>We define STIP Adjusted Operating Income as Adjusted Operating Income, further adjusted to exclude margin on unearned revenue and short-term incentive plan expenses.</w:t>
      </w:r>
    </w:p>
    <w:p>
      <w:pPr>
        <w:spacing w:after="0" w:line="45"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We define Adjusted EBITDA as net income, plus interest expense, income tax provision (benefit), and depreciation and amortization, further adjusted to exclude stock compensation expense, loss on the extinguishment of debt, asset impairment, litigation settlement, secondary offering expenses, management realignment expenses, long-term incentive plan expenses, and other expenses.</w:t>
      </w:r>
    </w:p>
    <w:p>
      <w:pPr>
        <w:spacing w:after="0" w:line="68"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as a result of the COVID-19 pandemic.</w:t>
      </w:r>
    </w:p>
    <w:p>
      <w:pPr>
        <w:spacing w:after="0" w:line="75"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We define Adjusted Diluted EPS as diluted earnings per share, adjusted for the per share impact of stock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73" w:lineRule="exact"/>
        <w:rPr>
          <w:sz w:val="20"/>
          <w:szCs w:val="20"/>
          <w:color w:val="auto"/>
        </w:rPr>
      </w:pPr>
    </w:p>
    <w:p>
      <w:pPr>
        <w:jc w:val="both"/>
        <w:ind w:left="760"/>
        <w:spacing w:after="0" w:line="262" w:lineRule="auto"/>
        <w:rPr>
          <w:sz w:val="20"/>
          <w:szCs w:val="20"/>
          <w:color w:val="auto"/>
        </w:rPr>
      </w:pPr>
      <w:r>
        <w:rPr>
          <w:rFonts w:ascii="Arial" w:cs="Arial" w:eastAsia="Arial" w:hAnsi="Arial"/>
          <w:sz w:val="18"/>
          <w:szCs w:val="18"/>
          <w:color w:val="auto"/>
        </w:rPr>
        <w:t>Adjusted EBITDA, Adjusted Operating Income, STIP Adjusted Operating Income, Adjusted Diluted EPS and Adjusted Comparable Store Sales Growth are not recognized terms under GAAP and should not be considered as an alternative to net income or comparable store sales growth as a measure of operating performance, or any other performance</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60  </w:t>
      </w:r>
      <w:r>
        <w:rPr>
          <w:sz w:val="1"/>
          <w:szCs w:val="1"/>
          <w:color w:val="auto"/>
        </w:rPr>
        <w:drawing>
          <wp:inline distT="0" distB="0" distL="0" distR="0">
            <wp:extent cx="300355" cy="24003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both"/>
        <w:ind w:left="760"/>
        <w:spacing w:after="0" w:line="282" w:lineRule="auto"/>
        <w:rPr>
          <w:sz w:val="20"/>
          <w:szCs w:val="20"/>
          <w:color w:val="auto"/>
        </w:rPr>
      </w:pPr>
      <w:r>
        <w:rPr>
          <w:rFonts w:ascii="Arial" w:cs="Arial" w:eastAsia="Arial" w:hAnsi="Arial"/>
          <w:sz w:val="17"/>
          <w:szCs w:val="17"/>
          <w:color w:val="auto"/>
        </w:rPr>
        <w:t>measure derived in accordance with GAAP.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3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left="940" w:right="1680"/>
        <w:spacing w:after="0" w:line="250" w:lineRule="auto"/>
        <w:rPr>
          <w:sz w:val="20"/>
          <w:szCs w:val="20"/>
          <w:color w:val="auto"/>
        </w:rPr>
      </w:pPr>
      <w:r>
        <w:rPr>
          <w:rFonts w:ascii="Arial" w:cs="Arial" w:eastAsia="Arial" w:hAnsi="Arial"/>
          <w:sz w:val="18"/>
          <w:szCs w:val="18"/>
          <w:b w:val="1"/>
          <w:bCs w:val="1"/>
          <w:color w:val="auto"/>
        </w:rPr>
        <w:t xml:space="preserve">Reconciliation of GAAP and Non-GAAP Financial Measures For the Fiscal Years Ended January 1, 2022 and January 2, 2021 </w:t>
      </w:r>
      <w:r>
        <w:rPr>
          <w:rFonts w:ascii="Arial" w:cs="Arial" w:eastAsia="Arial" w:hAnsi="Arial"/>
          <w:sz w:val="18"/>
          <w:szCs w:val="18"/>
          <w:i w:val="1"/>
          <w:iCs w:val="1"/>
          <w:color w:val="auto"/>
        </w:rPr>
        <w:t>In Thousands, Except Earnings Per Share</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Reconciliation of Adjusted Operating Income and STIP Adjusted Operating Income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111760</wp:posOffset>
            </wp:positionV>
            <wp:extent cx="5837555" cy="25114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837555" cy="2511425"/>
                    </a:xfrm>
                    <a:prstGeom prst="rect">
                      <a:avLst/>
                    </a:prstGeom>
                    <a:noFill/>
                  </pic:spPr>
                </pic:pic>
              </a:graphicData>
            </a:graphic>
          </wp:anchor>
        </w:drawing>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224"/>
        </w:trPr>
        <w:tc>
          <w:tcPr>
            <w:tcW w:w="20" w:type="dxa"/>
            <w:vAlign w:val="bottom"/>
            <w:tcBorders>
              <w:top w:val="single" w:sz="8" w:color="3C5896"/>
            </w:tcBorders>
            <w:shd w:val="clear" w:color="auto" w:fill="3C5896"/>
          </w:tcPr>
          <w:p>
            <w:pPr>
              <w:spacing w:after="0"/>
              <w:rPr>
                <w:sz w:val="19"/>
                <w:szCs w:val="19"/>
                <w:color w:val="auto"/>
              </w:rPr>
            </w:pPr>
          </w:p>
        </w:tc>
        <w:tc>
          <w:tcPr>
            <w:tcW w:w="140" w:type="dxa"/>
            <w:vAlign w:val="bottom"/>
            <w:tcBorders>
              <w:top w:val="single" w:sz="8" w:color="3C5896"/>
            </w:tcBorders>
            <w:shd w:val="clear" w:color="auto" w:fill="3C5896"/>
          </w:tcPr>
          <w:p>
            <w:pPr>
              <w:spacing w:after="0"/>
              <w:rPr>
                <w:sz w:val="19"/>
                <w:szCs w:val="19"/>
                <w:color w:val="auto"/>
              </w:rPr>
            </w:pPr>
          </w:p>
        </w:tc>
        <w:tc>
          <w:tcPr>
            <w:tcW w:w="4940" w:type="dxa"/>
            <w:vAlign w:val="bottom"/>
            <w:tcBorders>
              <w:top w:val="single" w:sz="8" w:color="3C5896"/>
            </w:tcBorders>
            <w:vMerge w:val="restart"/>
            <w:shd w:val="clear" w:color="auto" w:fill="3C5896"/>
          </w:tcPr>
          <w:p>
            <w:pPr>
              <w:ind w:left="1900"/>
              <w:spacing w:after="0"/>
              <w:rPr>
                <w:sz w:val="20"/>
                <w:szCs w:val="20"/>
                <w:color w:val="auto"/>
              </w:rPr>
            </w:pPr>
            <w:r>
              <w:rPr>
                <w:rFonts w:ascii="Arial" w:cs="Arial" w:eastAsia="Arial" w:hAnsi="Arial"/>
                <w:sz w:val="18"/>
                <w:szCs w:val="18"/>
                <w:b w:val="1"/>
                <w:bCs w:val="1"/>
                <w:color w:val="FFFFFF"/>
              </w:rPr>
              <w:t>In thousands</w:t>
            </w:r>
          </w:p>
        </w:tc>
        <w:tc>
          <w:tcPr>
            <w:tcW w:w="120" w:type="dxa"/>
            <w:vAlign w:val="bottom"/>
            <w:tcBorders>
              <w:top w:val="single" w:sz="8" w:color="3C5896"/>
            </w:tcBorders>
            <w:shd w:val="clear" w:color="auto" w:fill="3C5896"/>
          </w:tcPr>
          <w:p>
            <w:pPr>
              <w:spacing w:after="0"/>
              <w:rPr>
                <w:sz w:val="19"/>
                <w:szCs w:val="19"/>
                <w:color w:val="auto"/>
              </w:rPr>
            </w:pPr>
          </w:p>
        </w:tc>
        <w:tc>
          <w:tcPr>
            <w:tcW w:w="20" w:type="dxa"/>
            <w:vAlign w:val="bottom"/>
            <w:tcBorders>
              <w:top w:val="single" w:sz="8" w:color="3C5896"/>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3C5896"/>
            </w:tcBorders>
          </w:tcPr>
          <w:p>
            <w:pPr>
              <w:spacing w:after="0"/>
              <w:rPr>
                <w:sz w:val="19"/>
                <w:szCs w:val="19"/>
                <w:color w:val="auto"/>
              </w:rPr>
            </w:pPr>
          </w:p>
        </w:tc>
        <w:tc>
          <w:tcPr>
            <w:tcW w:w="1580" w:type="dxa"/>
            <w:vAlign w:val="bottom"/>
            <w:tcBorders>
              <w:top w:val="single" w:sz="8" w:color="3C5896"/>
            </w:tcBorders>
            <w:gridSpan w:val="3"/>
          </w:tcPr>
          <w:p>
            <w:pPr>
              <w:ind w:left="180"/>
              <w:spacing w:after="0"/>
              <w:rPr>
                <w:sz w:val="20"/>
                <w:szCs w:val="20"/>
                <w:color w:val="auto"/>
              </w:rPr>
            </w:pPr>
            <w:r>
              <w:rPr>
                <w:rFonts w:ascii="Arial" w:cs="Arial" w:eastAsia="Arial" w:hAnsi="Arial"/>
                <w:sz w:val="18"/>
                <w:szCs w:val="18"/>
                <w:b w:val="1"/>
                <w:bCs w:val="1"/>
                <w:color w:val="FFFFFF"/>
              </w:rPr>
              <w:t>Fiscal Year</w:t>
            </w:r>
          </w:p>
        </w:tc>
        <w:tc>
          <w:tcPr>
            <w:tcW w:w="80" w:type="dxa"/>
            <w:vAlign w:val="bottom"/>
            <w:tcBorders>
              <w:top w:val="single" w:sz="8" w:color="3C5896"/>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FFFFFF"/>
                <w:w w:val="98"/>
              </w:rPr>
              <w:t>Fiscal Year</w:t>
            </w:r>
          </w:p>
        </w:tc>
        <w:tc>
          <w:tcPr>
            <w:tcW w:w="0" w:type="dxa"/>
            <w:vAlign w:val="bottom"/>
          </w:tcPr>
          <w:p>
            <w:pPr>
              <w:spacing w:after="0"/>
              <w:rPr>
                <w:sz w:val="1"/>
                <w:szCs w:val="1"/>
                <w:color w:val="auto"/>
              </w:rPr>
            </w:pPr>
          </w:p>
        </w:tc>
      </w:tr>
      <w:tr>
        <w:trPr>
          <w:trHeight w:val="248"/>
        </w:trPr>
        <w:tc>
          <w:tcPr>
            <w:tcW w:w="20" w:type="dxa"/>
            <w:vAlign w:val="bottom"/>
            <w:shd w:val="clear" w:color="auto" w:fill="3C5896"/>
          </w:tcPr>
          <w:p>
            <w:pPr>
              <w:spacing w:after="0"/>
              <w:rPr>
                <w:sz w:val="21"/>
                <w:szCs w:val="21"/>
                <w:color w:val="auto"/>
              </w:rPr>
            </w:pPr>
          </w:p>
        </w:tc>
        <w:tc>
          <w:tcPr>
            <w:tcW w:w="140" w:type="dxa"/>
            <w:vAlign w:val="bottom"/>
            <w:shd w:val="clear" w:color="auto" w:fill="3C5896"/>
          </w:tcPr>
          <w:p>
            <w:pPr>
              <w:jc w:val="right"/>
              <w:spacing w:after="0"/>
              <w:rPr>
                <w:sz w:val="20"/>
                <w:szCs w:val="20"/>
                <w:color w:val="auto"/>
              </w:rPr>
            </w:pPr>
            <w:r>
              <w:rPr>
                <w:rFonts w:ascii="Arial" w:cs="Arial" w:eastAsia="Arial" w:hAnsi="Arial"/>
                <w:sz w:val="18"/>
                <w:szCs w:val="18"/>
                <w:b w:val="1"/>
                <w:bCs w:val="1"/>
                <w:color w:val="FFFFFF"/>
              </w:rPr>
              <w:t>​</w:t>
            </w:r>
          </w:p>
        </w:tc>
        <w:tc>
          <w:tcPr>
            <w:tcW w:w="4940" w:type="dxa"/>
            <w:vAlign w:val="bottom"/>
            <w:vMerge w:val="continue"/>
            <w:shd w:val="clear" w:color="auto" w:fill="3C5896"/>
          </w:tcPr>
          <w:p>
            <w:pPr>
              <w:spacing w:after="0"/>
              <w:rPr>
                <w:sz w:val="21"/>
                <w:szCs w:val="21"/>
                <w:color w:val="auto"/>
              </w:rPr>
            </w:pPr>
          </w:p>
        </w:tc>
        <w:tc>
          <w:tcPr>
            <w:tcW w:w="120" w:type="dxa"/>
            <w:vAlign w:val="bottom"/>
            <w:shd w:val="clear" w:color="auto" w:fill="3C5896"/>
          </w:tcPr>
          <w:p>
            <w:pPr>
              <w:spacing w:after="0"/>
              <w:rPr>
                <w:sz w:val="21"/>
                <w:szCs w:val="21"/>
                <w:color w:val="auto"/>
              </w:rPr>
            </w:pPr>
          </w:p>
        </w:tc>
        <w:tc>
          <w:tcPr>
            <w:tcW w:w="320" w:type="dxa"/>
            <w:vAlign w:val="bottom"/>
            <w:gridSpan w:val="3"/>
          </w:tcPr>
          <w:p>
            <w:pPr>
              <w:spacing w:after="0"/>
              <w:rPr>
                <w:sz w:val="20"/>
                <w:szCs w:val="20"/>
                <w:color w:val="auto"/>
              </w:rPr>
            </w:pPr>
            <w:r>
              <w:rPr>
                <w:rFonts w:ascii="Arial" w:cs="Arial" w:eastAsia="Arial" w:hAnsi="Arial"/>
                <w:sz w:val="18"/>
                <w:szCs w:val="18"/>
                <w:b w:val="1"/>
                <w:bCs w:val="1"/>
                <w:color w:val="FFFFFF"/>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FFFFFF"/>
              </w:rPr>
              <w:t>2021</w:t>
            </w:r>
          </w:p>
        </w:tc>
        <w:tc>
          <w:tcPr>
            <w:tcW w:w="64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FFFFFF"/>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FFFFFF"/>
                <w:w w:val="94"/>
              </w:rPr>
              <w:t>2020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b w:val="1"/>
                <w:bCs w:val="1"/>
                <w:color w:val="auto"/>
              </w:rPr>
              <w:t>Net income</w:t>
            </w:r>
          </w:p>
        </w:tc>
        <w:tc>
          <w:tcPr>
            <w:tcW w:w="120" w:type="dxa"/>
            <w:vAlign w:val="bottom"/>
          </w:tcPr>
          <w:p>
            <w:pPr>
              <w:spacing w:after="0"/>
              <w:rPr>
                <w:sz w:val="22"/>
                <w:szCs w:val="22"/>
                <w:color w:val="auto"/>
              </w:rPr>
            </w:pPr>
          </w:p>
        </w:tc>
        <w:tc>
          <w:tcPr>
            <w:tcW w:w="1260" w:type="dxa"/>
            <w:vAlign w:val="bottom"/>
            <w:gridSpan w:val="5"/>
          </w:tcPr>
          <w:p>
            <w:pPr>
              <w:jc w:val="right"/>
              <w:ind w:right="90"/>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$128,244 </w:t>
            </w:r>
            <w:r>
              <w:rPr>
                <w:rFonts w:ascii="Arial" w:cs="Arial" w:eastAsia="Arial" w:hAnsi="Arial"/>
                <w:sz w:val="29"/>
                <w:szCs w:val="29"/>
                <w:color w:val="auto"/>
                <w:vertAlign w:val="subscript"/>
              </w:rPr>
              <w:t>​​​</w:t>
            </w:r>
          </w:p>
        </w:tc>
        <w:tc>
          <w:tcPr>
            <w:tcW w:w="640" w:type="dxa"/>
            <w:vAlign w:val="bottom"/>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6.2%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line="256" w:lineRule="exact"/>
              <w:rPr>
                <w:sz w:val="20"/>
                <w:szCs w:val="20"/>
                <w:color w:val="auto"/>
              </w:rPr>
            </w:pPr>
            <w:r>
              <w:rPr>
                <w:rFonts w:ascii="Arial" w:cs="Arial" w:eastAsia="Arial" w:hAnsi="Arial"/>
                <w:sz w:val="16"/>
                <w:szCs w:val="16"/>
                <w:color w:val="auto"/>
                <w:w w:val="73"/>
              </w:rPr>
              <w:t>​</w:t>
            </w:r>
            <w:r>
              <w:rPr>
                <w:rFonts w:ascii="Arial" w:cs="Arial" w:eastAsia="Arial" w:hAnsi="Arial"/>
                <w:sz w:val="29"/>
                <w:szCs w:val="29"/>
                <w:color w:val="auto"/>
                <w:w w:val="73"/>
                <w:vertAlign w:val="superscript"/>
              </w:rPr>
              <w:t>$</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36,277</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8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Interest expense</w:t>
            </w:r>
          </w:p>
        </w:tc>
        <w:tc>
          <w:tcPr>
            <w:tcW w:w="1380" w:type="dxa"/>
            <w:vAlign w:val="bottom"/>
            <w:gridSpan w:val="6"/>
          </w:tcPr>
          <w:p>
            <w:pPr>
              <w:jc w:val="right"/>
              <w:ind w:right="9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29"/>
                <w:szCs w:val="29"/>
                <w:color w:val="auto"/>
                <w:highlight w:val="lightGray"/>
                <w:vertAlign w:val="subscript"/>
              </w:rPr>
              <w:t>​ ​</w:t>
            </w:r>
            <w:r>
              <w:rPr>
                <w:rFonts w:ascii="Arial" w:cs="Arial" w:eastAsia="Arial" w:hAnsi="Arial"/>
                <w:sz w:val="16"/>
                <w:szCs w:val="16"/>
                <w:color w:val="auto"/>
                <w:highlight w:val="lightGray"/>
              </w:rPr>
              <w:t xml:space="preserve"> ​ 25,612 </w:t>
            </w:r>
            <w:r>
              <w:rPr>
                <w:rFonts w:ascii="Arial" w:cs="Arial" w:eastAsia="Arial" w:hAnsi="Arial"/>
                <w:sz w:val="29"/>
                <w:szCs w:val="29"/>
                <w:color w:val="auto"/>
                <w:highlight w:val="lightGray"/>
                <w:vertAlign w:val="subscript"/>
              </w:rPr>
              <w:t>​</w:t>
            </w:r>
            <w:r>
              <w:rPr>
                <w:rFonts w:ascii="Arial" w:cs="Arial" w:eastAsia="Arial" w:hAnsi="Arial"/>
                <w:sz w:val="29"/>
                <w:szCs w:val="29"/>
                <w:color w:val="auto"/>
                <w:vertAlign w:val="subscript"/>
              </w:rPr>
              <w:t>​</w:t>
            </w:r>
            <w:r>
              <w:rPr>
                <w:rFonts w:ascii="Arial" w:cs="Arial" w:eastAsia="Arial" w:hAnsi="Arial"/>
                <w:sz w:val="29"/>
                <w:szCs w:val="29"/>
                <w:color w:val="auto"/>
                <w:highlight w:val="lightGray"/>
                <w:vertAlign w:val="subscript"/>
              </w:rPr>
              <w:t>​</w:t>
            </w:r>
          </w:p>
        </w:tc>
        <w:tc>
          <w:tcPr>
            <w:tcW w:w="640" w:type="dxa"/>
            <w:vAlign w:val="bottom"/>
          </w:tcPr>
          <w:p>
            <w:pPr>
              <w:ind w:left="40"/>
              <w:spacing w:after="0" w:line="256" w:lineRule="exact"/>
              <w:rPr>
                <w:sz w:val="20"/>
                <w:szCs w:val="20"/>
                <w:color w:val="auto"/>
              </w:rPr>
            </w:pPr>
            <w:r>
              <w:rPr>
                <w:rFonts w:ascii="Arial" w:cs="Arial" w:eastAsia="Arial" w:hAnsi="Arial"/>
                <w:sz w:val="29"/>
                <w:szCs w:val="29"/>
                <w:color w:val="auto"/>
                <w:highlight w:val="lightGray"/>
                <w:vertAlign w:val="subscript"/>
              </w:rPr>
              <w:t>​</w:t>
            </w:r>
            <w:r>
              <w:rPr>
                <w:rFonts w:ascii="Arial" w:cs="Arial" w:eastAsia="Arial" w:hAnsi="Arial"/>
                <w:sz w:val="16"/>
                <w:szCs w:val="16"/>
                <w:color w:val="auto"/>
                <w:highlight w:val="lightGray"/>
              </w:rPr>
              <w:t>​ 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120" w:type="dxa"/>
            <w:vAlign w:val="bottom"/>
          </w:tcPr>
          <w:p>
            <w:pPr>
              <w:ind w:left="20"/>
              <w:spacing w:after="0"/>
              <w:rPr>
                <w:sz w:val="20"/>
                <w:szCs w:val="20"/>
                <w:color w:val="auto"/>
              </w:rPr>
            </w:pPr>
            <w:r>
              <w:rPr>
                <w:rFonts w:ascii="Arial" w:cs="Arial" w:eastAsia="Arial" w:hAnsi="Arial"/>
                <w:sz w:val="18"/>
                <w:szCs w:val="18"/>
                <w:color w:val="auto"/>
                <w:highlight w:val="lightGray"/>
              </w:rPr>
              <w:t>​</w:t>
            </w:r>
          </w:p>
        </w:tc>
        <w:tc>
          <w:tcPr>
            <w:tcW w:w="780" w:type="dxa"/>
            <w:vAlign w:val="bottom"/>
            <w:gridSpan w:val="3"/>
          </w:tcPr>
          <w:p>
            <w:pPr>
              <w:spacing w:after="0" w:line="256" w:lineRule="exact"/>
              <w:rPr>
                <w:sz w:val="20"/>
                <w:szCs w:val="20"/>
                <w:color w:val="auto"/>
              </w:rPr>
            </w:pPr>
            <w:r>
              <w:rPr>
                <w:rFonts w:ascii="Arial" w:cs="Arial" w:eastAsia="Arial" w:hAnsi="Arial"/>
                <w:sz w:val="16"/>
                <w:szCs w:val="16"/>
                <w:color w:val="auto"/>
                <w:highlight w:val="lightGray"/>
              </w:rPr>
              <w:t xml:space="preserve">​ 48,327 </w:t>
            </w:r>
            <w:r>
              <w:rPr>
                <w:rFonts w:ascii="Arial" w:cs="Arial" w:eastAsia="Arial" w:hAnsi="Arial"/>
                <w:sz w:val="29"/>
                <w:szCs w:val="29"/>
                <w:color w:val="auto"/>
                <w:highlight w:val="lightGray"/>
                <w:vertAlign w:val="subscript"/>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highlight w:val="lightGray"/>
                <w:w w:val="97"/>
              </w:rPr>
              <w:t>​2.8%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Income tax provision (benefit)</w:t>
            </w:r>
          </w:p>
        </w:tc>
        <w:tc>
          <w:tcPr>
            <w:tcW w:w="1380" w:type="dxa"/>
            <w:vAlign w:val="bottom"/>
            <w:gridSpan w:val="6"/>
          </w:tcPr>
          <w:p>
            <w:pPr>
              <w:jc w:val="right"/>
              <w:ind w:right="90"/>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 ​ 21,081 </w:t>
            </w:r>
            <w:r>
              <w:rPr>
                <w:rFonts w:ascii="Arial" w:cs="Arial" w:eastAsia="Arial" w:hAnsi="Arial"/>
                <w:sz w:val="29"/>
                <w:szCs w:val="29"/>
                <w:color w:val="auto"/>
                <w:vertAlign w:val="subscript"/>
              </w:rPr>
              <w:t>​​​</w:t>
            </w:r>
          </w:p>
        </w:tc>
        <w:tc>
          <w:tcPr>
            <w:tcW w:w="640" w:type="dxa"/>
            <w:vAlign w:val="bottom"/>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2,403</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80" w:type="dxa"/>
            <w:vAlign w:val="bottom"/>
            <w:gridSpan w:val="2"/>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Stock compensation expense</w:t>
            </w:r>
            <w:r>
              <w:rPr>
                <w:rFonts w:ascii="Arial" w:cs="Arial" w:eastAsia="Arial" w:hAnsi="Arial"/>
                <w:sz w:val="21"/>
                <w:szCs w:val="21"/>
                <w:color w:val="auto"/>
                <w:vertAlign w:val="superscript"/>
              </w:rPr>
              <w:t>(a)</w:t>
            </w:r>
          </w:p>
        </w:tc>
        <w:tc>
          <w:tcPr>
            <w:tcW w:w="1380" w:type="dxa"/>
            <w:vAlign w:val="bottom"/>
            <w:gridSpan w:val="6"/>
          </w:tcPr>
          <w:p>
            <w:pPr>
              <w:jc w:val="right"/>
              <w:ind w:right="9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32"/>
                <w:szCs w:val="32"/>
                <w:color w:val="auto"/>
                <w:highlight w:val="lightGray"/>
                <w:vertAlign w:val="subscript"/>
              </w:rPr>
              <w:t>​ ​</w:t>
            </w:r>
            <w:r>
              <w:rPr>
                <w:rFonts w:ascii="Arial" w:cs="Arial" w:eastAsia="Arial" w:hAnsi="Arial"/>
                <w:sz w:val="17"/>
                <w:szCs w:val="17"/>
                <w:color w:val="auto"/>
                <w:highlight w:val="lightGray"/>
              </w:rPr>
              <w:t xml:space="preserve"> ​ 14,886 </w:t>
            </w:r>
            <w:r>
              <w:rPr>
                <w:rFonts w:ascii="Arial" w:cs="Arial" w:eastAsia="Arial" w:hAnsi="Arial"/>
                <w:sz w:val="32"/>
                <w:szCs w:val="32"/>
                <w:color w:val="auto"/>
                <w:highlight w:val="lightGray"/>
                <w:vertAlign w:val="subscript"/>
              </w:rPr>
              <w:t>​</w:t>
            </w:r>
            <w:r>
              <w:rPr>
                <w:rFonts w:ascii="Arial" w:cs="Arial" w:eastAsia="Arial" w:hAnsi="Arial"/>
                <w:sz w:val="32"/>
                <w:szCs w:val="32"/>
                <w:color w:val="auto"/>
                <w:vertAlign w:val="subscript"/>
              </w:rPr>
              <w:t>​</w:t>
            </w:r>
            <w:r>
              <w:rPr>
                <w:rFonts w:ascii="Arial" w:cs="Arial" w:eastAsia="Arial" w:hAnsi="Arial"/>
                <w:sz w:val="32"/>
                <w:szCs w:val="32"/>
                <w:color w:val="auto"/>
                <w:highlight w:val="lightGray"/>
                <w:vertAlign w:val="subscript"/>
              </w:rPr>
              <w:t>​</w:t>
            </w:r>
          </w:p>
        </w:tc>
        <w:tc>
          <w:tcPr>
            <w:tcW w:w="640" w:type="dxa"/>
            <w:vAlign w:val="bottom"/>
          </w:tcPr>
          <w:p>
            <w:pPr>
              <w:ind w:left="40"/>
              <w:spacing w:after="0" w:line="283" w:lineRule="exact"/>
              <w:rPr>
                <w:sz w:val="20"/>
                <w:szCs w:val="20"/>
                <w:color w:val="auto"/>
              </w:rPr>
            </w:pPr>
            <w:r>
              <w:rPr>
                <w:rFonts w:ascii="Arial" w:cs="Arial" w:eastAsia="Arial" w:hAnsi="Arial"/>
                <w:sz w:val="32"/>
                <w:szCs w:val="32"/>
                <w:color w:val="auto"/>
                <w:highlight w:val="lightGray"/>
                <w:vertAlign w:val="subscript"/>
              </w:rPr>
              <w:t>​</w:t>
            </w:r>
            <w:r>
              <w:rPr>
                <w:rFonts w:ascii="Arial" w:cs="Arial" w:eastAsia="Arial" w:hAnsi="Arial"/>
                <w:sz w:val="17"/>
                <w:szCs w:val="17"/>
                <w:color w:val="auto"/>
                <w:highlight w:val="lightGray"/>
              </w:rPr>
              <w:t>​ 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120" w:type="dxa"/>
            <w:vAlign w:val="bottom"/>
          </w:tcPr>
          <w:p>
            <w:pPr>
              <w:ind w:left="20"/>
              <w:spacing w:after="0"/>
              <w:rPr>
                <w:sz w:val="20"/>
                <w:szCs w:val="20"/>
                <w:color w:val="auto"/>
              </w:rPr>
            </w:pPr>
            <w:r>
              <w:rPr>
                <w:rFonts w:ascii="Arial" w:cs="Arial" w:eastAsia="Arial" w:hAnsi="Arial"/>
                <w:sz w:val="18"/>
                <w:szCs w:val="18"/>
                <w:color w:val="auto"/>
                <w:highlight w:val="lightGray"/>
              </w:rPr>
              <w:t>​</w:t>
            </w:r>
          </w:p>
        </w:tc>
        <w:tc>
          <w:tcPr>
            <w:tcW w:w="780" w:type="dxa"/>
            <w:vAlign w:val="bottom"/>
            <w:gridSpan w:val="3"/>
          </w:tcPr>
          <w:p>
            <w:pPr>
              <w:spacing w:after="0" w:line="283" w:lineRule="exact"/>
              <w:rPr>
                <w:sz w:val="20"/>
                <w:szCs w:val="20"/>
                <w:color w:val="auto"/>
              </w:rPr>
            </w:pPr>
            <w:r>
              <w:rPr>
                <w:rFonts w:ascii="Arial" w:cs="Arial" w:eastAsia="Arial" w:hAnsi="Arial"/>
                <w:sz w:val="17"/>
                <w:szCs w:val="17"/>
                <w:color w:val="auto"/>
                <w:highlight w:val="lightGray"/>
              </w:rPr>
              <w:t xml:space="preserve">​ 10,740 </w:t>
            </w:r>
            <w:r>
              <w:rPr>
                <w:rFonts w:ascii="Arial" w:cs="Arial" w:eastAsia="Arial" w:hAnsi="Arial"/>
                <w:sz w:val="32"/>
                <w:szCs w:val="32"/>
                <w:color w:val="auto"/>
                <w:highlight w:val="lightGray"/>
                <w:vertAlign w:val="subscript"/>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highlight w:val="lightGray"/>
                <w:w w:val="97"/>
              </w:rPr>
              <w:t>​0.6%</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80" w:type="dxa"/>
            <w:vAlign w:val="bottom"/>
            <w:gridSpan w:val="2"/>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Asset impairment</w:t>
            </w:r>
            <w:r>
              <w:rPr>
                <w:rFonts w:ascii="Arial" w:cs="Arial" w:eastAsia="Arial" w:hAnsi="Arial"/>
                <w:sz w:val="21"/>
                <w:szCs w:val="21"/>
                <w:color w:val="auto"/>
                <w:vertAlign w:val="superscript"/>
              </w:rPr>
              <w:t>(b)</w:t>
            </w:r>
          </w:p>
        </w:tc>
        <w:tc>
          <w:tcPr>
            <w:tcW w:w="440" w:type="dxa"/>
            <w:vAlign w:val="bottom"/>
            <w:gridSpan w:val="4"/>
          </w:tcPr>
          <w:p>
            <w:pPr>
              <w:ind w:left="100"/>
              <w:spacing w:after="0" w:line="283"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4,427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10"/>
              <w:spacing w:after="0" w:line="283" w:lineRule="exact"/>
              <w:rPr>
                <w:sz w:val="20"/>
                <w:szCs w:val="20"/>
                <w:color w:val="auto"/>
              </w:rPr>
            </w:pPr>
            <w:r>
              <w:rPr>
                <w:rFonts w:ascii="Arial" w:cs="Arial" w:eastAsia="Arial" w:hAnsi="Arial"/>
                <w:sz w:val="17"/>
                <w:szCs w:val="17"/>
                <w:color w:val="auto"/>
              </w:rPr>
              <w:t xml:space="preserve">​ 22,004 </w:t>
            </w:r>
            <w:r>
              <w:rPr>
                <w:rFonts w:ascii="Arial" w:cs="Arial" w:eastAsia="Arial" w:hAnsi="Arial"/>
                <w:sz w:val="32"/>
                <w:szCs w:val="32"/>
                <w:color w:val="auto"/>
                <w:vertAlign w:val="subscript"/>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97"/>
              </w:rPr>
              <w:t>​1.3%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80" w:type="dxa"/>
            <w:vAlign w:val="bottom"/>
            <w:gridSpan w:val="2"/>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Litigation settlement</w:t>
            </w:r>
            <w:r>
              <w:rPr>
                <w:rFonts w:ascii="Arial" w:cs="Arial" w:eastAsia="Arial" w:hAnsi="Arial"/>
                <w:sz w:val="21"/>
                <w:szCs w:val="21"/>
                <w:color w:val="auto"/>
                <w:vertAlign w:val="superscript"/>
              </w:rPr>
              <w:t>(c)</w:t>
            </w:r>
          </w:p>
        </w:tc>
        <w:tc>
          <w:tcPr>
            <w:tcW w:w="440" w:type="dxa"/>
            <w:vAlign w:val="bottom"/>
            <w:gridSpan w:val="4"/>
          </w:tcPr>
          <w:p>
            <w:pPr>
              <w:ind w:left="100"/>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auto"/>
                <w:highlight w:val="lightGray"/>
              </w:rPr>
              <w:t>​ ​</w:t>
            </w:r>
            <w:r>
              <w:rPr>
                <w:rFonts w:ascii="Arial" w:cs="Arial" w:eastAsia="Arial" w:hAnsi="Arial"/>
                <w:sz w:val="17"/>
                <w:szCs w:val="17"/>
                <w:color w:val="auto"/>
              </w:rPr>
              <w:t xml:space="preserve"> </w:t>
            </w:r>
            <w:r>
              <w:rPr>
                <w:rFonts w:ascii="Arial" w:cs="Arial" w:eastAsia="Arial" w:hAnsi="Arial"/>
                <w:sz w:val="32"/>
                <w:szCs w:val="32"/>
                <w:color w:val="auto"/>
                <w:highlight w:val="lightGray"/>
                <w:vertAlign w:val="superscript"/>
              </w:rPr>
              <w:t>​</w:t>
            </w:r>
          </w:p>
        </w:tc>
        <w:tc>
          <w:tcPr>
            <w:tcW w:w="600" w:type="dxa"/>
            <w:vAlign w:val="bottom"/>
          </w:tcPr>
          <w:p>
            <w:pPr>
              <w:jc w:val="right"/>
              <w:spacing w:after="0"/>
              <w:rPr>
                <w:sz w:val="20"/>
                <w:szCs w:val="20"/>
                <w:color w:val="auto"/>
              </w:rPr>
            </w:pPr>
            <w:r>
              <w:rPr>
                <w:rFonts w:ascii="Arial" w:cs="Arial" w:eastAsia="Arial" w:hAnsi="Arial"/>
                <w:sz w:val="18"/>
                <w:szCs w:val="18"/>
                <w:color w:val="auto"/>
                <w:highlight w:val="lightGray"/>
              </w:rPr>
              <w:t>1,500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640" w:type="dxa"/>
            <w:vAlign w:val="bottom"/>
          </w:tcPr>
          <w:p>
            <w:pPr>
              <w:ind w:left="40"/>
              <w:spacing w:after="0" w:line="283" w:lineRule="exact"/>
              <w:rPr>
                <w:sz w:val="20"/>
                <w:szCs w:val="20"/>
                <w:color w:val="auto"/>
              </w:rPr>
            </w:pPr>
            <w:r>
              <w:rPr>
                <w:rFonts w:ascii="Arial" w:cs="Arial" w:eastAsia="Arial" w:hAnsi="Arial"/>
                <w:sz w:val="32"/>
                <w:szCs w:val="32"/>
                <w:color w:val="auto"/>
                <w:highlight w:val="lightGray"/>
                <w:vertAlign w:val="subscript"/>
              </w:rPr>
              <w:t>​</w:t>
            </w:r>
            <w:r>
              <w:rPr>
                <w:rFonts w:ascii="Arial" w:cs="Arial" w:eastAsia="Arial" w:hAnsi="Arial"/>
                <w:sz w:val="17"/>
                <w:szCs w:val="17"/>
                <w:color w:val="auto"/>
                <w:highlight w:val="lightGray"/>
              </w:rPr>
              <w:t>​ 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120" w:type="dxa"/>
            <w:vAlign w:val="bottom"/>
          </w:tcPr>
          <w:p>
            <w:pPr>
              <w:ind w:left="20"/>
              <w:spacing w:after="0"/>
              <w:rPr>
                <w:sz w:val="20"/>
                <w:szCs w:val="20"/>
                <w:color w:val="auto"/>
              </w:rPr>
            </w:pPr>
            <w:r>
              <w:rPr>
                <w:rFonts w:ascii="Arial" w:cs="Arial" w:eastAsia="Arial" w:hAnsi="Arial"/>
                <w:sz w:val="18"/>
                <w:szCs w:val="18"/>
                <w:color w:val="auto"/>
                <w:highlight w:val="lightGray"/>
              </w:rPr>
              <w:t>​</w:t>
            </w:r>
          </w:p>
        </w:tc>
        <w:tc>
          <w:tcPr>
            <w:tcW w:w="80" w:type="dxa"/>
            <w:vAlign w:val="bottom"/>
          </w:tcPr>
          <w:p>
            <w:pPr>
              <w:spacing w:after="0"/>
              <w:rPr>
                <w:sz w:val="20"/>
                <w:szCs w:val="20"/>
                <w:color w:val="auto"/>
              </w:rPr>
            </w:pPr>
            <w:r>
              <w:rPr>
                <w:rFonts w:ascii="Arial" w:cs="Arial" w:eastAsia="Arial" w:hAnsi="Arial"/>
                <w:sz w:val="18"/>
                <w:szCs w:val="18"/>
                <w:color w:val="auto"/>
                <w:highlight w:val="lightGray"/>
              </w:rPr>
              <w:t>​</w:t>
            </w:r>
          </w:p>
        </w:tc>
        <w:tc>
          <w:tcPr>
            <w:tcW w:w="620" w:type="dxa"/>
            <w:vAlign w:val="bottom"/>
          </w:tcPr>
          <w:p>
            <w:pPr>
              <w:jc w:val="right"/>
              <w:spacing w:after="0"/>
              <w:rPr>
                <w:sz w:val="20"/>
                <w:szCs w:val="20"/>
                <w:color w:val="auto"/>
              </w:rPr>
            </w:pPr>
            <w:r>
              <w:rPr>
                <w:rFonts w:ascii="Arial" w:cs="Arial" w:eastAsia="Arial" w:hAnsi="Arial"/>
                <w:sz w:val="18"/>
                <w:szCs w:val="18"/>
                <w:color w:val="auto"/>
                <w:highlight w:val="lightGray"/>
              </w:rPr>
              <w:t>4,395</w:t>
            </w:r>
          </w:p>
        </w:tc>
        <w:tc>
          <w:tcPr>
            <w:tcW w:w="80" w:type="dxa"/>
            <w:vAlign w:val="bottom"/>
          </w:tcPr>
          <w:p>
            <w:pPr>
              <w:jc w:val="center"/>
              <w:spacing w:after="0"/>
              <w:rPr>
                <w:sz w:val="20"/>
                <w:szCs w:val="20"/>
                <w:color w:val="auto"/>
              </w:rPr>
            </w:pPr>
            <w:r>
              <w:rPr>
                <w:rFonts w:ascii="Arial" w:cs="Arial" w:eastAsia="Arial" w:hAnsi="Arial"/>
                <w:sz w:val="18"/>
                <w:szCs w:val="18"/>
                <w:color w:val="auto"/>
                <w:highlight w:val="lightGray"/>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highlight w:val="lightGray"/>
                <w:w w:val="97"/>
              </w:rPr>
              <w:t>​0.3%</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80" w:type="dxa"/>
            <w:vAlign w:val="bottom"/>
            <w:gridSpan w:val="2"/>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Amortization of acquisition intangibles</w:t>
            </w:r>
            <w:r>
              <w:rPr>
                <w:rFonts w:ascii="Arial" w:cs="Arial" w:eastAsia="Arial" w:hAnsi="Arial"/>
                <w:sz w:val="21"/>
                <w:szCs w:val="21"/>
                <w:color w:val="auto"/>
                <w:vertAlign w:val="superscript"/>
              </w:rPr>
              <w:t>(d)</w:t>
            </w:r>
          </w:p>
        </w:tc>
        <w:tc>
          <w:tcPr>
            <w:tcW w:w="440" w:type="dxa"/>
            <w:vAlign w:val="bottom"/>
            <w:gridSpan w:val="4"/>
          </w:tcPr>
          <w:p>
            <w:pPr>
              <w:ind w:left="100"/>
              <w:spacing w:after="0" w:line="283"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7,488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0.4%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7,426</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80" w:type="dxa"/>
            <w:vAlign w:val="bottom"/>
            <w:gridSpan w:val="2"/>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Other</w:t>
            </w:r>
            <w:r>
              <w:rPr>
                <w:rFonts w:ascii="Arial" w:cs="Arial" w:eastAsia="Arial" w:hAnsi="Arial"/>
                <w:sz w:val="21"/>
                <w:szCs w:val="21"/>
                <w:color w:val="auto"/>
                <w:vertAlign w:val="superscript"/>
              </w:rPr>
              <w:t>(g)</w:t>
            </w:r>
          </w:p>
        </w:tc>
        <w:tc>
          <w:tcPr>
            <w:tcW w:w="440" w:type="dxa"/>
            <w:vAlign w:val="bottom"/>
            <w:gridSpan w:val="4"/>
          </w:tcPr>
          <w:p>
            <w:pPr>
              <w:ind w:left="100"/>
              <w:spacing w:after="0" w:line="283"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auto"/>
                <w:highlight w:val="lightGray"/>
              </w:rPr>
              <w:t>​ ​</w:t>
            </w:r>
            <w:r>
              <w:rPr>
                <w:rFonts w:ascii="Arial" w:cs="Arial" w:eastAsia="Arial" w:hAnsi="Arial"/>
                <w:sz w:val="17"/>
                <w:szCs w:val="17"/>
                <w:color w:val="auto"/>
              </w:rPr>
              <w:t xml:space="preserve"> </w:t>
            </w:r>
            <w:r>
              <w:rPr>
                <w:rFonts w:ascii="Arial" w:cs="Arial" w:eastAsia="Arial" w:hAnsi="Arial"/>
                <w:sz w:val="32"/>
                <w:szCs w:val="32"/>
                <w:color w:val="auto"/>
                <w:highlight w:val="lightGray"/>
                <w:vertAlign w:val="superscript"/>
              </w:rPr>
              <w:t>​</w:t>
            </w:r>
          </w:p>
        </w:tc>
        <w:tc>
          <w:tcPr>
            <w:tcW w:w="600" w:type="dxa"/>
            <w:vAlign w:val="bottom"/>
          </w:tcPr>
          <w:p>
            <w:pPr>
              <w:jc w:val="right"/>
              <w:spacing w:after="0"/>
              <w:rPr>
                <w:sz w:val="20"/>
                <w:szCs w:val="20"/>
                <w:color w:val="auto"/>
              </w:rPr>
            </w:pPr>
            <w:r>
              <w:rPr>
                <w:rFonts w:ascii="Arial" w:cs="Arial" w:eastAsia="Arial" w:hAnsi="Arial"/>
                <w:sz w:val="18"/>
                <w:szCs w:val="18"/>
                <w:color w:val="auto"/>
                <w:highlight w:val="lightGray"/>
              </w:rPr>
              <w:t>1,511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640" w:type="dxa"/>
            <w:vAlign w:val="bottom"/>
          </w:tcPr>
          <w:p>
            <w:pPr>
              <w:ind w:left="40"/>
              <w:spacing w:after="0" w:line="283" w:lineRule="exact"/>
              <w:rPr>
                <w:sz w:val="20"/>
                <w:szCs w:val="20"/>
                <w:color w:val="auto"/>
              </w:rPr>
            </w:pPr>
            <w:r>
              <w:rPr>
                <w:rFonts w:ascii="Arial" w:cs="Arial" w:eastAsia="Arial" w:hAnsi="Arial"/>
                <w:sz w:val="32"/>
                <w:szCs w:val="32"/>
                <w:color w:val="auto"/>
                <w:highlight w:val="lightGray"/>
                <w:vertAlign w:val="subscript"/>
              </w:rPr>
              <w:t>​</w:t>
            </w:r>
            <w:r>
              <w:rPr>
                <w:rFonts w:ascii="Arial" w:cs="Arial" w:eastAsia="Arial" w:hAnsi="Arial"/>
                <w:sz w:val="17"/>
                <w:szCs w:val="17"/>
                <w:color w:val="auto"/>
                <w:highlight w:val="lightGray"/>
              </w:rPr>
              <w:t>​ 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120" w:type="dxa"/>
            <w:vAlign w:val="bottom"/>
          </w:tcPr>
          <w:p>
            <w:pPr>
              <w:ind w:left="20"/>
              <w:spacing w:after="0"/>
              <w:rPr>
                <w:sz w:val="20"/>
                <w:szCs w:val="20"/>
                <w:color w:val="auto"/>
              </w:rPr>
            </w:pPr>
            <w:r>
              <w:rPr>
                <w:rFonts w:ascii="Arial" w:cs="Arial" w:eastAsia="Arial" w:hAnsi="Arial"/>
                <w:sz w:val="18"/>
                <w:szCs w:val="18"/>
                <w:color w:val="auto"/>
                <w:highlight w:val="lightGray"/>
              </w:rPr>
              <w:t>​</w:t>
            </w:r>
          </w:p>
        </w:tc>
        <w:tc>
          <w:tcPr>
            <w:tcW w:w="80" w:type="dxa"/>
            <w:vAlign w:val="bottom"/>
          </w:tcPr>
          <w:p>
            <w:pPr>
              <w:spacing w:after="0"/>
              <w:rPr>
                <w:sz w:val="20"/>
                <w:szCs w:val="20"/>
                <w:color w:val="auto"/>
              </w:rPr>
            </w:pPr>
            <w:r>
              <w:rPr>
                <w:rFonts w:ascii="Arial" w:cs="Arial" w:eastAsia="Arial" w:hAnsi="Arial"/>
                <w:sz w:val="18"/>
                <w:szCs w:val="18"/>
                <w:color w:val="auto"/>
                <w:highlight w:val="lightGray"/>
              </w:rPr>
              <w:t>​</w:t>
            </w:r>
          </w:p>
        </w:tc>
        <w:tc>
          <w:tcPr>
            <w:tcW w:w="620" w:type="dxa"/>
            <w:vAlign w:val="bottom"/>
          </w:tcPr>
          <w:p>
            <w:pPr>
              <w:jc w:val="right"/>
              <w:spacing w:after="0"/>
              <w:rPr>
                <w:sz w:val="20"/>
                <w:szCs w:val="20"/>
                <w:color w:val="auto"/>
              </w:rPr>
            </w:pPr>
            <w:r>
              <w:rPr>
                <w:rFonts w:ascii="Arial" w:cs="Arial" w:eastAsia="Arial" w:hAnsi="Arial"/>
                <w:sz w:val="18"/>
                <w:szCs w:val="18"/>
                <w:color w:val="auto"/>
                <w:highlight w:val="lightGray"/>
              </w:rPr>
              <w:t>2,576</w:t>
            </w:r>
          </w:p>
        </w:tc>
        <w:tc>
          <w:tcPr>
            <w:tcW w:w="80" w:type="dxa"/>
            <w:vAlign w:val="bottom"/>
          </w:tcPr>
          <w:p>
            <w:pPr>
              <w:jc w:val="center"/>
              <w:spacing w:after="0"/>
              <w:rPr>
                <w:sz w:val="20"/>
                <w:szCs w:val="20"/>
                <w:color w:val="auto"/>
              </w:rPr>
            </w:pPr>
            <w:r>
              <w:rPr>
                <w:rFonts w:ascii="Arial" w:cs="Arial" w:eastAsia="Arial" w:hAnsi="Arial"/>
                <w:sz w:val="18"/>
                <w:szCs w:val="18"/>
                <w:color w:val="auto"/>
                <w:highlight w:val="lightGray"/>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highlight w:val="lightGray"/>
                <w:w w:val="97"/>
              </w:rPr>
              <w:t>​0.2%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940" w:type="dxa"/>
            <w:vAlign w:val="bottom"/>
          </w:tcPr>
          <w:p>
            <w:pPr>
              <w:ind w:left="6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1380" w:type="dxa"/>
            <w:vAlign w:val="bottom"/>
            <w:gridSpan w:val="6"/>
          </w:tcPr>
          <w:p>
            <w:pPr>
              <w:jc w:val="right"/>
              <w:ind w:right="90"/>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$204,749 </w:t>
            </w:r>
            <w:r>
              <w:rPr>
                <w:rFonts w:ascii="Arial" w:cs="Arial" w:eastAsia="Arial" w:hAnsi="Arial"/>
                <w:sz w:val="29"/>
                <w:szCs w:val="29"/>
                <w:color w:val="auto"/>
                <w:vertAlign w:val="subscript"/>
              </w:rPr>
              <w:t>​​​</w:t>
            </w:r>
          </w:p>
        </w:tc>
        <w:tc>
          <w:tcPr>
            <w:tcW w:w="640" w:type="dxa"/>
            <w:vAlign w:val="bottom"/>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9.8%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5"/>
          </w:tcPr>
          <w:p>
            <w:pPr>
              <w:jc w:val="right"/>
              <w:ind w:right="11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$134,148 </w:t>
            </w:r>
            <w:r>
              <w:rPr>
                <w:rFonts w:ascii="Arial" w:cs="Arial" w:eastAsia="Arial" w:hAnsi="Arial"/>
                <w:sz w:val="29"/>
                <w:szCs w:val="29"/>
                <w:color w:val="auto"/>
                <w:vertAlign w:val="subscript"/>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97"/>
              </w:rPr>
              <w:t>​7.8%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Margin on unearned revenue</w:t>
            </w:r>
          </w:p>
        </w:tc>
        <w:tc>
          <w:tcPr>
            <w:tcW w:w="440" w:type="dxa"/>
            <w:vAlign w:val="bottom"/>
            <w:gridSpan w:val="4"/>
          </w:tcPr>
          <w:p>
            <w:pPr>
              <w:ind w:left="10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auto"/>
                <w:highlight w:val="lightGray"/>
              </w:rPr>
              <w:t>​ ​</w:t>
            </w:r>
            <w:r>
              <w:rPr>
                <w:rFonts w:ascii="Arial" w:cs="Arial" w:eastAsia="Arial" w:hAnsi="Arial"/>
                <w:sz w:val="17"/>
                <w:szCs w:val="17"/>
                <w:color w:val="auto"/>
              </w:rPr>
              <w:t xml:space="preserve"> </w:t>
            </w:r>
            <w:r>
              <w:rPr>
                <w:rFonts w:ascii="Arial" w:cs="Arial" w:eastAsia="Arial" w:hAnsi="Arial"/>
                <w:sz w:val="31"/>
                <w:szCs w:val="31"/>
                <w:color w:val="auto"/>
                <w:highlight w:val="lightGray"/>
                <w:vertAlign w:val="superscript"/>
              </w:rPr>
              <w:t>​</w:t>
            </w:r>
          </w:p>
        </w:tc>
        <w:tc>
          <w:tcPr>
            <w:tcW w:w="940" w:type="dxa"/>
            <w:vAlign w:val="bottom"/>
            <w:gridSpan w:val="2"/>
          </w:tcPr>
          <w:p>
            <w:pPr>
              <w:jc w:val="right"/>
              <w:ind w:right="90"/>
              <w:spacing w:after="0" w:line="269" w:lineRule="exact"/>
              <w:rPr>
                <w:sz w:val="20"/>
                <w:szCs w:val="20"/>
                <w:color w:val="auto"/>
              </w:rPr>
            </w:pPr>
            <w:r>
              <w:rPr>
                <w:rFonts w:ascii="Arial" w:cs="Arial" w:eastAsia="Arial" w:hAnsi="Arial"/>
                <w:sz w:val="17"/>
                <w:szCs w:val="17"/>
                <w:color w:val="auto"/>
                <w:highlight w:val="lightGray"/>
              </w:rPr>
              <w:t>(2,249)</w:t>
            </w:r>
            <w:r>
              <w:rPr>
                <w:rFonts w:ascii="Arial" w:cs="Arial" w:eastAsia="Arial" w:hAnsi="Arial"/>
                <w:sz w:val="31"/>
                <w:szCs w:val="31"/>
                <w:color w:val="auto"/>
                <w:highlight w:val="lightGray"/>
                <w:vertAlign w:val="subscript"/>
              </w:rPr>
              <w:t>​</w:t>
            </w:r>
            <w:r>
              <w:rPr>
                <w:rFonts w:ascii="Arial" w:cs="Arial" w:eastAsia="Arial" w:hAnsi="Arial"/>
                <w:sz w:val="31"/>
                <w:szCs w:val="31"/>
                <w:color w:val="auto"/>
                <w:vertAlign w:val="subscript"/>
              </w:rPr>
              <w:t>​</w:t>
            </w:r>
            <w:r>
              <w:rPr>
                <w:rFonts w:ascii="Arial" w:cs="Arial" w:eastAsia="Arial" w:hAnsi="Arial"/>
                <w:sz w:val="31"/>
                <w:szCs w:val="31"/>
                <w:color w:val="auto"/>
                <w:highlight w:val="lightGray"/>
                <w:vertAlign w:val="subscript"/>
              </w:rPr>
              <w:t>​</w:t>
            </w:r>
          </w:p>
        </w:tc>
        <w:tc>
          <w:tcPr>
            <w:tcW w:w="640" w:type="dxa"/>
            <w:vAlign w:val="bottom"/>
          </w:tcPr>
          <w:p>
            <w:pPr>
              <w:ind w:left="40"/>
              <w:spacing w:after="0" w:line="269" w:lineRule="exact"/>
              <w:rPr>
                <w:sz w:val="20"/>
                <w:szCs w:val="20"/>
                <w:color w:val="auto"/>
              </w:rPr>
            </w:pPr>
            <w:r>
              <w:rPr>
                <w:rFonts w:ascii="Arial" w:cs="Arial" w:eastAsia="Arial" w:hAnsi="Arial"/>
                <w:sz w:val="31"/>
                <w:szCs w:val="31"/>
                <w:color w:val="auto"/>
                <w:highlight w:val="lightGray"/>
                <w:vertAlign w:val="subscript"/>
              </w:rPr>
              <w:t>​</w:t>
            </w:r>
            <w:r>
              <w:rPr>
                <w:rFonts w:ascii="Arial" w:cs="Arial" w:eastAsia="Arial" w:hAnsi="Arial"/>
                <w:sz w:val="17"/>
                <w:szCs w:val="17"/>
                <w:color w:val="auto"/>
                <w:highlight w:val="lightGray"/>
              </w:rPr>
              <w:t>​(0.1)%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200" w:type="dxa"/>
            <w:vAlign w:val="bottom"/>
            <w:gridSpan w:val="2"/>
          </w:tcPr>
          <w:p>
            <w:pPr>
              <w:ind w:left="20"/>
              <w:spacing w:after="0" w:line="269"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1"/>
                <w:szCs w:val="31"/>
                <w:color w:val="auto"/>
                <w:highlight w:val="lightGray"/>
                <w:vertAlign w:val="superscript"/>
              </w:rPr>
              <w:t>​</w:t>
            </w:r>
          </w:p>
        </w:tc>
        <w:tc>
          <w:tcPr>
            <w:tcW w:w="620" w:type="dxa"/>
            <w:vAlign w:val="bottom"/>
          </w:tcPr>
          <w:p>
            <w:pPr>
              <w:jc w:val="right"/>
              <w:spacing w:after="0"/>
              <w:rPr>
                <w:sz w:val="20"/>
                <w:szCs w:val="20"/>
                <w:color w:val="auto"/>
              </w:rPr>
            </w:pPr>
            <w:r>
              <w:rPr>
                <w:rFonts w:ascii="Arial" w:cs="Arial" w:eastAsia="Arial" w:hAnsi="Arial"/>
                <w:sz w:val="18"/>
                <w:szCs w:val="18"/>
                <w:color w:val="auto"/>
                <w:highlight w:val="lightGray"/>
              </w:rPr>
              <w:t>3,551</w:t>
            </w:r>
          </w:p>
        </w:tc>
        <w:tc>
          <w:tcPr>
            <w:tcW w:w="80" w:type="dxa"/>
            <w:vAlign w:val="bottom"/>
          </w:tcPr>
          <w:p>
            <w:pPr>
              <w:jc w:val="center"/>
              <w:spacing w:after="0"/>
              <w:rPr>
                <w:sz w:val="20"/>
                <w:szCs w:val="20"/>
                <w:color w:val="auto"/>
              </w:rPr>
            </w:pPr>
            <w:r>
              <w:rPr>
                <w:rFonts w:ascii="Arial" w:cs="Arial" w:eastAsia="Arial" w:hAnsi="Arial"/>
                <w:sz w:val="18"/>
                <w:szCs w:val="18"/>
                <w:color w:val="auto"/>
                <w:highlight w:val="lightGray"/>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highlight w:val="lightGray"/>
                <w:w w:val="97"/>
              </w:rPr>
              <w:t>​0.2%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STIP</w:t>
            </w:r>
          </w:p>
        </w:tc>
        <w:tc>
          <w:tcPr>
            <w:tcW w:w="1380" w:type="dxa"/>
            <w:vAlign w:val="bottom"/>
            <w:gridSpan w:val="6"/>
          </w:tcPr>
          <w:p>
            <w:pPr>
              <w:jc w:val="right"/>
              <w:ind w:right="90"/>
              <w:spacing w:after="0" w:line="269" w:lineRule="exact"/>
              <w:rPr>
                <w:sz w:val="20"/>
                <w:szCs w:val="20"/>
                <w:color w:val="auto"/>
              </w:rPr>
            </w:pPr>
            <w:r>
              <w:rPr>
                <w:rFonts w:ascii="Arial" w:cs="Arial" w:eastAsia="Arial" w:hAnsi="Arial"/>
                <w:sz w:val="31"/>
                <w:szCs w:val="31"/>
                <w:color w:val="auto"/>
                <w:vertAlign w:val="subscript"/>
              </w:rPr>
              <w:t>​​ ​</w:t>
            </w:r>
            <w:r>
              <w:rPr>
                <w:rFonts w:ascii="Arial" w:cs="Arial" w:eastAsia="Arial" w:hAnsi="Arial"/>
                <w:sz w:val="17"/>
                <w:szCs w:val="17"/>
                <w:color w:val="auto"/>
              </w:rPr>
              <w:t xml:space="preserve"> ​ 20,466 </w:t>
            </w:r>
            <w:r>
              <w:rPr>
                <w:rFonts w:ascii="Arial" w:cs="Arial" w:eastAsia="Arial" w:hAnsi="Arial"/>
                <w:sz w:val="31"/>
                <w:szCs w:val="31"/>
                <w:color w:val="auto"/>
                <w:vertAlign w:val="subscript"/>
              </w:rPr>
              <w:t>​​​</w:t>
            </w:r>
          </w:p>
        </w:tc>
        <w:tc>
          <w:tcPr>
            <w:tcW w:w="64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1.0%</w:t>
            </w:r>
          </w:p>
        </w:tc>
        <w:tc>
          <w:tcPr>
            <w:tcW w:w="380" w:type="dxa"/>
            <w:vAlign w:val="bottom"/>
            <w:gridSpan w:val="4"/>
          </w:tcPr>
          <w:p>
            <w:pPr>
              <w:ind w:left="40"/>
              <w:spacing w:after="0" w:line="269"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1"/>
                <w:szCs w:val="31"/>
                <w:color w:val="auto"/>
                <w:vertAlign w:val="superscript"/>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8,653</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 w:type="dxa"/>
            <w:vAlign w:val="bottom"/>
            <w:shd w:val="clear" w:color="auto" w:fill="CCCCCC"/>
          </w:tcPr>
          <w:p>
            <w:pPr>
              <w:spacing w:after="0"/>
              <w:rPr>
                <w:sz w:val="19"/>
                <w:szCs w:val="19"/>
                <w:color w:val="auto"/>
              </w:rPr>
            </w:pPr>
          </w:p>
        </w:tc>
        <w:tc>
          <w:tcPr>
            <w:tcW w:w="4940" w:type="dxa"/>
            <w:vAlign w:val="bottom"/>
            <w:shd w:val="clear" w:color="auto" w:fill="CCCCCC"/>
          </w:tcPr>
          <w:p>
            <w:pPr>
              <w:ind w:left="60"/>
              <w:spacing w:after="0"/>
              <w:rPr>
                <w:sz w:val="20"/>
                <w:szCs w:val="20"/>
                <w:color w:val="auto"/>
              </w:rPr>
            </w:pPr>
            <w:r>
              <w:rPr>
                <w:rFonts w:ascii="Arial" w:cs="Arial" w:eastAsia="Arial" w:hAnsi="Arial"/>
                <w:sz w:val="18"/>
                <w:szCs w:val="18"/>
                <w:b w:val="1"/>
                <w:bCs w:val="1"/>
                <w:color w:val="auto"/>
              </w:rPr>
              <w:t>STIP Adjusted Operating Income / Adjusted Operating</w:t>
            </w:r>
          </w:p>
        </w:tc>
        <w:tc>
          <w:tcPr>
            <w:tcW w:w="120" w:type="dxa"/>
            <w:vAlign w:val="bottom"/>
            <w:shd w:val="clear" w:color="auto" w:fill="CCCCCC"/>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0" w:type="dxa"/>
            <w:vAlign w:val="bottom"/>
            <w:shd w:val="clear" w:color="auto" w:fill="CCCCCC"/>
          </w:tcPr>
          <w:p>
            <w:pPr>
              <w:jc w:val="right"/>
              <w:spacing w:after="0"/>
              <w:rPr>
                <w:sz w:val="20"/>
                <w:szCs w:val="20"/>
                <w:color w:val="auto"/>
              </w:rPr>
            </w:pPr>
            <w:r>
              <w:rPr>
                <w:rFonts w:ascii="Arial" w:cs="Arial" w:eastAsia="Arial" w:hAnsi="Arial"/>
                <w:sz w:val="18"/>
                <w:szCs w:val="18"/>
                <w:color w:val="auto"/>
              </w:rPr>
              <w:t>​</w:t>
            </w:r>
          </w:p>
        </w:tc>
        <w:tc>
          <w:tcPr>
            <w:tcW w:w="4940" w:type="dxa"/>
            <w:vAlign w:val="bottom"/>
            <w:shd w:val="clear" w:color="auto" w:fill="CCCCCC"/>
          </w:tcPr>
          <w:p>
            <w:pPr>
              <w:ind w:left="240"/>
              <w:spacing w:after="0"/>
              <w:rPr>
                <w:sz w:val="20"/>
                <w:szCs w:val="20"/>
                <w:color w:val="auto"/>
              </w:rPr>
            </w:pPr>
            <w:r>
              <w:rPr>
                <w:rFonts w:ascii="Arial" w:cs="Arial" w:eastAsia="Arial" w:hAnsi="Arial"/>
                <w:sz w:val="18"/>
                <w:szCs w:val="18"/>
                <w:b w:val="1"/>
                <w:bCs w:val="1"/>
                <w:color w:val="auto"/>
              </w:rPr>
              <w:t>Margin</w:t>
            </w:r>
          </w:p>
        </w:tc>
        <w:tc>
          <w:tcPr>
            <w:tcW w:w="120" w:type="dxa"/>
            <w:vAlign w:val="bottom"/>
            <w:shd w:val="clear" w:color="auto" w:fill="CCCCCC"/>
          </w:tcPr>
          <w:p>
            <w:pPr>
              <w:spacing w:after="0"/>
              <w:rPr>
                <w:sz w:val="22"/>
                <w:szCs w:val="22"/>
                <w:color w:val="auto"/>
              </w:rPr>
            </w:pPr>
          </w:p>
        </w:tc>
        <w:tc>
          <w:tcPr>
            <w:tcW w:w="1260" w:type="dxa"/>
            <w:vAlign w:val="bottom"/>
            <w:gridSpan w:val="5"/>
          </w:tcPr>
          <w:p>
            <w:pPr>
              <w:jc w:val="right"/>
              <w:ind w:right="90"/>
              <w:spacing w:after="0"/>
              <w:rPr>
                <w:sz w:val="20"/>
                <w:szCs w:val="20"/>
                <w:color w:val="auto"/>
              </w:rPr>
            </w:pPr>
            <w:r>
              <w:rPr>
                <w:rFonts w:ascii="Arial" w:cs="Arial" w:eastAsia="Arial" w:hAnsi="Arial"/>
                <w:sz w:val="18"/>
                <w:szCs w:val="18"/>
                <w:color w:val="auto"/>
              </w:rPr>
              <w:t>​​ ​$222,966 ​​​</w:t>
            </w:r>
          </w:p>
        </w:tc>
        <w:tc>
          <w:tcPr>
            <w:tcW w:w="640" w:type="dxa"/>
            <w:vAlign w:val="bottom"/>
          </w:tcPr>
          <w:p>
            <w:pPr>
              <w:ind w:left="40"/>
              <w:spacing w:after="0"/>
              <w:rPr>
                <w:sz w:val="20"/>
                <w:szCs w:val="20"/>
                <w:color w:val="auto"/>
              </w:rPr>
            </w:pPr>
            <w:r>
              <w:rPr>
                <w:rFonts w:ascii="Arial" w:cs="Arial" w:eastAsia="Arial" w:hAnsi="Arial"/>
                <w:sz w:val="18"/>
                <w:szCs w:val="18"/>
                <w:color w:val="auto"/>
              </w:rPr>
              <w:t>​10.7%</w:t>
            </w:r>
          </w:p>
        </w:tc>
        <w:tc>
          <w:tcPr>
            <w:tcW w:w="1360" w:type="dxa"/>
            <w:vAlign w:val="bottom"/>
            <w:gridSpan w:val="7"/>
          </w:tcPr>
          <w:p>
            <w:pPr>
              <w:jc w:val="right"/>
              <w:ind w:right="110"/>
              <w:spacing w:after="0"/>
              <w:rPr>
                <w:sz w:val="20"/>
                <w:szCs w:val="20"/>
                <w:color w:val="auto"/>
              </w:rPr>
            </w:pPr>
            <w:r>
              <w:rPr>
                <w:rFonts w:ascii="Arial" w:cs="Arial" w:eastAsia="Arial" w:hAnsi="Arial"/>
                <w:sz w:val="18"/>
                <w:szCs w:val="18"/>
                <w:color w:val="auto"/>
              </w:rPr>
              <w:t>​​​ ​$146,352 ​​​</w:t>
            </w:r>
          </w:p>
        </w:tc>
        <w:tc>
          <w:tcPr>
            <w:tcW w:w="500" w:type="dxa"/>
            <w:vAlign w:val="bottom"/>
          </w:tcPr>
          <w:p>
            <w:pPr>
              <w:ind w:left="80"/>
              <w:spacing w:after="0"/>
              <w:rPr>
                <w:sz w:val="20"/>
                <w:szCs w:val="20"/>
                <w:color w:val="auto"/>
              </w:rPr>
            </w:pPr>
            <w:r>
              <w:rPr>
                <w:rFonts w:ascii="Arial" w:cs="Arial" w:eastAsia="Arial" w:hAnsi="Arial"/>
                <w:sz w:val="18"/>
                <w:szCs w:val="18"/>
                <w:color w:val="auto"/>
                <w:w w:val="97"/>
              </w:rPr>
              <w:t>​8.5%</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2021 includes 52 weeks. Fiscal year 2020 includes 53 weeks.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Percentages reflect line item as a percentage of net revenue, adjusted for rounding.</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percentage totals in the table above do not foot due to rounding differences.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highlight w:val="lightGray"/>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highlight w:val="lightGray"/>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highlight w:val="lightGray"/>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highlight w:val="lightGray"/>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highlight w:val="lightGray"/>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90" w:lineRule="exact"/>
        <w:rPr>
          <w:sz w:val="20"/>
          <w:szCs w:val="20"/>
          <w:color w:val="auto"/>
        </w:rPr>
      </w:pPr>
    </w:p>
    <w:p>
      <w:pPr>
        <w:sectPr>
          <w:pgSz w:w="11900" w:h="16838" w:orient="portrait"/>
          <w:cols w:equalWidth="0" w:num="2">
            <w:col w:w="9740" w:space="180"/>
            <w:col w:w="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62  </w:t>
      </w:r>
      <w:r>
        <w:rPr>
          <w:sz w:val="1"/>
          <w:szCs w:val="1"/>
          <w:color w:val="auto"/>
        </w:rPr>
        <w:drawing>
          <wp:inline distT="0" distB="0" distL="0" distR="0">
            <wp:extent cx="300355" cy="24003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Reconciliation of EBITDA and Adjusted EBITDA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111760</wp:posOffset>
            </wp:positionV>
            <wp:extent cx="5837555" cy="2040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37555" cy="204025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387" w:lineRule="exact"/>
        <w:rPr>
          <w:sz w:val="20"/>
          <w:szCs w:val="20"/>
          <w:color w:val="auto"/>
        </w:rPr>
      </w:pPr>
    </w:p>
    <w:p>
      <w:pPr>
        <w:ind w:left="800"/>
        <w:spacing w:after="0"/>
        <w:tabs>
          <w:tab w:leader="none" w:pos="2740" w:val="left"/>
        </w:tabs>
        <w:rPr>
          <w:sz w:val="20"/>
          <w:szCs w:val="20"/>
          <w:color w:val="auto"/>
        </w:rPr>
      </w:pPr>
      <w:r>
        <w:rPr>
          <w:rFonts w:ascii="Arial" w:cs="Arial" w:eastAsia="Arial" w:hAnsi="Arial"/>
          <w:sz w:val="18"/>
          <w:szCs w:val="18"/>
          <w:b w:val="1"/>
          <w:bCs w:val="1"/>
          <w:color w:val="FFFFFF"/>
        </w:rPr>
        <w:t>​</w:t>
      </w:r>
      <w:r>
        <w:rPr>
          <w:sz w:val="20"/>
          <w:szCs w:val="20"/>
          <w:color w:val="auto"/>
        </w:rPr>
        <w:tab/>
      </w:r>
      <w:r>
        <w:rPr>
          <w:rFonts w:ascii="Arial" w:cs="Arial" w:eastAsia="Arial" w:hAnsi="Arial"/>
          <w:sz w:val="18"/>
          <w:szCs w:val="18"/>
          <w:b w:val="1"/>
          <w:bCs w:val="1"/>
          <w:color w:val="FFFFFF"/>
        </w:rPr>
        <w:t>In thousands</w:t>
      </w:r>
    </w:p>
    <w:p>
      <w:pPr>
        <w:ind w:left="800"/>
        <w:spacing w:after="0" w:line="201"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Net income</w:t>
      </w:r>
    </w:p>
    <w:p>
      <w:pPr>
        <w:ind w:left="800"/>
        <w:spacing w:after="0" w:line="184" w:lineRule="auto"/>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Interest expense</w:t>
      </w:r>
    </w:p>
    <w:p>
      <w:pPr>
        <w:ind w:left="800"/>
        <w:spacing w:after="0" w:line="185" w:lineRule="auto"/>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Income tax provision (benefit)</w:t>
      </w:r>
    </w:p>
    <w:p>
      <w:pPr>
        <w:ind w:left="800"/>
        <w:spacing w:after="0" w:line="182" w:lineRule="auto"/>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Depreciation and amortization</w:t>
      </w:r>
    </w:p>
    <w:p>
      <w:pPr>
        <w:ind w:left="800"/>
        <w:spacing w:after="0"/>
        <w:tabs>
          <w:tab w:leader="none" w:pos="980" w:val="left"/>
        </w:tabs>
        <w:rPr>
          <w:sz w:val="20"/>
          <w:szCs w:val="20"/>
          <w:color w:val="auto"/>
        </w:rPr>
      </w:pPr>
      <w:r>
        <w:rPr>
          <w:rFonts w:ascii="Arial" w:cs="Arial" w:eastAsia="Arial" w:hAnsi="Arial"/>
          <w:sz w:val="28"/>
          <w:szCs w:val="28"/>
          <w:color w:val="auto"/>
          <w:vertAlign w:val="subscript"/>
        </w:rPr>
        <w:t>​</w:t>
      </w:r>
      <w:r>
        <w:rPr>
          <w:sz w:val="20"/>
          <w:szCs w:val="20"/>
          <w:color w:val="auto"/>
        </w:rPr>
        <w:tab/>
      </w:r>
      <w:r>
        <w:rPr>
          <w:rFonts w:ascii="Arial" w:cs="Arial" w:eastAsia="Arial" w:hAnsi="Arial"/>
          <w:sz w:val="17"/>
          <w:szCs w:val="17"/>
          <w:color w:val="auto"/>
        </w:rPr>
        <w:t>EBITDA</w:t>
      </w:r>
    </w:p>
    <w:p>
      <w:pPr>
        <w:ind w:left="800"/>
        <w:spacing w:after="0" w:line="182" w:lineRule="auto"/>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Stock compensation expense</w:t>
      </w:r>
      <w:r>
        <w:rPr>
          <w:rFonts w:ascii="Arial" w:cs="Arial" w:eastAsia="Arial" w:hAnsi="Arial"/>
          <w:sz w:val="22"/>
          <w:szCs w:val="22"/>
          <w:color w:val="auto"/>
          <w:vertAlign w:val="superscript"/>
        </w:rPr>
        <w:t>(a)</w:t>
      </w:r>
    </w:p>
    <w:p>
      <w:pPr>
        <w:ind w:left="800"/>
        <w:spacing w:after="0" w:line="182" w:lineRule="auto"/>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Asset impairment</w:t>
      </w:r>
      <w:r>
        <w:rPr>
          <w:rFonts w:ascii="Arial" w:cs="Arial" w:eastAsia="Arial" w:hAnsi="Arial"/>
          <w:sz w:val="22"/>
          <w:szCs w:val="22"/>
          <w:color w:val="auto"/>
          <w:vertAlign w:val="superscript"/>
        </w:rPr>
        <w:t>(b)</w:t>
      </w:r>
    </w:p>
    <w:p>
      <w:pPr>
        <w:ind w:left="800"/>
        <w:spacing w:after="0" w:line="183" w:lineRule="auto"/>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Litigation settlement</w:t>
      </w:r>
      <w:r>
        <w:rPr>
          <w:rFonts w:ascii="Arial" w:cs="Arial" w:eastAsia="Arial" w:hAnsi="Arial"/>
          <w:sz w:val="22"/>
          <w:szCs w:val="22"/>
          <w:color w:val="auto"/>
          <w:vertAlign w:val="superscript"/>
        </w:rPr>
        <w:t>(c)</w:t>
      </w:r>
    </w:p>
    <w:p>
      <w:pPr>
        <w:ind w:left="800"/>
        <w:spacing w:after="0" w:line="186"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Other</w:t>
      </w:r>
      <w:r>
        <w:rPr>
          <w:rFonts w:ascii="Arial" w:cs="Arial" w:eastAsia="Arial" w:hAnsi="Arial"/>
          <w:sz w:val="23"/>
          <w:szCs w:val="23"/>
          <w:color w:val="auto"/>
          <w:vertAlign w:val="superscript"/>
        </w:rPr>
        <w:t>(g)</w:t>
      </w:r>
    </w:p>
    <w:p>
      <w:pPr>
        <w:spacing w:after="0" w:line="1" w:lineRule="exact"/>
        <w:rPr>
          <w:sz w:val="20"/>
          <w:szCs w:val="20"/>
          <w:color w:val="auto"/>
        </w:rPr>
      </w:pPr>
    </w:p>
    <w:p>
      <w:pPr>
        <w:ind w:left="1000" w:hanging="204"/>
        <w:spacing w:after="0"/>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Adjusted EBITDA / Adjusted EBITDA Margin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6"/>
          </w:tcPr>
          <w:p>
            <w:pPr>
              <w:ind w:left="160"/>
              <w:spacing w:after="0"/>
              <w:rPr>
                <w:sz w:val="20"/>
                <w:szCs w:val="20"/>
                <w:color w:val="auto"/>
              </w:rPr>
            </w:pPr>
            <w:r>
              <w:rPr>
                <w:rFonts w:ascii="Arial" w:cs="Arial" w:eastAsia="Arial" w:hAnsi="Arial"/>
                <w:sz w:val="18"/>
                <w:szCs w:val="18"/>
                <w:b w:val="1"/>
                <w:bCs w:val="1"/>
                <w:color w:val="FFFFFF"/>
              </w:rPr>
              <w:t>Fiscal Year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FFFFFF"/>
                <w:w w:val="98"/>
              </w:rPr>
              <w:t>Fiscal Year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2"/>
        </w:trPr>
        <w:tc>
          <w:tcPr>
            <w:tcW w:w="380" w:type="dxa"/>
            <w:vAlign w:val="bottom"/>
            <w:gridSpan w:val="3"/>
          </w:tcPr>
          <w:p>
            <w:pPr>
              <w:spacing w:after="0"/>
              <w:rPr>
                <w:sz w:val="20"/>
                <w:szCs w:val="20"/>
                <w:color w:val="auto"/>
              </w:rPr>
            </w:pPr>
            <w:r>
              <w:rPr>
                <w:rFonts w:ascii="Arial" w:cs="Arial" w:eastAsia="Arial" w:hAnsi="Arial"/>
                <w:sz w:val="18"/>
                <w:szCs w:val="18"/>
                <w:b w:val="1"/>
                <w:bCs w:val="1"/>
                <w:color w:val="FFFFFF"/>
              </w:rPr>
              <w:t>​​</w:t>
            </w:r>
          </w:p>
        </w:tc>
        <w:tc>
          <w:tcPr>
            <w:tcW w:w="92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FFFFFF"/>
                <w:w w:val="99"/>
              </w:rPr>
              <w:t>2021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FFFFFF"/>
              </w:rPr>
              <w:t>​​</w:t>
            </w:r>
          </w:p>
        </w:tc>
        <w:tc>
          <w:tcPr>
            <w:tcW w:w="200" w:type="dxa"/>
            <w:vAlign w:val="bottom"/>
          </w:tcPr>
          <w:p>
            <w:pPr>
              <w:spacing w:after="0"/>
              <w:rPr>
                <w:sz w:val="22"/>
                <w:szCs w:val="22"/>
                <w:color w:val="auto"/>
              </w:rPr>
            </w:pPr>
          </w:p>
        </w:tc>
        <w:tc>
          <w:tcPr>
            <w:tcW w:w="96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FFFFFF"/>
                <w:w w:val="99"/>
              </w:rPr>
              <w:t>2020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FFFFFF"/>
              </w:rPr>
              <w:t>​</w:t>
            </w:r>
          </w:p>
        </w:tc>
      </w:tr>
      <w:tr>
        <w:trPr>
          <w:trHeight w:val="257"/>
        </w:trPr>
        <w:tc>
          <w:tcPr>
            <w:tcW w:w="1300" w:type="dxa"/>
            <w:vAlign w:val="bottom"/>
            <w:gridSpan w:val="6"/>
          </w:tcPr>
          <w:p>
            <w:pPr>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$128,244 </w:t>
            </w:r>
            <w:r>
              <w:rPr>
                <w:rFonts w:ascii="Arial" w:cs="Arial" w:eastAsia="Arial" w:hAnsi="Arial"/>
                <w:sz w:val="29"/>
                <w:szCs w:val="29"/>
                <w:color w:val="auto"/>
                <w:vertAlign w:val="subscript"/>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6.2%</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36,277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 2.1%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300" w:type="dxa"/>
            <w:vAlign w:val="bottom"/>
            <w:gridSpan w:val="6"/>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29"/>
                <w:szCs w:val="29"/>
                <w:color w:val="auto"/>
                <w:highlight w:val="lightGray"/>
                <w:vertAlign w:val="subscript"/>
              </w:rPr>
              <w:t>​ ​</w:t>
            </w:r>
            <w:r>
              <w:rPr>
                <w:rFonts w:ascii="Arial" w:cs="Arial" w:eastAsia="Arial" w:hAnsi="Arial"/>
                <w:sz w:val="16"/>
                <w:szCs w:val="16"/>
                <w:color w:val="auto"/>
                <w:highlight w:val="lightGray"/>
              </w:rPr>
              <w:t xml:space="preserve"> ​ 25,612 </w:t>
            </w:r>
            <w:r>
              <w:rPr>
                <w:rFonts w:ascii="Arial" w:cs="Arial" w:eastAsia="Arial" w:hAnsi="Arial"/>
                <w:sz w:val="29"/>
                <w:szCs w:val="29"/>
                <w:color w:val="auto"/>
                <w:highlight w:val="lightGray"/>
                <w:vertAlign w:val="subscript"/>
              </w:rPr>
              <w:t>​</w:t>
            </w:r>
            <w:r>
              <w:rPr>
                <w:rFonts w:ascii="Arial" w:cs="Arial" w:eastAsia="Arial" w:hAnsi="Arial"/>
                <w:sz w:val="29"/>
                <w:szCs w:val="29"/>
                <w:color w:val="auto"/>
                <w:vertAlign w:val="subscript"/>
              </w:rPr>
              <w:t>​</w:t>
            </w:r>
            <w:r>
              <w:rPr>
                <w:rFonts w:ascii="Arial" w:cs="Arial" w:eastAsia="Arial" w:hAnsi="Arial"/>
                <w:sz w:val="29"/>
                <w:szCs w:val="29"/>
                <w:color w:val="auto"/>
                <w:highlight w:val="lightGray"/>
                <w:vertAlign w:val="subscript"/>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highlight w:val="lightGray"/>
              </w:rPr>
              <w:t>​ 1.2%</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900" w:type="dxa"/>
            <w:vAlign w:val="bottom"/>
            <w:gridSpan w:val="4"/>
          </w:tcPr>
          <w:p>
            <w:pPr>
              <w:spacing w:after="0" w:line="256" w:lineRule="exact"/>
              <w:rPr>
                <w:sz w:val="20"/>
                <w:szCs w:val="20"/>
                <w:color w:val="auto"/>
              </w:rPr>
            </w:pPr>
            <w:r>
              <w:rPr>
                <w:rFonts w:ascii="Arial" w:cs="Arial" w:eastAsia="Arial" w:hAnsi="Arial"/>
                <w:sz w:val="29"/>
                <w:szCs w:val="29"/>
                <w:color w:val="auto"/>
                <w:highlight w:val="lightGray"/>
                <w:vertAlign w:val="subscript"/>
              </w:rPr>
              <w:t>​</w:t>
            </w:r>
            <w:r>
              <w:rPr>
                <w:rFonts w:ascii="Arial" w:cs="Arial" w:eastAsia="Arial" w:hAnsi="Arial"/>
                <w:sz w:val="16"/>
                <w:szCs w:val="16"/>
                <w:color w:val="auto"/>
                <w:highlight w:val="lightGray"/>
              </w:rPr>
              <w:t xml:space="preserve"> ​ 48,327 </w:t>
            </w:r>
            <w:r>
              <w:rPr>
                <w:rFonts w:ascii="Arial" w:cs="Arial" w:eastAsia="Arial" w:hAnsi="Arial"/>
                <w:sz w:val="29"/>
                <w:szCs w:val="29"/>
                <w:color w:val="auto"/>
                <w:highlight w:val="lightGray"/>
                <w:vertAlign w:val="subscript"/>
              </w:rPr>
              <w:t>​</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highlight w:val="lightGray"/>
              </w:rPr>
              <w:t>​ 2.8%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highlight w:val="lightGray"/>
              </w:rPr>
              <w:t>​​</w:t>
            </w:r>
          </w:p>
        </w:tc>
      </w:tr>
      <w:tr>
        <w:trPr>
          <w:trHeight w:val="257"/>
        </w:trPr>
        <w:tc>
          <w:tcPr>
            <w:tcW w:w="1300" w:type="dxa"/>
            <w:vAlign w:val="bottom"/>
            <w:gridSpan w:val="6"/>
          </w:tcPr>
          <w:p>
            <w:pPr>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 ​ 21,081 </w:t>
            </w:r>
            <w:r>
              <w:rPr>
                <w:rFonts w:ascii="Arial" w:cs="Arial" w:eastAsia="Arial" w:hAnsi="Arial"/>
                <w:sz w:val="29"/>
                <w:szCs w:val="29"/>
                <w:color w:val="auto"/>
                <w:vertAlign w:val="subscript"/>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1.0%</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2,403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 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300" w:type="dxa"/>
            <w:vAlign w:val="bottom"/>
            <w:gridSpan w:val="6"/>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29"/>
                <w:szCs w:val="29"/>
                <w:color w:val="auto"/>
                <w:highlight w:val="lightGray"/>
                <w:vertAlign w:val="subscript"/>
              </w:rPr>
              <w:t>​ ​</w:t>
            </w:r>
            <w:r>
              <w:rPr>
                <w:rFonts w:ascii="Arial" w:cs="Arial" w:eastAsia="Arial" w:hAnsi="Arial"/>
                <w:sz w:val="16"/>
                <w:szCs w:val="16"/>
                <w:color w:val="auto"/>
                <w:highlight w:val="lightGray"/>
              </w:rPr>
              <w:t xml:space="preserve"> ​ 97,089 </w:t>
            </w:r>
            <w:r>
              <w:rPr>
                <w:rFonts w:ascii="Arial" w:cs="Arial" w:eastAsia="Arial" w:hAnsi="Arial"/>
                <w:sz w:val="29"/>
                <w:szCs w:val="29"/>
                <w:color w:val="auto"/>
                <w:highlight w:val="lightGray"/>
                <w:vertAlign w:val="subscript"/>
              </w:rPr>
              <w:t>​</w:t>
            </w:r>
            <w:r>
              <w:rPr>
                <w:rFonts w:ascii="Arial" w:cs="Arial" w:eastAsia="Arial" w:hAnsi="Arial"/>
                <w:sz w:val="29"/>
                <w:szCs w:val="29"/>
                <w:color w:val="auto"/>
                <w:vertAlign w:val="subscript"/>
              </w:rPr>
              <w:t>​</w:t>
            </w:r>
            <w:r>
              <w:rPr>
                <w:rFonts w:ascii="Arial" w:cs="Arial" w:eastAsia="Arial" w:hAnsi="Arial"/>
                <w:sz w:val="29"/>
                <w:szCs w:val="29"/>
                <w:color w:val="auto"/>
                <w:highlight w:val="lightGray"/>
                <w:vertAlign w:val="subscript"/>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highlight w:val="lightGray"/>
              </w:rPr>
              <w:t>​ 4.7%</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900" w:type="dxa"/>
            <w:vAlign w:val="bottom"/>
            <w:gridSpan w:val="4"/>
          </w:tcPr>
          <w:p>
            <w:pPr>
              <w:spacing w:after="0" w:line="256" w:lineRule="exact"/>
              <w:rPr>
                <w:sz w:val="20"/>
                <w:szCs w:val="20"/>
                <w:color w:val="auto"/>
              </w:rPr>
            </w:pPr>
            <w:r>
              <w:rPr>
                <w:rFonts w:ascii="Arial" w:cs="Arial" w:eastAsia="Arial" w:hAnsi="Arial"/>
                <w:sz w:val="29"/>
                <w:szCs w:val="29"/>
                <w:color w:val="auto"/>
                <w:highlight w:val="lightGray"/>
                <w:vertAlign w:val="subscript"/>
              </w:rPr>
              <w:t>​</w:t>
            </w:r>
            <w:r>
              <w:rPr>
                <w:rFonts w:ascii="Arial" w:cs="Arial" w:eastAsia="Arial" w:hAnsi="Arial"/>
                <w:sz w:val="16"/>
                <w:szCs w:val="16"/>
                <w:color w:val="auto"/>
                <w:highlight w:val="lightGray"/>
              </w:rPr>
              <w:t xml:space="preserve"> ​ 91,585 </w:t>
            </w:r>
            <w:r>
              <w:rPr>
                <w:rFonts w:ascii="Arial" w:cs="Arial" w:eastAsia="Arial" w:hAnsi="Arial"/>
                <w:sz w:val="29"/>
                <w:szCs w:val="29"/>
                <w:color w:val="auto"/>
                <w:highlight w:val="lightGray"/>
                <w:vertAlign w:val="subscript"/>
              </w:rPr>
              <w:t>​</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highlight w:val="lightGray"/>
              </w:rPr>
              <w:t>​ 5.4%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highlight w:val="lightGray"/>
              </w:rPr>
              <w:t>​​</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CCCC"/>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CCCCCC"/>
            </w:tcBorders>
            <w:shd w:val="clear" w:color="auto" w:fill="CCCCCC"/>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CCCC"/>
          </w:tcPr>
          <w:p>
            <w:pPr>
              <w:spacing w:after="0" w:line="20" w:lineRule="exact"/>
              <w:rPr>
                <w:sz w:val="1"/>
                <w:szCs w:val="1"/>
                <w:color w:val="auto"/>
              </w:rPr>
            </w:pPr>
          </w:p>
        </w:tc>
        <w:tc>
          <w:tcPr>
            <w:tcW w:w="260" w:type="dxa"/>
            <w:vAlign w:val="bottom"/>
            <w:shd w:val="clear" w:color="auto" w:fill="CCCCCC"/>
          </w:tcPr>
          <w:p>
            <w:pPr>
              <w:spacing w:after="0" w:line="20" w:lineRule="exact"/>
              <w:rPr>
                <w:sz w:val="1"/>
                <w:szCs w:val="1"/>
                <w:color w:val="auto"/>
              </w:rPr>
            </w:pPr>
          </w:p>
        </w:tc>
        <w:tc>
          <w:tcPr>
            <w:tcW w:w="80" w:type="dxa"/>
            <w:vAlign w:val="bottom"/>
            <w:shd w:val="clear" w:color="auto" w:fill="CCCC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CCCC"/>
          </w:tcPr>
          <w:p>
            <w:pPr>
              <w:spacing w:after="0" w:line="20" w:lineRule="exact"/>
              <w:rPr>
                <w:sz w:val="1"/>
                <w:szCs w:val="1"/>
                <w:color w:val="auto"/>
              </w:rPr>
            </w:pPr>
          </w:p>
        </w:tc>
        <w:tc>
          <w:tcPr>
            <w:tcW w:w="120" w:type="dxa"/>
            <w:vAlign w:val="bottom"/>
            <w:shd w:val="clear" w:color="auto" w:fill="CCCC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gridSpan w:val="6"/>
          </w:tcPr>
          <w:p>
            <w:pPr>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​272,026 </w:t>
            </w:r>
            <w:r>
              <w:rPr>
                <w:rFonts w:ascii="Arial" w:cs="Arial" w:eastAsia="Arial" w:hAnsi="Arial"/>
                <w:sz w:val="28"/>
                <w:szCs w:val="28"/>
                <w:color w:val="auto"/>
                <w:vertAlign w:val="subscript"/>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​13.1%</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9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​178,592 </w:t>
            </w:r>
            <w:r>
              <w:rPr>
                <w:rFonts w:ascii="Arial" w:cs="Arial" w:eastAsia="Arial" w:hAnsi="Arial"/>
                <w:sz w:val="28"/>
                <w:szCs w:val="28"/>
                <w:color w:val="auto"/>
                <w:vertAlign w:val="subscript"/>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​10.4%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300" w:type="dxa"/>
            <w:vAlign w:val="bottom"/>
            <w:gridSpan w:val="6"/>
          </w:tcPr>
          <w:p>
            <w:pP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32"/>
                <w:szCs w:val="32"/>
                <w:color w:val="auto"/>
                <w:highlight w:val="lightGray"/>
                <w:vertAlign w:val="subscript"/>
              </w:rPr>
              <w:t>​ ​</w:t>
            </w:r>
            <w:r>
              <w:rPr>
                <w:rFonts w:ascii="Arial" w:cs="Arial" w:eastAsia="Arial" w:hAnsi="Arial"/>
                <w:sz w:val="17"/>
                <w:szCs w:val="17"/>
                <w:color w:val="auto"/>
                <w:highlight w:val="lightGray"/>
              </w:rPr>
              <w:t xml:space="preserve"> ​ 14,886 </w:t>
            </w:r>
            <w:r>
              <w:rPr>
                <w:rFonts w:ascii="Arial" w:cs="Arial" w:eastAsia="Arial" w:hAnsi="Arial"/>
                <w:sz w:val="32"/>
                <w:szCs w:val="32"/>
                <w:color w:val="auto"/>
                <w:highlight w:val="lightGray"/>
                <w:vertAlign w:val="subscript"/>
              </w:rPr>
              <w:t>​</w:t>
            </w:r>
            <w:r>
              <w:rPr>
                <w:rFonts w:ascii="Arial" w:cs="Arial" w:eastAsia="Arial" w:hAnsi="Arial"/>
                <w:sz w:val="32"/>
                <w:szCs w:val="32"/>
                <w:color w:val="auto"/>
                <w:vertAlign w:val="subscript"/>
              </w:rPr>
              <w:t>​</w:t>
            </w:r>
            <w:r>
              <w:rPr>
                <w:rFonts w:ascii="Arial" w:cs="Arial" w:eastAsia="Arial" w:hAnsi="Arial"/>
                <w:sz w:val="32"/>
                <w:szCs w:val="32"/>
                <w:color w:val="auto"/>
                <w:highlight w:val="lightGray"/>
                <w:vertAlign w:val="subscript"/>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highlight w:val="lightGray"/>
              </w:rPr>
              <w:t>​ 0.7%</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900" w:type="dxa"/>
            <w:vAlign w:val="bottom"/>
            <w:gridSpan w:val="4"/>
          </w:tcPr>
          <w:p>
            <w:pPr>
              <w:spacing w:after="0" w:line="283" w:lineRule="exact"/>
              <w:rPr>
                <w:sz w:val="20"/>
                <w:szCs w:val="20"/>
                <w:color w:val="auto"/>
              </w:rPr>
            </w:pPr>
            <w:r>
              <w:rPr>
                <w:rFonts w:ascii="Arial" w:cs="Arial" w:eastAsia="Arial" w:hAnsi="Arial"/>
                <w:sz w:val="32"/>
                <w:szCs w:val="32"/>
                <w:color w:val="auto"/>
                <w:highlight w:val="lightGray"/>
                <w:vertAlign w:val="subscript"/>
              </w:rPr>
              <w:t>​</w:t>
            </w:r>
            <w:r>
              <w:rPr>
                <w:rFonts w:ascii="Arial" w:cs="Arial" w:eastAsia="Arial" w:hAnsi="Arial"/>
                <w:sz w:val="17"/>
                <w:szCs w:val="17"/>
                <w:color w:val="auto"/>
                <w:highlight w:val="lightGray"/>
              </w:rPr>
              <w:t xml:space="preserve"> ​ 10,740 </w:t>
            </w:r>
            <w:r>
              <w:rPr>
                <w:rFonts w:ascii="Arial" w:cs="Arial" w:eastAsia="Arial" w:hAnsi="Arial"/>
                <w:sz w:val="32"/>
                <w:szCs w:val="32"/>
                <w:color w:val="auto"/>
                <w:highlight w:val="lightGray"/>
                <w:vertAlign w:val="subscript"/>
              </w:rPr>
              <w:t>​</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highlight w:val="lightGray"/>
              </w:rPr>
              <w:t>​ 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highlight w:val="lightGray"/>
              </w:rPr>
              <w:t>​​</w:t>
            </w:r>
          </w:p>
        </w:tc>
      </w:tr>
      <w:tr>
        <w:trPr>
          <w:trHeight w:val="297"/>
        </w:trPr>
        <w:tc>
          <w:tcPr>
            <w:tcW w:w="380" w:type="dxa"/>
            <w:vAlign w:val="bottom"/>
            <w:gridSpan w:val="3"/>
          </w:tcPr>
          <w:p>
            <w:pPr>
              <w:spacing w:after="0" w:line="297"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4,427</w:t>
            </w:r>
          </w:p>
        </w:tc>
        <w:tc>
          <w:tcPr>
            <w:tcW w:w="34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0.2%</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9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 22,004 </w:t>
            </w:r>
            <w:r>
              <w:rPr>
                <w:rFonts w:ascii="Arial" w:cs="Arial" w:eastAsia="Arial" w:hAnsi="Arial"/>
                <w:sz w:val="34"/>
                <w:szCs w:val="34"/>
                <w:color w:val="auto"/>
                <w:vertAlign w:val="subscript"/>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 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80" w:type="dxa"/>
            <w:vAlign w:val="bottom"/>
            <w:gridSpan w:val="3"/>
          </w:tcPr>
          <w:p>
            <w:pPr>
              <w:spacing w:after="0" w:line="297"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 ​</w:t>
            </w:r>
            <w:r>
              <w:rPr>
                <w:rFonts w:ascii="Arial" w:cs="Arial" w:eastAsia="Arial" w:hAnsi="Arial"/>
                <w:sz w:val="18"/>
                <w:szCs w:val="18"/>
                <w:color w:val="auto"/>
              </w:rPr>
              <w:t xml:space="preserve"> </w:t>
            </w:r>
            <w:r>
              <w:rPr>
                <w:rFonts w:ascii="Arial" w:cs="Arial" w:eastAsia="Arial" w:hAnsi="Arial"/>
                <w:sz w:val="34"/>
                <w:szCs w:val="34"/>
                <w:color w:val="auto"/>
                <w:highlight w:val="lightGray"/>
                <w:vertAlign w:val="superscript"/>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highlight w:val="lightGray"/>
              </w:rPr>
              <w:t>1,500</w:t>
            </w:r>
          </w:p>
        </w:tc>
        <w:tc>
          <w:tcPr>
            <w:tcW w:w="340" w:type="dxa"/>
            <w:vAlign w:val="bottom"/>
          </w:tcPr>
          <w:p>
            <w:pPr>
              <w:jc w:val="center"/>
              <w:ind w:right="5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highlight w:val="lightGray"/>
              </w:rPr>
              <w:t>​ 0.1%</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200" w:type="dxa"/>
            <w:vAlign w:val="bottom"/>
          </w:tcPr>
          <w:p>
            <w:pPr>
              <w:spacing w:after="0" w:line="297" w:lineRule="exact"/>
              <w:rPr>
                <w:sz w:val="20"/>
                <w:szCs w:val="20"/>
                <w:color w:val="auto"/>
              </w:rPr>
            </w:pPr>
            <w:r>
              <w:rPr>
                <w:rFonts w:ascii="Arial" w:cs="Arial" w:eastAsia="Arial" w:hAnsi="Arial"/>
                <w:sz w:val="18"/>
                <w:szCs w:val="18"/>
                <w:color w:val="auto"/>
                <w:highlight w:val="lightGray"/>
              </w:rPr>
              <w:t xml:space="preserve">​ </w:t>
            </w:r>
            <w:r>
              <w:rPr>
                <w:rFonts w:ascii="Arial" w:cs="Arial" w:eastAsia="Arial" w:hAnsi="Arial"/>
                <w:sz w:val="34"/>
                <w:szCs w:val="34"/>
                <w:color w:val="auto"/>
                <w:highlight w:val="lightGray"/>
                <w:vertAlign w:val="superscript"/>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highlight w:val="lightGray"/>
              </w:rPr>
              <w:t>4,395</w:t>
            </w:r>
          </w:p>
        </w:tc>
        <w:tc>
          <w:tcPr>
            <w:tcW w:w="80" w:type="dxa"/>
            <w:vAlign w:val="bottom"/>
          </w:tcPr>
          <w:p>
            <w:pPr>
              <w:jc w:val="center"/>
              <w:spacing w:after="0"/>
              <w:rPr>
                <w:sz w:val="20"/>
                <w:szCs w:val="20"/>
                <w:color w:val="auto"/>
              </w:rPr>
            </w:pPr>
            <w:r>
              <w:rPr>
                <w:rFonts w:ascii="Arial" w:cs="Arial" w:eastAsia="Arial" w:hAnsi="Arial"/>
                <w:sz w:val="18"/>
                <w:szCs w:val="18"/>
                <w:color w:val="auto"/>
                <w:highlight w:val="lightGray"/>
              </w:rPr>
              <w:t>​</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highlight w:val="lightGray"/>
              </w:rPr>
              <w:t>​ 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highlight w:val="lightGray"/>
              </w:rPr>
              <w:t>​​</w:t>
            </w:r>
          </w:p>
        </w:tc>
      </w:tr>
      <w:tr>
        <w:trPr>
          <w:trHeight w:val="297"/>
        </w:trPr>
        <w:tc>
          <w:tcPr>
            <w:tcW w:w="380" w:type="dxa"/>
            <w:vAlign w:val="bottom"/>
            <w:gridSpan w:val="3"/>
          </w:tcPr>
          <w:p>
            <w:pPr>
              <w:spacing w:after="0" w:line="297"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4"/>
                <w:szCs w:val="34"/>
                <w:color w:val="auto"/>
                <w:vertAlign w:val="superscript"/>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1,511</w:t>
            </w:r>
          </w:p>
        </w:tc>
        <w:tc>
          <w:tcPr>
            <w:tcW w:w="34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 0.1%</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97" w:lineRule="exact"/>
              <w:rPr>
                <w:sz w:val="20"/>
                <w:szCs w:val="20"/>
                <w:color w:val="auto"/>
              </w:rPr>
            </w:pPr>
            <w:r>
              <w:rPr>
                <w:rFonts w:ascii="Arial" w:cs="Arial" w:eastAsia="Arial" w:hAnsi="Arial"/>
                <w:sz w:val="18"/>
                <w:szCs w:val="18"/>
                <w:color w:val="auto"/>
              </w:rPr>
              <w:t xml:space="preserve">​ </w:t>
            </w:r>
            <w:r>
              <w:rPr>
                <w:rFonts w:ascii="Arial" w:cs="Arial" w:eastAsia="Arial" w:hAnsi="Arial"/>
                <w:sz w:val="34"/>
                <w:szCs w:val="34"/>
                <w:color w:val="auto"/>
                <w:vertAlign w:val="superscript"/>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2,576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 0.2%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96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 ​$294,350</w:t>
            </w:r>
          </w:p>
        </w:tc>
        <w:tc>
          <w:tcPr>
            <w:tcW w:w="340" w:type="dxa"/>
            <w:vAlign w:val="bottom"/>
          </w:tcPr>
          <w:p>
            <w:pPr>
              <w:jc w:val="center"/>
              <w:ind w:right="5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640" w:type="dxa"/>
            <w:vAlign w:val="bottom"/>
            <w:gridSpan w:val="3"/>
          </w:tcPr>
          <w:p>
            <w:pPr>
              <w:ind w:left="80"/>
              <w:spacing w:after="0"/>
              <w:rPr>
                <w:sz w:val="20"/>
                <w:szCs w:val="20"/>
                <w:color w:val="auto"/>
              </w:rPr>
            </w:pPr>
            <w:r>
              <w:rPr>
                <w:rFonts w:ascii="Arial" w:cs="Arial" w:eastAsia="Arial" w:hAnsi="Arial"/>
                <w:sz w:val="18"/>
                <w:szCs w:val="18"/>
                <w:b w:val="1"/>
                <w:bCs w:val="1"/>
                <w:color w:val="auto"/>
                <w:highlight w:val="lightGray"/>
              </w:rPr>
              <w:t>​</w:t>
            </w:r>
            <w:r>
              <w:rPr>
                <w:rFonts w:ascii="Arial" w:cs="Arial" w:eastAsia="Arial" w:hAnsi="Arial"/>
                <w:sz w:val="18"/>
                <w:szCs w:val="18"/>
                <w:color w:val="auto"/>
                <w:highlight w:val="lightGray"/>
              </w:rPr>
              <w:t>14.2%</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highlight w:val="lightGray"/>
              </w:rPr>
              <w:t>​</w:t>
            </w: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900" w:type="dxa"/>
            <w:vAlign w:val="bottom"/>
            <w:gridSpan w:val="4"/>
          </w:tcPr>
          <w:p>
            <w:pPr>
              <w:spacing w:after="0"/>
              <w:rPr>
                <w:sz w:val="20"/>
                <w:szCs w:val="20"/>
                <w:color w:val="auto"/>
              </w:rPr>
            </w:pPr>
            <w:r>
              <w:rPr>
                <w:rFonts w:ascii="Arial" w:cs="Arial" w:eastAsia="Arial" w:hAnsi="Arial"/>
                <w:sz w:val="18"/>
                <w:szCs w:val="18"/>
                <w:color w:val="auto"/>
                <w:highlight w:val="lightGray"/>
              </w:rPr>
              <w:t>​$218,307 ​</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60"/>
              <w:spacing w:after="0"/>
              <w:rPr>
                <w:sz w:val="20"/>
                <w:szCs w:val="20"/>
                <w:color w:val="auto"/>
              </w:rPr>
            </w:pPr>
            <w:r>
              <w:rPr>
                <w:rFonts w:ascii="Arial" w:cs="Arial" w:eastAsia="Arial" w:hAnsi="Arial"/>
                <w:sz w:val="18"/>
                <w:szCs w:val="18"/>
                <w:b w:val="1"/>
                <w:bCs w:val="1"/>
                <w:color w:val="auto"/>
                <w:highlight w:val="lightGray"/>
              </w:rPr>
              <w:t>​</w:t>
            </w:r>
            <w:r>
              <w:rPr>
                <w:rFonts w:ascii="Arial" w:cs="Arial" w:eastAsia="Arial" w:hAnsi="Arial"/>
                <w:sz w:val="18"/>
                <w:szCs w:val="18"/>
                <w:color w:val="auto"/>
                <w:highlight w:val="lightGray"/>
              </w:rPr>
              <w:t>12.8%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highlight w:val="lightGray"/>
              </w:rPr>
              <w:t>​​</w:t>
            </w:r>
          </w:p>
        </w:tc>
      </w:tr>
    </w:tbl>
    <w:p>
      <w:pPr>
        <w:spacing w:after="0" w:line="77" w:lineRule="exact"/>
        <w:rPr>
          <w:sz w:val="20"/>
          <w:szCs w:val="20"/>
          <w:color w:val="auto"/>
        </w:rPr>
      </w:pPr>
    </w:p>
    <w:p>
      <w:pPr>
        <w:sectPr>
          <w:pgSz w:w="11900" w:h="16838" w:orient="portrait"/>
          <w:cols w:equalWidth="0" w:num="2">
            <w:col w:w="5120" w:space="720"/>
            <w:col w:w="4120"/>
          </w:cols>
          <w:pgMar w:left="580" w:top="97" w:right="1359" w:bottom="1440" w:gutter="0" w:footer="0" w:header="0"/>
          <w:type w:val="continuous"/>
        </w:sectPr>
      </w:pPr>
    </w:p>
    <w:p>
      <w:pPr>
        <w:ind w:left="760"/>
        <w:spacing w:after="0"/>
        <w:rPr>
          <w:sz w:val="20"/>
          <w:szCs w:val="20"/>
          <w:color w:val="auto"/>
        </w:rPr>
      </w:pPr>
      <w:r>
        <w:rPr>
          <w:rFonts w:ascii="Arial" w:cs="Arial" w:eastAsia="Arial" w:hAnsi="Arial"/>
          <w:sz w:val="15"/>
          <w:szCs w:val="15"/>
          <w:color w:val="auto"/>
        </w:rPr>
        <w:t>Note: Fiscal year 2021 includes 52 weeks. Fiscal year 2020 includes 53 weeks.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Percentages reflect line item as a percentage of net revenue, adjusted for rounding.</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247"/>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7"/>
        </w:trPr>
        <w:tc>
          <w:tcPr>
            <w:tcW w:w="20" w:type="dxa"/>
            <w:vAlign w:val="bottom"/>
            <w:tcBorders>
              <w:bottom w:val="single" w:sz="8" w:color="3C5896"/>
            </w:tcBorders>
          </w:tcPr>
          <w:p>
            <w:pPr>
              <w:spacing w:after="0"/>
              <w:rPr>
                <w:sz w:val="11"/>
                <w:szCs w:val="11"/>
                <w:color w:val="auto"/>
              </w:rPr>
            </w:pPr>
          </w:p>
        </w:tc>
        <w:tc>
          <w:tcPr>
            <w:tcW w:w="2140" w:type="dxa"/>
            <w:vAlign w:val="bottom"/>
            <w:tcBorders>
              <w:bottom w:val="single" w:sz="8" w:color="3C5896"/>
            </w:tcBorders>
          </w:tcPr>
          <w:p>
            <w:pPr>
              <w:spacing w:after="0"/>
              <w:rPr>
                <w:sz w:val="11"/>
                <w:szCs w:val="11"/>
                <w:color w:val="auto"/>
              </w:rPr>
            </w:pPr>
          </w:p>
        </w:tc>
        <w:tc>
          <w:tcPr>
            <w:tcW w:w="3560" w:type="dxa"/>
            <w:vAlign w:val="bottom"/>
            <w:tcBorders>
              <w:bottom w:val="single" w:sz="8" w:color="3C5896"/>
            </w:tcBorders>
          </w:tcPr>
          <w:p>
            <w:pPr>
              <w:spacing w:after="0"/>
              <w:rPr>
                <w:sz w:val="11"/>
                <w:szCs w:val="11"/>
                <w:color w:val="auto"/>
              </w:rPr>
            </w:pPr>
          </w:p>
        </w:tc>
        <w:tc>
          <w:tcPr>
            <w:tcW w:w="860" w:type="dxa"/>
            <w:vAlign w:val="bottom"/>
            <w:tcBorders>
              <w:bottom w:val="single" w:sz="8" w:color="3C5896"/>
            </w:tcBorders>
          </w:tcPr>
          <w:p>
            <w:pPr>
              <w:spacing w:after="0"/>
              <w:rPr>
                <w:sz w:val="11"/>
                <w:szCs w:val="11"/>
                <w:color w:val="auto"/>
              </w:rPr>
            </w:pPr>
          </w:p>
        </w:tc>
        <w:tc>
          <w:tcPr>
            <w:tcW w:w="20" w:type="dxa"/>
            <w:vAlign w:val="bottom"/>
            <w:tcBorders>
              <w:bottom w:val="single" w:sz="8" w:color="3C5896"/>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3C5896"/>
            </w:tcBorders>
          </w:tcPr>
          <w:p>
            <w:pPr>
              <w:spacing w:after="0"/>
              <w:rPr>
                <w:sz w:val="11"/>
                <w:szCs w:val="11"/>
                <w:color w:val="auto"/>
              </w:rPr>
            </w:pPr>
          </w:p>
        </w:tc>
        <w:tc>
          <w:tcPr>
            <w:tcW w:w="1060" w:type="dxa"/>
            <w:vAlign w:val="bottom"/>
            <w:tcBorders>
              <w:bottom w:val="single" w:sz="8" w:color="3C5896"/>
            </w:tcBorders>
            <w:gridSpan w:val="2"/>
          </w:tcPr>
          <w:p>
            <w:pPr>
              <w:spacing w:after="0"/>
              <w:rPr>
                <w:sz w:val="11"/>
                <w:szCs w:val="11"/>
                <w:color w:val="auto"/>
              </w:rPr>
            </w:pPr>
          </w:p>
        </w:tc>
        <w:tc>
          <w:tcPr>
            <w:tcW w:w="120" w:type="dxa"/>
            <w:vAlign w:val="bottom"/>
            <w:tcBorders>
              <w:bottom w:val="single" w:sz="8" w:color="3C5896"/>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3C5896"/>
            </w:tcBorders>
          </w:tcPr>
          <w:p>
            <w:pPr>
              <w:spacing w:after="0"/>
              <w:rPr>
                <w:sz w:val="11"/>
                <w:szCs w:val="11"/>
                <w:color w:val="auto"/>
              </w:rPr>
            </w:pPr>
          </w:p>
        </w:tc>
        <w:tc>
          <w:tcPr>
            <w:tcW w:w="1040" w:type="dxa"/>
            <w:vAlign w:val="bottom"/>
            <w:tcBorders>
              <w:bottom w:val="single" w:sz="8" w:color="3C5896"/>
            </w:tcBorders>
            <w:gridSpan w:val="2"/>
          </w:tcPr>
          <w:p>
            <w:pPr>
              <w:spacing w:after="0"/>
              <w:rPr>
                <w:sz w:val="11"/>
                <w:szCs w:val="11"/>
                <w:color w:val="auto"/>
              </w:rPr>
            </w:pPr>
          </w:p>
        </w:tc>
        <w:tc>
          <w:tcPr>
            <w:tcW w:w="160" w:type="dxa"/>
            <w:vAlign w:val="bottom"/>
            <w:tcBorders>
              <w:bottom w:val="single" w:sz="8" w:color="3C5896"/>
            </w:tcBorders>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2140" w:type="dxa"/>
            <w:vAlign w:val="bottom"/>
            <w:shd w:val="clear" w:color="auto" w:fill="3C5896"/>
          </w:tcPr>
          <w:p>
            <w:pPr>
              <w:spacing w:after="0"/>
              <w:rPr>
                <w:sz w:val="16"/>
                <w:szCs w:val="16"/>
                <w:color w:val="auto"/>
              </w:rPr>
            </w:pPr>
          </w:p>
        </w:tc>
        <w:tc>
          <w:tcPr>
            <w:tcW w:w="3560" w:type="dxa"/>
            <w:vAlign w:val="bottom"/>
            <w:shd w:val="clear" w:color="auto" w:fill="3C5896"/>
          </w:tcPr>
          <w:p>
            <w:pPr>
              <w:spacing w:after="0"/>
              <w:rPr>
                <w:sz w:val="16"/>
                <w:szCs w:val="16"/>
                <w:color w:val="auto"/>
              </w:rPr>
            </w:pPr>
          </w:p>
        </w:tc>
        <w:tc>
          <w:tcPr>
            <w:tcW w:w="860" w:type="dxa"/>
            <w:vAlign w:val="bottom"/>
            <w:shd w:val="clear" w:color="auto" w:fill="3C589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FFFFFF"/>
              </w:rPr>
              <w:t>Fiscal Year</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FFFFFF"/>
              </w:rPr>
              <w:t>Fiscal Year</w:t>
            </w:r>
          </w:p>
        </w:tc>
        <w:tc>
          <w:tcPr>
            <w:tcW w:w="160" w:type="dxa"/>
            <w:vAlign w:val="bottom"/>
          </w:tcPr>
          <w:p>
            <w:pPr>
              <w:spacing w:after="0"/>
              <w:rPr>
                <w:sz w:val="16"/>
                <w:szCs w:val="16"/>
                <w:color w:val="auto"/>
              </w:rPr>
            </w:pPr>
          </w:p>
        </w:tc>
      </w:tr>
      <w:tr>
        <w:trPr>
          <w:trHeight w:val="262"/>
        </w:trPr>
        <w:tc>
          <w:tcPr>
            <w:tcW w:w="20" w:type="dxa"/>
            <w:vAlign w:val="bottom"/>
          </w:tcPr>
          <w:p>
            <w:pPr>
              <w:spacing w:after="0"/>
              <w:rPr>
                <w:sz w:val="22"/>
                <w:szCs w:val="22"/>
                <w:color w:val="auto"/>
              </w:rPr>
            </w:pPr>
          </w:p>
        </w:tc>
        <w:tc>
          <w:tcPr>
            <w:tcW w:w="2140" w:type="dxa"/>
            <w:vAlign w:val="bottom"/>
            <w:shd w:val="clear" w:color="auto" w:fill="3C5896"/>
          </w:tcPr>
          <w:p>
            <w:pPr>
              <w:ind w:left="20"/>
              <w:spacing w:after="0"/>
              <w:rPr>
                <w:sz w:val="20"/>
                <w:szCs w:val="20"/>
                <w:color w:val="auto"/>
              </w:rPr>
            </w:pPr>
            <w:r>
              <w:rPr>
                <w:rFonts w:ascii="Arial" w:cs="Arial" w:eastAsia="Arial" w:hAnsi="Arial"/>
                <w:sz w:val="18"/>
                <w:szCs w:val="18"/>
                <w:b w:val="1"/>
                <w:bCs w:val="1"/>
                <w:color w:val="FFFFFF"/>
              </w:rPr>
              <w:t>​</w:t>
            </w:r>
          </w:p>
        </w:tc>
        <w:tc>
          <w:tcPr>
            <w:tcW w:w="3560" w:type="dxa"/>
            <w:vAlign w:val="bottom"/>
            <w:shd w:val="clear" w:color="auto" w:fill="3C5896"/>
          </w:tcPr>
          <w:p>
            <w:pPr>
              <w:ind w:left="260"/>
              <w:spacing w:after="0"/>
              <w:rPr>
                <w:sz w:val="20"/>
                <w:szCs w:val="20"/>
                <w:color w:val="auto"/>
              </w:rPr>
            </w:pPr>
            <w:r>
              <w:rPr>
                <w:rFonts w:ascii="Arial" w:cs="Arial" w:eastAsia="Arial" w:hAnsi="Arial"/>
                <w:sz w:val="18"/>
                <w:szCs w:val="18"/>
                <w:b w:val="1"/>
                <w:bCs w:val="1"/>
                <w:color w:val="FFFFFF"/>
              </w:rPr>
              <w:t>Shares in thousands</w:t>
            </w:r>
          </w:p>
        </w:tc>
        <w:tc>
          <w:tcPr>
            <w:tcW w:w="860" w:type="dxa"/>
            <w:vAlign w:val="bottom"/>
            <w:shd w:val="clear" w:color="auto" w:fill="3C5896"/>
          </w:tcPr>
          <w:p>
            <w:pPr>
              <w:spacing w:after="0"/>
              <w:rPr>
                <w:sz w:val="22"/>
                <w:szCs w:val="22"/>
                <w:color w:val="auto"/>
              </w:rPr>
            </w:pPr>
          </w:p>
        </w:tc>
        <w:tc>
          <w:tcPr>
            <w:tcW w:w="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FFFFFF"/>
              </w:rPr>
              <w:t>​​</w:t>
            </w:r>
          </w:p>
        </w:tc>
        <w:tc>
          <w:tcPr>
            <w:tcW w:w="10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FFFFFF"/>
              </w:rPr>
              <w:t>2021</w:t>
            </w:r>
          </w:p>
        </w:tc>
        <w:tc>
          <w:tcPr>
            <w:tcW w:w="120" w:type="dxa"/>
            <w:vAlign w:val="bottom"/>
          </w:tcPr>
          <w:p>
            <w:pPr>
              <w:spacing w:after="0"/>
              <w:rPr>
                <w:sz w:val="22"/>
                <w:szCs w:val="22"/>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FFFFFF"/>
              </w:rPr>
              <w:t>​​</w:t>
            </w:r>
          </w:p>
        </w:tc>
        <w:tc>
          <w:tcPr>
            <w:tcW w:w="10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FFFFFF"/>
              </w:rPr>
              <w:t>2020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FFFFFF"/>
              </w:rPr>
              <w:t>​</w:t>
            </w:r>
          </w:p>
        </w:tc>
      </w:tr>
      <w:tr>
        <w:trPr>
          <w:trHeight w:val="257"/>
        </w:trPr>
        <w:tc>
          <w:tcPr>
            <w:tcW w:w="20" w:type="dxa"/>
            <w:vAlign w:val="bottom"/>
            <w:shd w:val="clear" w:color="auto" w:fill="3C5896"/>
          </w:tcPr>
          <w:p>
            <w:pPr>
              <w:spacing w:after="0"/>
              <w:rPr>
                <w:sz w:val="22"/>
                <w:szCs w:val="22"/>
                <w:color w:val="auto"/>
              </w:rPr>
            </w:pPr>
          </w:p>
        </w:tc>
        <w:tc>
          <w:tcPr>
            <w:tcW w:w="2140" w:type="dxa"/>
            <w:vAlign w:val="bottom"/>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b w:val="1"/>
                <w:bCs w:val="1"/>
                <w:color w:val="auto"/>
              </w:rPr>
              <w:t>Diluted EPS</w:t>
            </w:r>
          </w:p>
        </w:tc>
        <w:tc>
          <w:tcPr>
            <w:tcW w:w="3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1.43</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shd w:val="clear" w:color="auto" w:fill="3C5896"/>
          </w:tcPr>
          <w:p>
            <w:pPr>
              <w:spacing w:after="0"/>
              <w:rPr>
                <w:sz w:val="24"/>
                <w:szCs w:val="24"/>
                <w:color w:val="auto"/>
              </w:rPr>
            </w:pPr>
          </w:p>
        </w:tc>
        <w:tc>
          <w:tcPr>
            <w:tcW w:w="570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Stock compensation expense</w:t>
            </w:r>
            <w:r>
              <w:rPr>
                <w:rFonts w:ascii="Arial" w:cs="Arial" w:eastAsia="Arial" w:hAnsi="Arial"/>
                <w:sz w:val="21"/>
                <w:szCs w:val="21"/>
                <w:color w:val="auto"/>
                <w:vertAlign w:val="superscript"/>
              </w:rPr>
              <w:t>(a)</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2"/>
                <w:szCs w:val="32"/>
                <w:color w:val="auto"/>
                <w:highlight w:val="lightGray"/>
                <w:vertAlign w:val="superscript"/>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highlight w:val="lightGray"/>
              </w:rPr>
              <w:t>0.15</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2"/>
                <w:szCs w:val="32"/>
                <w:color w:val="auto"/>
                <w:highlight w:val="lightGray"/>
                <w:vertAlign w:val="superscript"/>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highlight w:val="lightGray"/>
              </w:rPr>
              <w:t>0.13</w:t>
            </w:r>
          </w:p>
        </w:tc>
        <w:tc>
          <w:tcPr>
            <w:tcW w:w="16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r>
      <w:tr>
        <w:trPr>
          <w:trHeight w:val="283"/>
        </w:trPr>
        <w:tc>
          <w:tcPr>
            <w:tcW w:w="20" w:type="dxa"/>
            <w:vAlign w:val="bottom"/>
            <w:shd w:val="clear" w:color="auto" w:fill="3C5896"/>
          </w:tcPr>
          <w:p>
            <w:pPr>
              <w:spacing w:after="0"/>
              <w:rPr>
                <w:sz w:val="24"/>
                <w:szCs w:val="24"/>
                <w:color w:val="auto"/>
              </w:rPr>
            </w:pPr>
          </w:p>
        </w:tc>
        <w:tc>
          <w:tcPr>
            <w:tcW w:w="2140" w:type="dxa"/>
            <w:vAlign w:val="bottom"/>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Asset impairment</w:t>
            </w:r>
            <w:r>
              <w:rPr>
                <w:rFonts w:ascii="Arial" w:cs="Arial" w:eastAsia="Arial" w:hAnsi="Arial"/>
                <w:sz w:val="21"/>
                <w:szCs w:val="21"/>
                <w:color w:val="auto"/>
                <w:vertAlign w:val="superscript"/>
              </w:rPr>
              <w:t>(b)</w:t>
            </w:r>
          </w:p>
        </w:tc>
        <w:tc>
          <w:tcPr>
            <w:tcW w:w="356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0.05</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0" w:type="dxa"/>
            <w:vAlign w:val="bottom"/>
            <w:shd w:val="clear" w:color="auto" w:fill="3C5896"/>
          </w:tcPr>
          <w:p>
            <w:pPr>
              <w:spacing w:after="0"/>
              <w:rPr>
                <w:sz w:val="24"/>
                <w:szCs w:val="24"/>
                <w:color w:val="auto"/>
              </w:rPr>
            </w:pPr>
          </w:p>
        </w:tc>
        <w:tc>
          <w:tcPr>
            <w:tcW w:w="2140" w:type="dxa"/>
            <w:vAlign w:val="bottom"/>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Litigation settlement</w:t>
            </w:r>
            <w:r>
              <w:rPr>
                <w:rFonts w:ascii="Arial" w:cs="Arial" w:eastAsia="Arial" w:hAnsi="Arial"/>
                <w:sz w:val="21"/>
                <w:szCs w:val="21"/>
                <w:color w:val="auto"/>
                <w:vertAlign w:val="superscript"/>
              </w:rPr>
              <w:t>(c)</w:t>
            </w:r>
          </w:p>
        </w:tc>
        <w:tc>
          <w:tcPr>
            <w:tcW w:w="356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2"/>
                <w:szCs w:val="32"/>
                <w:color w:val="auto"/>
                <w:highlight w:val="lightGray"/>
                <w:vertAlign w:val="superscript"/>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highlight w:val="lightGray"/>
              </w:rPr>
              <w:t>0.02</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2"/>
                <w:szCs w:val="32"/>
                <w:color w:val="auto"/>
                <w:highlight w:val="lightGray"/>
                <w:vertAlign w:val="superscript"/>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highlight w:val="lightGray"/>
              </w:rPr>
              <w:t>0.05</w:t>
            </w:r>
          </w:p>
        </w:tc>
        <w:tc>
          <w:tcPr>
            <w:tcW w:w="16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r>
      <w:tr>
        <w:trPr>
          <w:trHeight w:val="283"/>
        </w:trPr>
        <w:tc>
          <w:tcPr>
            <w:tcW w:w="20" w:type="dxa"/>
            <w:vAlign w:val="bottom"/>
            <w:shd w:val="clear" w:color="auto" w:fill="3C5896"/>
          </w:tcPr>
          <w:p>
            <w:pPr>
              <w:spacing w:after="0"/>
              <w:rPr>
                <w:sz w:val="24"/>
                <w:szCs w:val="24"/>
                <w:color w:val="auto"/>
              </w:rPr>
            </w:pPr>
          </w:p>
        </w:tc>
        <w:tc>
          <w:tcPr>
            <w:tcW w:w="570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Amortization of acquisition intangibles</w:t>
            </w:r>
            <w:r>
              <w:rPr>
                <w:rFonts w:ascii="Arial" w:cs="Arial" w:eastAsia="Arial" w:hAnsi="Arial"/>
                <w:sz w:val="21"/>
                <w:szCs w:val="21"/>
                <w:color w:val="auto"/>
                <w:vertAlign w:val="superscript"/>
              </w:rPr>
              <w:t>(d)</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0.08</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shd w:val="clear" w:color="auto" w:fill="3C5896"/>
          </w:tcPr>
          <w:p>
            <w:pPr>
              <w:spacing w:after="0"/>
              <w:rPr>
                <w:sz w:val="24"/>
                <w:szCs w:val="24"/>
                <w:color w:val="auto"/>
              </w:rPr>
            </w:pPr>
          </w:p>
        </w:tc>
        <w:tc>
          <w:tcPr>
            <w:tcW w:w="570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Amortization of debt discounts and deferred financing costs</w:t>
            </w:r>
            <w:r>
              <w:rPr>
                <w:rFonts w:ascii="Arial" w:cs="Arial" w:eastAsia="Arial" w:hAnsi="Arial"/>
                <w:sz w:val="21"/>
                <w:szCs w:val="21"/>
                <w:color w:val="auto"/>
                <w:vertAlign w:val="superscript"/>
              </w:rPr>
              <w:t>(e)</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2"/>
                <w:szCs w:val="32"/>
                <w:color w:val="auto"/>
                <w:highlight w:val="lightGray"/>
                <w:vertAlign w:val="superscript"/>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highlight w:val="lightGray"/>
              </w:rPr>
              <w:t>0.02</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2"/>
                <w:szCs w:val="32"/>
                <w:color w:val="auto"/>
                <w:highlight w:val="lightGray"/>
                <w:vertAlign w:val="superscript"/>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highlight w:val="lightGray"/>
              </w:rPr>
              <w:t>0.14</w:t>
            </w:r>
          </w:p>
        </w:tc>
        <w:tc>
          <w:tcPr>
            <w:tcW w:w="16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r>
      <w:tr>
        <w:trPr>
          <w:trHeight w:val="283"/>
        </w:trPr>
        <w:tc>
          <w:tcPr>
            <w:tcW w:w="20" w:type="dxa"/>
            <w:vAlign w:val="bottom"/>
            <w:shd w:val="clear" w:color="auto" w:fill="3C5896"/>
          </w:tcPr>
          <w:p>
            <w:pPr>
              <w:spacing w:after="0"/>
              <w:rPr>
                <w:sz w:val="24"/>
                <w:szCs w:val="24"/>
                <w:color w:val="auto"/>
              </w:rPr>
            </w:pPr>
          </w:p>
        </w:tc>
        <w:tc>
          <w:tcPr>
            <w:tcW w:w="570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Losses (gains) on change in fair value of derivatives</w:t>
            </w:r>
            <w:r>
              <w:rPr>
                <w:rFonts w:ascii="Arial" w:cs="Arial" w:eastAsia="Arial" w:hAnsi="Arial"/>
                <w:sz w:val="21"/>
                <w:szCs w:val="21"/>
                <w:color w:val="auto"/>
                <w:vertAlign w:val="superscript"/>
              </w:rPr>
              <w:t>(f)</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0" w:type="dxa"/>
            <w:vAlign w:val="bottom"/>
            <w:shd w:val="clear" w:color="auto" w:fill="3C5896"/>
          </w:tcPr>
          <w:p>
            <w:pPr>
              <w:spacing w:after="0"/>
              <w:rPr>
                <w:sz w:val="24"/>
                <w:szCs w:val="24"/>
                <w:color w:val="auto"/>
              </w:rPr>
            </w:pPr>
          </w:p>
        </w:tc>
        <w:tc>
          <w:tcPr>
            <w:tcW w:w="2140" w:type="dxa"/>
            <w:vAlign w:val="bottom"/>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Other</w:t>
            </w:r>
            <w:r>
              <w:rPr>
                <w:rFonts w:ascii="Arial" w:cs="Arial" w:eastAsia="Arial" w:hAnsi="Arial"/>
                <w:sz w:val="21"/>
                <w:szCs w:val="21"/>
                <w:color w:val="auto"/>
                <w:vertAlign w:val="superscript"/>
              </w:rPr>
              <w:t>(j)</w:t>
            </w:r>
          </w:p>
        </w:tc>
        <w:tc>
          <w:tcPr>
            <w:tcW w:w="3560" w:type="dxa"/>
            <w:vAlign w:val="bottom"/>
          </w:tcPr>
          <w:p>
            <w:pPr>
              <w:spacing w:after="0"/>
              <w:rPr>
                <w:sz w:val="24"/>
                <w:szCs w:val="2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2"/>
                <w:szCs w:val="32"/>
                <w:color w:val="auto"/>
                <w:highlight w:val="lightGray"/>
                <w:vertAlign w:val="superscript"/>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highlight w:val="lightGray"/>
              </w:rPr>
              <w:t>(0.01)</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highlight w:val="lightGray"/>
              </w:rPr>
              <w:t xml:space="preserve">​ </w:t>
            </w:r>
            <w:r>
              <w:rPr>
                <w:rFonts w:ascii="Arial" w:cs="Arial" w:eastAsia="Arial" w:hAnsi="Arial"/>
                <w:sz w:val="32"/>
                <w:szCs w:val="32"/>
                <w:color w:val="auto"/>
                <w:highlight w:val="lightGray"/>
                <w:vertAlign w:val="superscript"/>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highlight w:val="lightGray"/>
              </w:rPr>
              <w:t>0.03</w:t>
            </w:r>
          </w:p>
        </w:tc>
        <w:tc>
          <w:tcPr>
            <w:tcW w:w="16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r>
      <w:tr>
        <w:trPr>
          <w:trHeight w:val="283"/>
        </w:trPr>
        <w:tc>
          <w:tcPr>
            <w:tcW w:w="20" w:type="dxa"/>
            <w:vAlign w:val="bottom"/>
            <w:shd w:val="clear" w:color="auto" w:fill="3C5896"/>
          </w:tcPr>
          <w:p>
            <w:pPr>
              <w:spacing w:after="0"/>
              <w:rPr>
                <w:sz w:val="24"/>
                <w:szCs w:val="24"/>
                <w:color w:val="auto"/>
              </w:rPr>
            </w:pPr>
          </w:p>
        </w:tc>
        <w:tc>
          <w:tcPr>
            <w:tcW w:w="570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Tax benefit of stock option exercises</w:t>
            </w:r>
            <w:r>
              <w:rPr>
                <w:rFonts w:ascii="Arial" w:cs="Arial" w:eastAsia="Arial" w:hAnsi="Arial"/>
                <w:sz w:val="21"/>
                <w:szCs w:val="21"/>
                <w:color w:val="auto"/>
                <w:vertAlign w:val="superscript"/>
              </w:rPr>
              <w:t>(h)</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(0.15)</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0" w:type="dxa"/>
            <w:vAlign w:val="bottom"/>
            <w:shd w:val="clear" w:color="auto" w:fill="3C5896"/>
          </w:tcPr>
          <w:p>
            <w:pPr>
              <w:spacing w:after="0"/>
              <w:rPr>
                <w:sz w:val="24"/>
                <w:szCs w:val="24"/>
                <w:color w:val="auto"/>
              </w:rPr>
            </w:pPr>
          </w:p>
        </w:tc>
        <w:tc>
          <w:tcPr>
            <w:tcW w:w="5700" w:type="dxa"/>
            <w:vAlign w:val="bottom"/>
            <w:gridSpan w:val="2"/>
          </w:tcPr>
          <w:p>
            <w:pPr>
              <w:ind w:left="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Tax effect of total adjustments</w:t>
            </w:r>
            <w:r>
              <w:rPr>
                <w:rFonts w:ascii="Arial" w:cs="Arial" w:eastAsia="Arial" w:hAnsi="Arial"/>
                <w:sz w:val="21"/>
                <w:szCs w:val="21"/>
                <w:color w:val="auto"/>
                <w:vertAlign w:val="superscript"/>
              </w:rPr>
              <w:t>(i)</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400" w:type="dxa"/>
            <w:vAlign w:val="bottom"/>
          </w:tcPr>
          <w:p>
            <w:pPr>
              <w:ind w:left="200"/>
              <w:spacing w:after="0" w:line="283" w:lineRule="exact"/>
              <w:rPr>
                <w:sz w:val="20"/>
                <w:szCs w:val="20"/>
                <w:color w:val="auto"/>
              </w:rPr>
            </w:pPr>
            <w:r>
              <w:rPr>
                <w:rFonts w:ascii="Arial" w:cs="Arial" w:eastAsia="Arial" w:hAnsi="Arial"/>
                <w:sz w:val="32"/>
                <w:szCs w:val="32"/>
                <w:color w:val="auto"/>
                <w:highlight w:val="lightGray"/>
                <w:vertAlign w:val="subscript"/>
              </w:rPr>
              <w:t>​</w:t>
            </w:r>
            <w:r>
              <w:rPr>
                <w:rFonts w:ascii="Arial" w:cs="Arial" w:eastAsia="Arial" w:hAnsi="Arial"/>
                <w:sz w:val="17"/>
                <w:szCs w:val="17"/>
                <w:color w:val="auto"/>
                <w:highlight w:val="lightGray"/>
              </w:rPr>
              <w:t xml:space="preserve"> ​</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highlight w:val="lightGray"/>
              </w:rPr>
              <w:t>(0.08)</w:t>
            </w:r>
          </w:p>
        </w:tc>
        <w:tc>
          <w:tcPr>
            <w:tcW w:w="120" w:type="dxa"/>
            <w:vAlign w:val="bottom"/>
          </w:tcPr>
          <w:p>
            <w:pPr>
              <w:ind w:left="80"/>
              <w:spacing w:after="0"/>
              <w:rPr>
                <w:sz w:val="20"/>
                <w:szCs w:val="20"/>
                <w:color w:val="auto"/>
              </w:rPr>
            </w:pPr>
            <w:r>
              <w:rPr>
                <w:rFonts w:ascii="Arial" w:cs="Arial" w:eastAsia="Arial" w:hAnsi="Arial"/>
                <w:sz w:val="18"/>
                <w:szCs w:val="18"/>
                <w:color w:val="auto"/>
                <w:highlight w:val="lightGray"/>
              </w:rPr>
              <w:t>​</w:t>
            </w:r>
          </w:p>
        </w:tc>
        <w:tc>
          <w:tcPr>
            <w:tcW w:w="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83" w:lineRule="exact"/>
              <w:rPr>
                <w:sz w:val="20"/>
                <w:szCs w:val="20"/>
                <w:color w:val="auto"/>
              </w:rPr>
            </w:pPr>
            <w:r>
              <w:rPr>
                <w:rFonts w:ascii="Arial" w:cs="Arial" w:eastAsia="Arial" w:hAnsi="Arial"/>
                <w:sz w:val="32"/>
                <w:szCs w:val="32"/>
                <w:color w:val="auto"/>
                <w:highlight w:val="lightGray"/>
                <w:vertAlign w:val="subscript"/>
              </w:rPr>
              <w:t>​</w:t>
            </w:r>
            <w:r>
              <w:rPr>
                <w:rFonts w:ascii="Arial" w:cs="Arial" w:eastAsia="Arial" w:hAnsi="Arial"/>
                <w:sz w:val="17"/>
                <w:szCs w:val="17"/>
                <w:color w:val="auto"/>
                <w:highlight w:val="lightGray"/>
              </w:rPr>
              <w:t xml:space="preserve"> ​</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highlight w:val="lightGray"/>
              </w:rPr>
              <w:t>(0.19)</w:t>
            </w:r>
          </w:p>
        </w:tc>
        <w:tc>
          <w:tcPr>
            <w:tcW w:w="160" w:type="dxa"/>
            <w:vAlign w:val="bottom"/>
          </w:tcPr>
          <w:p>
            <w:pPr>
              <w:jc w:val="right"/>
              <w:spacing w:after="0"/>
              <w:rPr>
                <w:sz w:val="20"/>
                <w:szCs w:val="20"/>
                <w:color w:val="auto"/>
              </w:rPr>
            </w:pPr>
            <w:r>
              <w:rPr>
                <w:rFonts w:ascii="Arial" w:cs="Arial" w:eastAsia="Arial" w:hAnsi="Arial"/>
                <w:sz w:val="18"/>
                <w:szCs w:val="18"/>
                <w:color w:val="auto"/>
                <w:highlight w:val="lightGray"/>
              </w:rPr>
              <w:t>​​</w:t>
            </w:r>
          </w:p>
        </w:tc>
      </w:tr>
      <w:tr>
        <w:trPr>
          <w:trHeight w:val="256"/>
        </w:trPr>
        <w:tc>
          <w:tcPr>
            <w:tcW w:w="20" w:type="dxa"/>
            <w:vAlign w:val="bottom"/>
            <w:shd w:val="clear" w:color="auto" w:fill="3C5896"/>
          </w:tcPr>
          <w:p>
            <w:pPr>
              <w:spacing w:after="0"/>
              <w:rPr>
                <w:sz w:val="22"/>
                <w:szCs w:val="22"/>
                <w:color w:val="auto"/>
              </w:rPr>
            </w:pPr>
          </w:p>
        </w:tc>
        <w:tc>
          <w:tcPr>
            <w:tcW w:w="2140" w:type="dxa"/>
            <w:vAlign w:val="bottom"/>
          </w:tcPr>
          <w:p>
            <w:pPr>
              <w:ind w:left="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b w:val="1"/>
                <w:bCs w:val="1"/>
                <w:color w:val="auto"/>
              </w:rPr>
              <w:t>Adjusted Diluted EPS</w:t>
            </w:r>
          </w:p>
        </w:tc>
        <w:tc>
          <w:tcPr>
            <w:tcW w:w="3560" w:type="dxa"/>
            <w:vAlign w:val="bottom"/>
          </w:tcPr>
          <w:p>
            <w:pPr>
              <w:spacing w:after="0"/>
              <w:rPr>
                <w:sz w:val="22"/>
                <w:szCs w:val="22"/>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1.48</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Borders>
              <w:bottom w:val="single" w:sz="8" w:color="3C5896"/>
            </w:tcBorders>
            <w:shd w:val="clear" w:color="auto" w:fill="3C5896"/>
          </w:tcPr>
          <w:p>
            <w:pPr>
              <w:spacing w:after="0"/>
              <w:rPr>
                <w:sz w:val="21"/>
                <w:szCs w:val="21"/>
                <w:color w:val="auto"/>
              </w:rPr>
            </w:pPr>
          </w:p>
        </w:tc>
        <w:tc>
          <w:tcPr>
            <w:tcW w:w="5700" w:type="dxa"/>
            <w:vAlign w:val="bottom"/>
            <w:tcBorders>
              <w:bottom w:val="single" w:sz="8" w:color="3C5896"/>
            </w:tcBorders>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diluted shares outstanding</w:t>
            </w:r>
          </w:p>
        </w:tc>
        <w:tc>
          <w:tcPr>
            <w:tcW w:w="980" w:type="dxa"/>
            <w:vAlign w:val="bottom"/>
            <w:tcBorders>
              <w:bottom w:val="single" w:sz="8" w:color="3C5896"/>
            </w:tcBorders>
            <w:gridSpan w:val="4"/>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auto"/>
                <w:highlight w:val="lightGray"/>
              </w:rPr>
              <w:t>​</w:t>
            </w:r>
          </w:p>
        </w:tc>
        <w:tc>
          <w:tcPr>
            <w:tcW w:w="1060" w:type="dxa"/>
            <w:vAlign w:val="bottom"/>
            <w:tcBorders>
              <w:bottom w:val="single" w:sz="8" w:color="3C5896"/>
            </w:tcBorders>
            <w:gridSpan w:val="2"/>
          </w:tcPr>
          <w:p>
            <w:pPr>
              <w:jc w:val="right"/>
              <w:ind w:right="110"/>
              <w:spacing w:after="0"/>
              <w:rPr>
                <w:sz w:val="20"/>
                <w:szCs w:val="20"/>
                <w:color w:val="auto"/>
              </w:rPr>
            </w:pPr>
            <w:r>
              <w:rPr>
                <w:rFonts w:ascii="Arial" w:cs="Arial" w:eastAsia="Arial" w:hAnsi="Arial"/>
                <w:sz w:val="18"/>
                <w:szCs w:val="18"/>
                <w:color w:val="auto"/>
                <w:highlight w:val="lightGray"/>
              </w:rPr>
              <w:t>​ ​96,134</w:t>
            </w:r>
          </w:p>
        </w:tc>
        <w:tc>
          <w:tcPr>
            <w:tcW w:w="120" w:type="dxa"/>
            <w:vAlign w:val="bottom"/>
            <w:tcBorders>
              <w:bottom w:val="single" w:sz="8" w:color="3C5896"/>
            </w:tcBorders>
          </w:tcPr>
          <w:p>
            <w:pPr>
              <w:ind w:left="80"/>
              <w:spacing w:after="0"/>
              <w:rPr>
                <w:sz w:val="20"/>
                <w:szCs w:val="20"/>
                <w:color w:val="auto"/>
              </w:rPr>
            </w:pPr>
            <w:r>
              <w:rPr>
                <w:rFonts w:ascii="Arial" w:cs="Arial" w:eastAsia="Arial" w:hAnsi="Arial"/>
                <w:sz w:val="18"/>
                <w:szCs w:val="18"/>
                <w:color w:val="auto"/>
                <w:highlight w:val="lightGray"/>
              </w:rPr>
              <w:t>​</w:t>
            </w:r>
          </w:p>
        </w:tc>
        <w:tc>
          <w:tcPr>
            <w:tcW w:w="120" w:type="dxa"/>
            <w:vAlign w:val="bottom"/>
            <w:tcBorders>
              <w:bottom w:val="single" w:sz="8" w:color="3C5896"/>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3C5896"/>
            </w:tcBorders>
            <w:gridSpan w:val="2"/>
          </w:tcPr>
          <w:p>
            <w:pPr>
              <w:jc w:val="right"/>
              <w:ind w:right="90"/>
              <w:spacing w:after="0"/>
              <w:rPr>
                <w:sz w:val="20"/>
                <w:szCs w:val="20"/>
                <w:color w:val="auto"/>
              </w:rPr>
            </w:pPr>
            <w:r>
              <w:rPr>
                <w:rFonts w:ascii="Arial" w:cs="Arial" w:eastAsia="Arial" w:hAnsi="Arial"/>
                <w:sz w:val="18"/>
                <w:szCs w:val="18"/>
                <w:color w:val="auto"/>
                <w:highlight w:val="lightGray"/>
              </w:rPr>
              <w:t>​ ​82,793</w:t>
            </w:r>
          </w:p>
        </w:tc>
        <w:tc>
          <w:tcPr>
            <w:tcW w:w="16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highlight w:val="lightGray"/>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-2407920</wp:posOffset>
            </wp:positionV>
            <wp:extent cx="5837555" cy="24085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837555" cy="2408555"/>
                    </a:xfrm>
                    <a:prstGeom prst="rect">
                      <a:avLst/>
                    </a:prstGeom>
                    <a:noFill/>
                  </pic:spPr>
                </pic:pic>
              </a:graphicData>
            </a:graphic>
          </wp:anchor>
        </w:drawing>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2021 includes 52 weeks. Fiscal year 2020 includes 53 weeks.</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Some of the totals in the table above do not foot due to rounding differences</w:t>
      </w:r>
    </w:p>
    <w:p>
      <w:pPr>
        <w:spacing w:after="0" w:line="84" w:lineRule="exact"/>
        <w:rPr>
          <w:sz w:val="20"/>
          <w:szCs w:val="20"/>
          <w:color w:val="auto"/>
        </w:rPr>
      </w:pPr>
    </w:p>
    <w:p>
      <w:pPr>
        <w:ind w:left="1120" w:hanging="358"/>
        <w:spacing w:after="0" w:line="283" w:lineRule="auto"/>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Non-cash charges related to stock-based compensation programs, which vary from period to period depending on the timing of awards and performance vesting conditions.</w:t>
      </w:r>
    </w:p>
    <w:p>
      <w:pPr>
        <w:spacing w:after="0" w:line="25" w:lineRule="exact"/>
        <w:rPr>
          <w:rFonts w:ascii="Arial" w:cs="Arial" w:eastAsia="Arial" w:hAnsi="Arial"/>
          <w:sz w:val="15"/>
          <w:szCs w:val="15"/>
          <w:color w:val="auto"/>
        </w:rPr>
      </w:pPr>
    </w:p>
    <w:p>
      <w:pPr>
        <w:ind w:left="1120" w:hanging="358"/>
        <w:spacing w:after="0"/>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Reflects write-off of primarily property, equipment and lease related assets on closed or underperforming stores.</w:t>
      </w:r>
    </w:p>
    <w:p>
      <w:pPr>
        <w:spacing w:after="0" w:line="84" w:lineRule="exact"/>
        <w:rPr>
          <w:rFonts w:ascii="Arial" w:cs="Arial" w:eastAsia="Arial" w:hAnsi="Arial"/>
          <w:sz w:val="15"/>
          <w:szCs w:val="15"/>
          <w:color w:val="auto"/>
        </w:rPr>
      </w:pPr>
    </w:p>
    <w:p>
      <w:pPr>
        <w:ind w:left="1120" w:hanging="358"/>
        <w:spacing w:after="0"/>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Expenses associated with settlement of certain litigation.</w:t>
      </w:r>
    </w:p>
    <w:p>
      <w:pPr>
        <w:spacing w:after="0" w:line="70" w:lineRule="exact"/>
        <w:rPr>
          <w:rFonts w:ascii="Arial" w:cs="Arial" w:eastAsia="Arial" w:hAnsi="Arial"/>
          <w:sz w:val="15"/>
          <w:szCs w:val="15"/>
          <w:color w:val="auto"/>
        </w:rPr>
      </w:pPr>
    </w:p>
    <w:p>
      <w:pPr>
        <w:ind w:left="1120" w:hanging="358"/>
        <w:spacing w:after="0" w:line="301" w:lineRule="auto"/>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Amortization of the increase in carrying values of finite-lived intangible assets resulting from the application of purchase accounting to the acquisition of the Company by affiliates of KKR &amp; Co. Inc.</w:t>
      </w:r>
    </w:p>
    <w:p>
      <w:pPr>
        <w:spacing w:after="0" w:line="12" w:lineRule="exact"/>
        <w:rPr>
          <w:rFonts w:ascii="Arial" w:cs="Arial" w:eastAsia="Arial" w:hAnsi="Arial"/>
          <w:sz w:val="15"/>
          <w:szCs w:val="15"/>
          <w:color w:val="auto"/>
        </w:rPr>
      </w:pPr>
    </w:p>
    <w:p>
      <w:pPr>
        <w:jc w:val="both"/>
        <w:ind w:left="1120" w:hanging="358"/>
        <w:spacing w:after="0" w:line="258" w:lineRule="auto"/>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Amortization of deferred financing costs and other non-cash charges related to our long-term debt, including amortization of the conversion feature related to the 2025 Notes of $10.0 million for fiscal year 2020. We adjust for amortization of deferred financing costs related to the 2025 Notes only when adjusting these costs is not required in the calculation of diluted earnings per share in accordance with the if-converted method under U.S. GAAP. Amortization of debt discount and deferred financing costs total $2.1 million and $11.9 million for fiscal years 2021 and 2020, respectively.</w:t>
      </w:r>
    </w:p>
    <w:p>
      <w:pPr>
        <w:spacing w:after="0" w:line="44" w:lineRule="exact"/>
        <w:rPr>
          <w:rFonts w:ascii="Arial" w:cs="Arial" w:eastAsia="Arial" w:hAnsi="Arial"/>
          <w:sz w:val="15"/>
          <w:szCs w:val="15"/>
          <w:color w:val="auto"/>
        </w:rPr>
      </w:pPr>
    </w:p>
    <w:p>
      <w:pPr>
        <w:ind w:left="1120" w:hanging="358"/>
        <w:spacing w:after="0" w:line="300" w:lineRule="auto"/>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Reflects losses (gains) recognized in interest expense on change in fair value of de-designated hedges of $(3.3) million and $4.0 million for fiscal years end 2021 and 2020, respectively.</w:t>
      </w:r>
    </w:p>
    <w:p>
      <w:pPr>
        <w:jc w:val="both"/>
        <w:ind w:left="1120" w:hanging="358"/>
        <w:spacing w:after="0" w:line="269" w:lineRule="auto"/>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Other adjustments include the following amounts that management believes are not representative of our operating performance (amounts in brackets represent reductions in Adjusted Operating Income, Adjusted Diluted EPS and Adjusted EBITDA) including our share of (gains) losses on equity method investments of $(2.4) million for fiscal year 2021, and other expenses and adjustments which are primarily related to excess payroll taxes on stock option exercises, executive severance and relocation.</w:t>
      </w:r>
    </w:p>
    <w:p>
      <w:pPr>
        <w:spacing w:after="0" w:line="36" w:lineRule="exact"/>
        <w:rPr>
          <w:rFonts w:ascii="Arial" w:cs="Arial" w:eastAsia="Arial" w:hAnsi="Arial"/>
          <w:sz w:val="15"/>
          <w:szCs w:val="15"/>
          <w:color w:val="auto"/>
        </w:rPr>
      </w:pPr>
    </w:p>
    <w:p>
      <w:pPr>
        <w:ind w:left="1120" w:right="20" w:hanging="358"/>
        <w:spacing w:after="0" w:line="283" w:lineRule="auto"/>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Tax benefit associated with accounting guidance requiring excess tax benefits related to stock option exercises to be recorded in earnings as discrete items in the reporting period in which they occur.</w:t>
      </w:r>
    </w:p>
    <w:p>
      <w:pPr>
        <w:spacing w:after="0" w:line="25" w:lineRule="exact"/>
        <w:rPr>
          <w:rFonts w:ascii="Arial" w:cs="Arial" w:eastAsia="Arial" w:hAnsi="Arial"/>
          <w:sz w:val="15"/>
          <w:szCs w:val="15"/>
          <w:color w:val="auto"/>
        </w:rPr>
      </w:pPr>
    </w:p>
    <w:p>
      <w:pPr>
        <w:ind w:left="1120" w:hanging="358"/>
        <w:spacing w:after="0"/>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Represents the income tax effect of the total adjustments at our combined statutory federal and state income tax rates.</w:t>
      </w:r>
    </w:p>
    <w:p>
      <w:pPr>
        <w:spacing w:after="0" w:line="84" w:lineRule="exact"/>
        <w:rPr>
          <w:rFonts w:ascii="Arial" w:cs="Arial" w:eastAsia="Arial" w:hAnsi="Arial"/>
          <w:sz w:val="15"/>
          <w:szCs w:val="15"/>
          <w:color w:val="auto"/>
        </w:rPr>
      </w:pPr>
    </w:p>
    <w:p>
      <w:pPr>
        <w:ind w:left="1120" w:right="20" w:hanging="358"/>
        <w:spacing w:after="0" w:line="283" w:lineRule="auto"/>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Reflects other expenses in (g) above, including the impact of stranded tax effect of $(2.1) million for fiscal year 2021 associated with our interest rate swaps that matured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64  </w:t>
      </w:r>
      <w:r>
        <w:rPr>
          <w:sz w:val="1"/>
          <w:szCs w:val="1"/>
          <w:color w:val="auto"/>
        </w:rPr>
        <w:drawing>
          <wp:inline distT="0" distB="0" distL="0" distR="0">
            <wp:extent cx="300355" cy="24003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color w:val="auto"/>
        </w:rPr>
        <w:t xml:space="preserve">  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192405</wp:posOffset>
            </wp:positionV>
            <wp:extent cx="5837555" cy="1803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837555" cy="180340"/>
                    </a:xfrm>
                    <a:prstGeom prst="rect">
                      <a:avLst/>
                    </a:prstGeom>
                    <a:noFill/>
                  </pic:spPr>
                </pic:pic>
              </a:graphicData>
            </a:graphic>
          </wp:anchor>
        </w:drawing>
      </w:r>
    </w:p>
    <w:p>
      <w:pPr>
        <w:spacing w:after="0" w:line="346"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APPENDIX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111760</wp:posOffset>
            </wp:positionV>
            <wp:extent cx="5837555" cy="19888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837555" cy="1988820"/>
                    </a:xfrm>
                    <a:prstGeom prst="rect">
                      <a:avLst/>
                    </a:prstGeom>
                    <a:noFill/>
                  </pic:spPr>
                </pic:pic>
              </a:graphicData>
            </a:graphic>
          </wp:anchor>
        </w:drawing>
      </w:r>
    </w:p>
    <w:p>
      <w:pPr>
        <w:spacing w:after="0" w:line="156" w:lineRule="exact"/>
        <w:rPr>
          <w:sz w:val="20"/>
          <w:szCs w:val="20"/>
          <w:color w:val="auto"/>
        </w:rPr>
      </w:pPr>
    </w:p>
    <w:tbl>
      <w:tblPr>
        <w:tblLayout w:type="fixed"/>
        <w:tblInd w:w="770" w:type="dxa"/>
        <w:tblCellMar>
          <w:top w:w="0" w:type="dxa"/>
          <w:left w:w="0" w:type="dxa"/>
          <w:bottom w:w="0" w:type="dxa"/>
          <w:right w:w="0" w:type="dxa"/>
        </w:tblCellMar>
      </w:tblPr>
      <w:tr>
        <w:trPr>
          <w:trHeight w:val="220"/>
        </w:trPr>
        <w:tc>
          <w:tcPr>
            <w:tcW w:w="5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ind w:left="160"/>
              <w:spacing w:after="0"/>
              <w:rPr>
                <w:sz w:val="20"/>
                <w:szCs w:val="20"/>
                <w:color w:val="auto"/>
              </w:rPr>
            </w:pPr>
            <w:r>
              <w:rPr>
                <w:rFonts w:ascii="Arial" w:cs="Arial" w:eastAsia="Arial" w:hAnsi="Arial"/>
                <w:sz w:val="18"/>
                <w:szCs w:val="18"/>
                <w:b w:val="1"/>
                <w:bCs w:val="1"/>
                <w:color w:val="FFFFFF"/>
              </w:rPr>
              <w:t>Comparable store sales</w:t>
            </w:r>
          </w:p>
        </w:tc>
        <w:tc>
          <w:tcPr>
            <w:tcW w:w="160" w:type="dxa"/>
            <w:vAlign w:val="bottom"/>
          </w:tcPr>
          <w:p>
            <w:pPr>
              <w:spacing w:after="0"/>
              <w:rPr>
                <w:sz w:val="19"/>
                <w:szCs w:val="19"/>
                <w:color w:val="auto"/>
              </w:rPr>
            </w:pPr>
          </w:p>
        </w:tc>
      </w:tr>
      <w:tr>
        <w:trPr>
          <w:trHeight w:val="266"/>
        </w:trPr>
        <w:tc>
          <w:tcPr>
            <w:tcW w:w="5020" w:type="dxa"/>
            <w:vAlign w:val="bottom"/>
          </w:tcPr>
          <w:p>
            <w:pPr>
              <w:jc w:val="right"/>
              <w:ind w:right="4836"/>
              <w:spacing w:after="0"/>
              <w:rPr>
                <w:sz w:val="20"/>
                <w:szCs w:val="20"/>
                <w:color w:val="auto"/>
              </w:rPr>
            </w:pPr>
            <w:r>
              <w:rPr>
                <w:rFonts w:ascii="Arial" w:cs="Arial" w:eastAsia="Arial" w:hAnsi="Arial"/>
                <w:sz w:val="18"/>
                <w:szCs w:val="18"/>
                <w:b w:val="1"/>
                <w:bCs w:val="1"/>
                <w:color w:val="FFFFFF"/>
              </w:rPr>
              <w:t>​​</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FFFFFF"/>
              </w:rPr>
              <w:t>​​</w:t>
            </w:r>
          </w:p>
        </w:tc>
        <w:tc>
          <w:tcPr>
            <w:tcW w:w="1720" w:type="dxa"/>
            <w:vAlign w:val="bottom"/>
            <w:gridSpan w:val="3"/>
          </w:tcPr>
          <w:p>
            <w:pPr>
              <w:ind w:left="820"/>
              <w:spacing w:after="0"/>
              <w:rPr>
                <w:sz w:val="20"/>
                <w:szCs w:val="20"/>
                <w:color w:val="auto"/>
              </w:rPr>
            </w:pPr>
            <w:r>
              <w:rPr>
                <w:rFonts w:ascii="Arial" w:cs="Arial" w:eastAsia="Arial" w:hAnsi="Arial"/>
                <w:sz w:val="18"/>
                <w:szCs w:val="18"/>
                <w:b w:val="1"/>
                <w:bCs w:val="1"/>
                <w:color w:val="FFFFFF"/>
              </w:rPr>
              <w:t>growth</w:t>
            </w:r>
            <w:r>
              <w:rPr>
                <w:rFonts w:ascii="Arial" w:cs="Arial" w:eastAsia="Arial" w:hAnsi="Arial"/>
                <w:sz w:val="23"/>
                <w:szCs w:val="23"/>
                <w:b w:val="1"/>
                <w:bCs w:val="1"/>
                <w:color w:val="FFFFFF"/>
                <w:vertAlign w:val="superscript"/>
              </w:rPr>
              <w:t>(a)</w:t>
            </w:r>
          </w:p>
        </w:tc>
        <w:tc>
          <w:tcPr>
            <w:tcW w:w="6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FFFFFF"/>
              </w:rPr>
              <w:t>​</w:t>
            </w:r>
          </w:p>
        </w:tc>
      </w:tr>
      <w:tr>
        <w:trPr>
          <w:trHeight w:val="184"/>
        </w:trPr>
        <w:tc>
          <w:tcPr>
            <w:tcW w:w="5020" w:type="dxa"/>
            <w:vAlign w:val="bottom"/>
            <w:tcBorders>
              <w:left w:val="single" w:sz="8" w:color="3C5896"/>
            </w:tcBorders>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ind w:left="60"/>
              <w:spacing w:after="0" w:line="183" w:lineRule="exact"/>
              <w:rPr>
                <w:sz w:val="20"/>
                <w:szCs w:val="20"/>
                <w:color w:val="auto"/>
              </w:rPr>
            </w:pPr>
            <w:r>
              <w:rPr>
                <w:rFonts w:ascii="Arial" w:cs="Arial" w:eastAsia="Arial" w:hAnsi="Arial"/>
                <w:sz w:val="18"/>
                <w:szCs w:val="18"/>
                <w:b w:val="1"/>
                <w:bCs w:val="1"/>
                <w:color w:val="FFFFFF"/>
              </w:rPr>
              <w:t>Fiscal Year</w:t>
            </w:r>
          </w:p>
        </w:tc>
        <w:tc>
          <w:tcPr>
            <w:tcW w:w="260" w:type="dxa"/>
            <w:vAlign w:val="bottom"/>
          </w:tcPr>
          <w:p>
            <w:pPr>
              <w:spacing w:after="0"/>
              <w:rPr>
                <w:sz w:val="15"/>
                <w:szCs w:val="15"/>
                <w:color w:val="auto"/>
              </w:rPr>
            </w:pPr>
          </w:p>
        </w:tc>
        <w:tc>
          <w:tcPr>
            <w:tcW w:w="1040" w:type="dxa"/>
            <w:vAlign w:val="bottom"/>
            <w:gridSpan w:val="2"/>
          </w:tcPr>
          <w:p>
            <w:pPr>
              <w:ind w:left="40"/>
              <w:spacing w:after="0" w:line="183" w:lineRule="exact"/>
              <w:rPr>
                <w:sz w:val="20"/>
                <w:szCs w:val="20"/>
                <w:color w:val="auto"/>
              </w:rPr>
            </w:pPr>
            <w:r>
              <w:rPr>
                <w:rFonts w:ascii="Arial" w:cs="Arial" w:eastAsia="Arial" w:hAnsi="Arial"/>
                <w:sz w:val="18"/>
                <w:szCs w:val="18"/>
                <w:b w:val="1"/>
                <w:bCs w:val="1"/>
                <w:color w:val="FFFFFF"/>
              </w:rPr>
              <w:t>Fiscal Year</w:t>
            </w:r>
          </w:p>
        </w:tc>
        <w:tc>
          <w:tcPr>
            <w:tcW w:w="160" w:type="dxa"/>
            <w:vAlign w:val="bottom"/>
          </w:tcPr>
          <w:p>
            <w:pPr>
              <w:spacing w:after="0"/>
              <w:rPr>
                <w:sz w:val="15"/>
                <w:szCs w:val="15"/>
                <w:color w:val="auto"/>
              </w:rPr>
            </w:pPr>
          </w:p>
        </w:tc>
      </w:tr>
      <w:tr>
        <w:trPr>
          <w:trHeight w:val="262"/>
        </w:trPr>
        <w:tc>
          <w:tcPr>
            <w:tcW w:w="5020" w:type="dxa"/>
            <w:vAlign w:val="bottom"/>
            <w:tcBorders>
              <w:left w:val="single" w:sz="8" w:color="3C5896"/>
            </w:tcBorders>
          </w:tcPr>
          <w:p>
            <w:pPr>
              <w:jc w:val="right"/>
              <w:ind w:right="4836"/>
              <w:spacing w:after="0"/>
              <w:rPr>
                <w:sz w:val="20"/>
                <w:szCs w:val="20"/>
                <w:color w:val="auto"/>
              </w:rPr>
            </w:pPr>
            <w:r>
              <w:rPr>
                <w:rFonts w:ascii="Arial" w:cs="Arial" w:eastAsia="Arial" w:hAnsi="Arial"/>
                <w:sz w:val="18"/>
                <w:szCs w:val="18"/>
                <w:b w:val="1"/>
                <w:bCs w:val="1"/>
                <w:color w:val="FFFFFF"/>
              </w:rPr>
              <w:t>​​</w:t>
            </w:r>
          </w:p>
        </w:tc>
        <w:tc>
          <w:tcPr>
            <w:tcW w:w="15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1060" w:type="dxa"/>
            <w:vAlign w:val="bottom"/>
          </w:tcPr>
          <w:p>
            <w:pPr>
              <w:ind w:left="340"/>
              <w:spacing w:after="0"/>
              <w:rPr>
                <w:sz w:val="20"/>
                <w:szCs w:val="20"/>
                <w:color w:val="auto"/>
              </w:rPr>
            </w:pPr>
            <w:r>
              <w:rPr>
                <w:rFonts w:ascii="Arial" w:cs="Arial" w:eastAsia="Arial" w:hAnsi="Arial"/>
                <w:sz w:val="18"/>
                <w:szCs w:val="18"/>
                <w:b w:val="1"/>
                <w:bCs w:val="1"/>
                <w:color w:val="FFFFFF"/>
              </w:rPr>
              <w:t>2021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FFFFFF"/>
              </w:rPr>
              <w:t>​​</w:t>
            </w: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FFFFFF"/>
              </w:rPr>
              <w:t>2020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FFFFFF"/>
              </w:rPr>
              <w:t>​</w:t>
            </w:r>
          </w:p>
        </w:tc>
      </w:tr>
      <w:tr>
        <w:trPr>
          <w:trHeight w:val="257"/>
        </w:trPr>
        <w:tc>
          <w:tcPr>
            <w:tcW w:w="5020" w:type="dxa"/>
            <w:vAlign w:val="bottom"/>
            <w:tcBorders>
              <w:left w:val="single" w:sz="8" w:color="3C5896"/>
            </w:tcBorders>
          </w:tcPr>
          <w:p>
            <w:pPr>
              <w:ind w:left="40"/>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Owned &amp; Host segment</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   ​</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5020" w:type="dxa"/>
            <w:vAlign w:val="bottom"/>
            <w:tcBorders>
              <w:left w:val="single" w:sz="8" w:color="3C5896"/>
            </w:tcBorders>
            <w:shd w:val="clear" w:color="auto" w:fill="CCCCCC"/>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America’s Best</w:t>
            </w:r>
          </w:p>
        </w:tc>
        <w:tc>
          <w:tcPr>
            <w:tcW w:w="1540" w:type="dxa"/>
            <w:vAlign w:val="bottom"/>
            <w:shd w:val="clear" w:color="auto" w:fill="CCCCCC"/>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3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​23.5%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Borders>
              <w:left w:val="single" w:sz="8" w:color="3C5896"/>
            </w:tcBorders>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Eyeglass World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3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​25.2%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Borders>
              <w:left w:val="single" w:sz="8" w:color="3C5896"/>
            </w:tcBorders>
            <w:shd w:val="clear" w:color="auto" w:fill="CCCCCC"/>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Military</w:t>
            </w:r>
          </w:p>
        </w:tc>
        <w:tc>
          <w:tcPr>
            <w:tcW w:w="1540" w:type="dxa"/>
            <w:vAlign w:val="bottom"/>
            <w:shd w:val="clear" w:color="auto" w:fill="CCCCCC"/>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3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Borders>
              <w:left w:val="single" w:sz="8" w:color="3C5896"/>
            </w:tcBorders>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Fred Meyer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3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​(21.6)%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Borders>
              <w:left w:val="single" w:sz="8" w:color="3C5896"/>
            </w:tcBorders>
            <w:shd w:val="clear" w:color="auto" w:fill="CCCCCC"/>
          </w:tcPr>
          <w:p>
            <w:pPr>
              <w:ind w:lef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b w:val="1"/>
                <w:bCs w:val="1"/>
                <w:color w:val="auto"/>
              </w:rPr>
              <w:t>Legacy segment</w:t>
            </w:r>
          </w:p>
        </w:tc>
        <w:tc>
          <w:tcPr>
            <w:tcW w:w="1540" w:type="dxa"/>
            <w:vAlign w:val="bottom"/>
            <w:shd w:val="clear" w:color="auto" w:fill="CCCCCC"/>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3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​19.3%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​(12.3)%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020" w:type="dxa"/>
            <w:vAlign w:val="bottom"/>
            <w:tcBorders>
              <w:left w:val="single" w:sz="8" w:color="3C5896"/>
            </w:tcBorders>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Total comparable store sales growth</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3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020" w:type="dxa"/>
            <w:vAlign w:val="bottom"/>
            <w:tcBorders>
              <w:left w:val="single" w:sz="8" w:color="3C5896"/>
              <w:bottom w:val="single" w:sz="8" w:color="3C5896"/>
            </w:tcBorders>
            <w:shd w:val="clear" w:color="auto" w:fill="CCCCCC"/>
          </w:tcPr>
          <w:p>
            <w:pPr>
              <w:ind w:left="4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Adjusted Comparable Store Sales Growth</w:t>
            </w:r>
            <w:r>
              <w:rPr>
                <w:rFonts w:ascii="Arial" w:cs="Arial" w:eastAsia="Arial" w:hAnsi="Arial"/>
                <w:sz w:val="22"/>
                <w:szCs w:val="22"/>
                <w:color w:val="auto"/>
                <w:vertAlign w:val="superscript"/>
              </w:rPr>
              <w:t>(b)</w:t>
            </w:r>
          </w:p>
        </w:tc>
        <w:tc>
          <w:tcPr>
            <w:tcW w:w="1540" w:type="dxa"/>
            <w:vAlign w:val="bottom"/>
            <w:tcBorders>
              <w:bottom w:val="single" w:sz="8" w:color="3C5896"/>
            </w:tcBorders>
            <w:shd w:val="clear" w:color="auto" w:fill="CCCCCC"/>
          </w:tcPr>
          <w:p>
            <w:pPr>
              <w:spacing w:after="0"/>
              <w:rPr>
                <w:sz w:val="24"/>
                <w:szCs w:val="24"/>
                <w:color w:val="auto"/>
              </w:rPr>
            </w:pPr>
          </w:p>
        </w:tc>
        <w:tc>
          <w:tcPr>
            <w:tcW w:w="12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3C5896"/>
            </w:tcBorders>
          </w:tcPr>
          <w:p>
            <w:pPr>
              <w:ind w:left="360"/>
              <w:spacing w:after="0"/>
              <w:rPr>
                <w:sz w:val="20"/>
                <w:szCs w:val="20"/>
                <w:color w:val="auto"/>
              </w:rPr>
            </w:pPr>
            <w:r>
              <w:rPr>
                <w:rFonts w:ascii="Arial" w:cs="Arial" w:eastAsia="Arial" w:hAnsi="Arial"/>
                <w:sz w:val="18"/>
                <w:szCs w:val="18"/>
                <w:color w:val="auto"/>
              </w:rPr>
              <w:t>​23.0%</w:t>
            </w:r>
          </w:p>
        </w:tc>
        <w:tc>
          <w:tcPr>
            <w:tcW w:w="26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3C5896"/>
            </w:tcBorders>
          </w:tcPr>
          <w:p>
            <w:pPr>
              <w:ind w:left="3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3C5896"/>
            </w:tcBorders>
          </w:tcPr>
          <w:p>
            <w:pPr>
              <w:jc w:val="right"/>
              <w:spacing w:after="0"/>
              <w:rPr>
                <w:sz w:val="20"/>
                <w:szCs w:val="20"/>
                <w:color w:val="auto"/>
              </w:rPr>
            </w:pPr>
            <w:r>
              <w:rPr>
                <w:rFonts w:ascii="Arial" w:cs="Arial" w:eastAsia="Arial" w:hAnsi="Arial"/>
                <w:sz w:val="18"/>
                <w:szCs w:val="18"/>
                <w:color w:val="auto"/>
              </w:rPr>
              <w:t>​​</w:t>
            </w:r>
          </w:p>
        </w:tc>
      </w:tr>
    </w:tbl>
    <w:p>
      <w:pPr>
        <w:spacing w:after="0" w:line="6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Note: Fiscal year 2021 includes 52 weeks. Fiscal year 2020 includes 53 weeks.</w:t>
      </w:r>
    </w:p>
    <w:p>
      <w:pPr>
        <w:spacing w:after="0" w:line="84" w:lineRule="exact"/>
        <w:rPr>
          <w:sz w:val="20"/>
          <w:szCs w:val="20"/>
          <w:color w:val="auto"/>
        </w:rPr>
      </w:pPr>
    </w:p>
    <w:p>
      <w:pPr>
        <w:jc w:val="both"/>
        <w:ind w:left="1120" w:hanging="358"/>
        <w:spacing w:after="0" w:line="256"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in our 2021 Form 10-K, with the exception of the Legacy segment, which is adjusted as noted in</w:t>
      </w:r>
    </w:p>
    <w:p>
      <w:pPr>
        <w:spacing w:after="0" w:line="1" w:lineRule="exact"/>
        <w:rPr>
          <w:rFonts w:ascii="Arial" w:cs="Arial" w:eastAsia="Arial" w:hAnsi="Arial"/>
          <w:sz w:val="15"/>
          <w:szCs w:val="15"/>
          <w:color w:val="auto"/>
        </w:rPr>
      </w:pPr>
    </w:p>
    <w:p>
      <w:pPr>
        <w:ind w:left="1360" w:hanging="238"/>
        <w:spacing w:after="0"/>
        <w:tabs>
          <w:tab w:leader="none" w:pos="1360" w:val="left"/>
        </w:tabs>
        <w:numPr>
          <w:ilvl w:val="1"/>
          <w:numId w:val="63"/>
        </w:numPr>
        <w:rPr>
          <w:rFonts w:ascii="Arial" w:cs="Arial" w:eastAsia="Arial" w:hAnsi="Arial"/>
          <w:sz w:val="15"/>
          <w:szCs w:val="15"/>
          <w:color w:val="auto"/>
        </w:rPr>
      </w:pPr>
      <w:r>
        <w:rPr>
          <w:rFonts w:ascii="Arial" w:cs="Arial" w:eastAsia="Arial" w:hAnsi="Arial"/>
          <w:sz w:val="15"/>
          <w:szCs w:val="15"/>
          <w:color w:val="auto"/>
        </w:rPr>
        <w:t>(ii) below.</w:t>
      </w:r>
    </w:p>
    <w:p>
      <w:pPr>
        <w:spacing w:after="0" w:line="59" w:lineRule="exact"/>
        <w:rPr>
          <w:rFonts w:ascii="Arial" w:cs="Arial" w:eastAsia="Arial" w:hAnsi="Arial"/>
          <w:sz w:val="15"/>
          <w:szCs w:val="15"/>
          <w:color w:val="auto"/>
        </w:rPr>
      </w:pPr>
    </w:p>
    <w:p>
      <w:pPr>
        <w:jc w:val="both"/>
        <w:ind w:left="1120" w:hanging="358"/>
        <w:spacing w:after="0" w:line="258" w:lineRule="auto"/>
        <w:tabs>
          <w:tab w:leader="none" w:pos="11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0.7% and a decrease of 0.4% from total comparable store sales growth based on consolidated net revenue for fiscal year 2021 and fiscal year 2021 respectively; and</w:t>
      </w:r>
    </w:p>
    <w:p>
      <w:pPr>
        <w:spacing w:after="0" w:line="1" w:lineRule="exact"/>
        <w:rPr>
          <w:rFonts w:ascii="Arial" w:cs="Arial" w:eastAsia="Arial" w:hAnsi="Arial"/>
          <w:sz w:val="15"/>
          <w:szCs w:val="15"/>
          <w:color w:val="auto"/>
        </w:rPr>
      </w:pPr>
    </w:p>
    <w:p>
      <w:pPr>
        <w:ind w:left="1340" w:hanging="218"/>
        <w:spacing w:after="0"/>
        <w:tabs>
          <w:tab w:leader="none" w:pos="1340" w:val="left"/>
        </w:tabs>
        <w:numPr>
          <w:ilvl w:val="1"/>
          <w:numId w:val="64"/>
        </w:numPr>
        <w:rPr>
          <w:rFonts w:ascii="Arial" w:cs="Arial" w:eastAsia="Arial" w:hAnsi="Arial"/>
          <w:sz w:val="15"/>
          <w:szCs w:val="15"/>
          <w:color w:val="auto"/>
        </w:rPr>
      </w:pPr>
      <w:r>
        <w:rPr>
          <w:rFonts w:ascii="Arial" w:cs="Arial" w:eastAsia="Arial" w:hAnsi="Arial"/>
          <w:sz w:val="15"/>
          <w:szCs w:val="15"/>
          <w:color w:val="auto"/>
        </w:rPr>
        <w:t>Adjusted Comparable Store Sales Growth includes retail sales to the Legacy partner’s customers (rather than the revenues</w:t>
      </w:r>
    </w:p>
    <w:p>
      <w:pPr>
        <w:spacing w:after="0" w:line="14" w:lineRule="exact"/>
        <w:rPr>
          <w:sz w:val="20"/>
          <w:szCs w:val="20"/>
          <w:color w:val="auto"/>
        </w:rPr>
      </w:pPr>
    </w:p>
    <w:p>
      <w:pPr>
        <w:jc w:val="both"/>
        <w:ind w:left="1120"/>
        <w:spacing w:after="0" w:line="265" w:lineRule="auto"/>
        <w:rPr>
          <w:sz w:val="20"/>
          <w:szCs w:val="20"/>
          <w:color w:val="auto"/>
        </w:rPr>
      </w:pPr>
      <w:r>
        <w:rPr>
          <w:rFonts w:ascii="Arial" w:cs="Arial" w:eastAsia="Arial" w:hAnsi="Arial"/>
          <w:sz w:val="15"/>
          <w:szCs w:val="15"/>
          <w:color w:val="auto"/>
        </w:rPr>
        <w:t>recognized consistent with the management &amp; services agreement with the Legacy partner), resulting in a decrease of 0.1% and a decrease of 0.1% from total comparable store sales growth based on consolidated net revenue for the fiscal years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 xml:space="preserve">2022 Proxy Statement  </w:t>
      </w:r>
      <w:r>
        <w:rPr>
          <w:sz w:val="1"/>
          <w:szCs w:val="1"/>
          <w:color w:val="auto"/>
        </w:rPr>
        <w:drawing>
          <wp:inline distT="0" distB="0" distL="0" distR="0">
            <wp:extent cx="300355" cy="24003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0355"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201930</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80"/>
        <w:spacing w:after="0"/>
        <w:rPr>
          <w:sz w:val="20"/>
          <w:szCs w:val="20"/>
          <w:color w:val="auto"/>
        </w:rPr>
      </w:pPr>
      <w:r>
        <w:rPr>
          <w:rFonts w:ascii="Arial" w:cs="Arial" w:eastAsia="Arial" w:hAnsi="Arial"/>
          <w:sz w:val="54"/>
          <w:szCs w:val="54"/>
          <w:b w:val="1"/>
          <w:bCs w:val="1"/>
          <w:color w:val="3C5896"/>
        </w:rPr>
        <w:t>Thank You</w:t>
      </w:r>
      <w:r>
        <w:rPr>
          <w:rFonts w:ascii="Arial" w:cs="Arial" w:eastAsia="Arial" w:hAnsi="Arial"/>
          <w:sz w:val="17"/>
          <w:szCs w:val="17"/>
          <w:b w:val="1"/>
          <w:bCs w:val="1"/>
          <w:color w:val="3C5896"/>
        </w:rPr>
        <w:t>​</w:t>
      </w:r>
    </w:p>
    <w:p>
      <w:pPr>
        <w:spacing w:after="0" w:line="146" w:lineRule="exact"/>
        <w:rPr>
          <w:sz w:val="20"/>
          <w:szCs w:val="20"/>
          <w:color w:val="auto"/>
        </w:rPr>
      </w:pPr>
    </w:p>
    <w:p>
      <w:pPr>
        <w:jc w:val="right"/>
        <w:ind w:right="2299"/>
        <w:spacing w:after="0"/>
        <w:rPr>
          <w:sz w:val="20"/>
          <w:szCs w:val="20"/>
          <w:color w:val="auto"/>
        </w:rPr>
      </w:pPr>
      <w:r>
        <w:rPr>
          <w:rFonts w:ascii="Arial" w:cs="Arial" w:eastAsia="Arial" w:hAnsi="Arial"/>
          <w:sz w:val="40"/>
          <w:szCs w:val="40"/>
          <w:b w:val="1"/>
          <w:bCs w:val="1"/>
          <w:color w:val="3C5896"/>
        </w:rPr>
        <w:t>for being a stockholder</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1974215</wp:posOffset>
            </wp:positionH>
            <wp:positionV relativeFrom="paragraph">
              <wp:posOffset>1049655</wp:posOffset>
            </wp:positionV>
            <wp:extent cx="2863215" cy="2194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63215" cy="219456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3981450</wp:posOffset>
            </wp:positionV>
            <wp:extent cx="5580380" cy="16198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8038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 xml:space="preserve">Learn more at </w:t>
      </w:r>
      <w:r>
        <w:rPr>
          <w:rFonts w:ascii="Arial" w:cs="Arial" w:eastAsia="Arial" w:hAnsi="Arial"/>
          <w:sz w:val="18"/>
          <w:szCs w:val="18"/>
          <w:color w:val="3C5896"/>
        </w:rPr>
        <w:t>www.nationalvision.com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1539240</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-7620</wp:posOffset>
            </wp:positionV>
            <wp:extent cx="1206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0650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192405</wp:posOffset>
            </wp:positionV>
            <wp:extent cx="6292215" cy="8143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150495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525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85255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lvl w:ilvl="1">
      <w:lvlJc w:val="left"/>
      <w:lvlText w:val="✓"/>
      <w:numFmt w:val="bullet"/>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
      <w:numFmt w:val="bullet"/>
      <w:start w:val="1"/>
    </w:lvl>
    <w:lvl w:ilvl="1">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lvl w:ilvl="1">
      <w:lvlJc w:val="left"/>
      <w:lvlText w:val="(%2)"/>
      <w:numFmt w:val="lowerRoman"/>
      <w:start w:val="2"/>
    </w:lvl>
  </w:abstractNum>
  <w:abstractNum w:abstractNumId="18">
    <w:nsid w:val="3855585C"/>
    <w:multiLevelType w:val="hybridMultilevel"/>
    <w:lvl w:ilvl="0">
      <w:lvlJc w:val="left"/>
      <w:lvlText w:val="(%1)"/>
      <w:numFmt w:val="decimal"/>
      <w:start w:val="4"/>
    </w:lvl>
    <w:lvl w:ilvl="1">
      <w:lvlJc w:val="left"/>
      <w:lvlText w:val="%2"/>
      <w:numFmt w:val="lowerRoman"/>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
      <w:numFmt w:val="bullet"/>
      <w:start w:val="1"/>
    </w:lvl>
    <w:lvl w:ilvl="1">
      <w:lvlJc w:val="left"/>
      <w:lvlText w:val="➢"/>
      <w:numFmt w:val="bullet"/>
      <w:start w:val="1"/>
    </w:lvl>
  </w:abstractNum>
  <w:abstractNum w:abstractNumId="23">
    <w:nsid w:val="725A06FB"/>
    <w:multiLevelType w:val="hybridMultilevel"/>
    <w:lvl w:ilvl="0">
      <w:lvlJc w:val="left"/>
      <w:lvlText w:val="•"/>
      <w:numFmt w:val="bullet"/>
      <w:start w:val="1"/>
    </w:lvl>
    <w:lvl w:ilvl="1">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7"/>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2"/>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8"/>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lowerLetter"/>
      <w:start w:val="1"/>
    </w:lvl>
  </w:abstractNum>
  <w:abstractNum w:abstractNumId="62">
    <w:nsid w:val="579BE4F1"/>
    <w:multiLevelType w:val="hybridMultilevel"/>
    <w:lvl w:ilvl="0">
      <w:lvlJc w:val="left"/>
      <w:lvlText w:val="(%1)"/>
      <w:numFmt w:val="lowerLetter"/>
      <w:start w:val="1"/>
    </w:lvl>
    <w:lvl w:ilvl="1">
      <w:lvlJc w:val="left"/>
      <w:lvlText w:val="(%2)"/>
      <w:numFmt w:val="lowerLetter"/>
      <w:start w:val="2"/>
    </w:lvl>
  </w:abstractNum>
  <w:abstractNum w:abstractNumId="63">
    <w:nsid w:val="310C50B3"/>
    <w:multiLevelType w:val="hybridMultilevel"/>
    <w:lvl w:ilvl="0">
      <w:lvlJc w:val="left"/>
      <w:lvlText w:val="%1"/>
      <w:numFmt w:val="lowerLetter"/>
      <w:start w:val="1"/>
    </w:lvl>
    <w:lvl w:ilvl="1">
      <w:lvlJc w:val="left"/>
      <w:lvlText w:val="(%2)"/>
      <w:numFmt w:val="low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2022-04-26T09:04:33Z</dcterms:created>
  <dcterms:modified xsi:type="dcterms:W3CDTF">2022-04-26T09:04:33Z</dcterms:modified>
</cp:coreProperties>
</file>