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63845R107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Fund 1 Investments,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4,458,827.00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4,458,827.00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4,458,827.00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520"/>
          </w:cols>
          <w:pgMar w:left="320" w:top="111" w:right="899"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National Vision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2435 COMMERCE AVENUE, BLDG. 2200, DULUTH, Georgia, 30096-4980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Fund 1 Investments, LLC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Carr 115 Unit 1900 Rincon, Puerto Rico 00677</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63845R107</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80"/>
          </w:cols>
          <w:pgMar w:left="320" w:top="111" w:right="899" w:bottom="0" w:gutter="0" w:footer="0" w:header="0"/>
          <w:type w:val="continuous"/>
        </w:sectPr>
      </w:pPr>
    </w:p>
    <w:bookmarkStart w:id="2" w:name="page3"/>
    <w:bookmarkEnd w:id="2"/>
    <w:p>
      <w:pPr>
        <w:spacing w:after="0" w:line="11"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80" w:type="dxa"/>
            <w:vAlign w:val="bottom"/>
          </w:tcPr>
          <w:p>
            <w:pPr>
              <w:spacing w:after="0"/>
              <w:rPr>
                <w:sz w:val="23"/>
                <w:szCs w:val="23"/>
                <w:color w:val="auto"/>
              </w:rPr>
            </w:pPr>
          </w:p>
        </w:tc>
        <w:tc>
          <w:tcPr>
            <w:tcW w:w="103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please specify the type of institution:</w:t>
            </w:r>
          </w:p>
        </w:tc>
        <w:tc>
          <w:tcPr>
            <w:tcW w:w="0" w:type="dxa"/>
            <w:vAlign w:val="bottom"/>
          </w:tcPr>
          <w:p>
            <w:pPr>
              <w:spacing w:after="0"/>
              <w:rPr>
                <w:sz w:val="1"/>
                <w:szCs w:val="1"/>
                <w:color w:val="auto"/>
              </w:rPr>
            </w:pPr>
          </w:p>
        </w:tc>
      </w:tr>
      <w:tr>
        <w:trPr>
          <w:trHeight w:val="296"/>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(k)</w:t>
            </w:r>
          </w:p>
        </w:tc>
        <w:tc>
          <w:tcPr>
            <w:tcW w:w="103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Group, in accordance with Rule 240.13d-1(b)(1)(ii)(K).</w:t>
            </w:r>
          </w:p>
        </w:tc>
        <w:tc>
          <w:tcPr>
            <w:tcW w:w="0" w:type="dxa"/>
            <w:vAlign w:val="bottom"/>
          </w:tcPr>
          <w:p>
            <w:pPr>
              <w:spacing w:after="0"/>
              <w:rPr>
                <w:sz w:val="1"/>
                <w:szCs w:val="1"/>
                <w:color w:val="auto"/>
              </w:rPr>
            </w:pPr>
          </w:p>
        </w:tc>
      </w:tr>
      <w:tr>
        <w:trPr>
          <w:trHeight w:val="594"/>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4.</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w:t>
            </w:r>
          </w:p>
        </w:tc>
        <w:tc>
          <w:tcPr>
            <w:tcW w:w="0" w:type="dxa"/>
            <w:vAlign w:val="bottom"/>
          </w:tcPr>
          <w:p>
            <w:pPr>
              <w:spacing w:after="0"/>
              <w:rPr>
                <w:sz w:val="1"/>
                <w:szCs w:val="1"/>
                <w:color w:val="auto"/>
              </w:rPr>
            </w:pPr>
          </w:p>
        </w:tc>
      </w:tr>
      <w:tr>
        <w:trPr>
          <w:trHeight w:val="29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4,458,827</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5.66 %</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Number of shares as to which the person has:</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 Sole power to vote or to direct the vote:</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4,458,827</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0" w:type="dxa"/>
            <w:vAlign w:val="bottom"/>
          </w:tcPr>
          <w:p>
            <w:pPr>
              <w:spacing w:after="0"/>
              <w:rPr>
                <w:sz w:val="1"/>
                <w:szCs w:val="1"/>
                <w:color w:val="auto"/>
              </w:rPr>
            </w:pPr>
          </w:p>
        </w:tc>
      </w:tr>
      <w:tr>
        <w:trPr>
          <w:trHeight w:val="447"/>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4,458,827 Shares reported herein for Fund 1 Investments, LLC are held for the benefit of private investment vehicles</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for which Pleasant Lake Partners LLC serves as investment adviser. Fund 1 Investments, LLC serves as managing</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9"/>
              </w:rPr>
              <w:t>member of Pleasant Lake Partners LLC. Jonathan Lennon serves as managing member of Fund 1 Investments, LLC.</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Each of Fund 1 Investments, LLC, Pleasant Lake Partners LLC and Mr. Lennon disclaims beneficial ownership of the</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shares reported herein except to the extent of its or his pecuniary interest therein. All percentages reported herein with</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respect to the Reporting Person's holdings are calculated based upon a statement in the Issuer's Annual Report on</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Form 10-K for the fiscal year ended December 28, 2024, as filed with the Securities and Exchange Commission on</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February 26, 2025, that there were 78,783,482 shares of Class A Common Stock of the Issuer outstanding as of</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February 14, 2025.</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5.</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594"/>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6.</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proceeds from the sale of, such securities, a statement to that effect should be included in response to this item and, if</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such interest relates to more than 5 percent of the class, such person should be identified. A listing of the shareholders</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benefit plan, pension fund or endowment fund is not required.</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See Item 4.</w:t>
            </w:r>
          </w:p>
        </w:tc>
        <w:tc>
          <w:tcPr>
            <w:tcW w:w="0" w:type="dxa"/>
            <w:vAlign w:val="bottom"/>
          </w:tcPr>
          <w:p>
            <w:pPr>
              <w:spacing w:after="0"/>
              <w:rPr>
                <w:sz w:val="1"/>
                <w:szCs w:val="1"/>
                <w:color w:val="auto"/>
              </w:rPr>
            </w:pPr>
          </w:p>
        </w:tc>
      </w:tr>
      <w:tr>
        <w:trPr>
          <w:trHeight w:val="258"/>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780" w:type="dxa"/>
            <w:vAlign w:val="bottom"/>
            <w:vMerge w:val="continue"/>
          </w:tcPr>
          <w:p>
            <w:pPr>
              <w:spacing w:after="0"/>
              <w:rPr>
                <w:sz w:val="13"/>
                <w:szCs w:val="13"/>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1"/>
        </w:trPr>
        <w:tc>
          <w:tcPr>
            <w:tcW w:w="780" w:type="dxa"/>
            <w:vAlign w:val="bottom"/>
          </w:tcPr>
          <w:p>
            <w:pPr>
              <w:spacing w:after="0"/>
              <w:rPr>
                <w:sz w:val="10"/>
                <w:szCs w:val="10"/>
                <w:color w:val="auto"/>
              </w:rPr>
            </w:pPr>
          </w:p>
        </w:tc>
        <w:tc>
          <w:tcPr>
            <w:tcW w:w="10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If a parent holding company has filed this schedule, pursuant to Rule 13d-1(b)(ii)(G), so indicate under Item 3(g) and</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of the relevant subsidiary.</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See Item 4.</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9.</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Notice of Dissolution of Group.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-9427845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49" w:orient="portrait"/>
          <w:cols w:equalWidth="0" w:num="1">
            <w:col w:w="11140"/>
          </w:cols>
          <w:pgMar w:left="360" w:top="126" w:right="399" w:bottom="0" w:gutter="0" w:footer="0" w:header="0"/>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Fund 1 Investments, LLC</w:t>
      </w:r>
    </w:p>
    <w:p>
      <w:pPr>
        <w:spacing w:after="0" w:line="152" w:lineRule="exact"/>
        <w:rPr>
          <w:sz w:val="20"/>
          <w:szCs w:val="20"/>
          <w:color w:val="auto"/>
        </w:rPr>
      </w:pPr>
    </w:p>
    <w:p>
      <w:pPr>
        <w:ind w:left="5080"/>
        <w:spacing w:after="0"/>
        <w:tabs>
          <w:tab w:leader="none" w:pos="6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C. Cable</w:t>
      </w:r>
    </w:p>
    <w:p>
      <w:pPr>
        <w:spacing w:after="0" w:line="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Name/Title: Benjamin C. Cable/Chief Operating Officer</w:t>
      </w:r>
    </w:p>
    <w:p>
      <w:pPr>
        <w:spacing w:after="0" w:line="44" w:lineRule="exact"/>
        <w:rPr>
          <w:sz w:val="20"/>
          <w:szCs w:val="20"/>
          <w:color w:val="auto"/>
        </w:rPr>
      </w:pPr>
    </w:p>
    <w:p>
      <w:pPr>
        <w:ind w:left="5080"/>
        <w:spacing w:after="0"/>
        <w:tabs>
          <w:tab w:leader="none" w:pos="6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2025-05-15T20:40:29Z</dcterms:created>
  <dcterms:modified xsi:type="dcterms:W3CDTF">2025-05-15T20:40:29Z</dcterms:modified>
</cp:coreProperties>
</file>