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8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875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McAllister Raymond J.</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NATIONAL VISION HOLDINGS,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2435 COMMERCE AVENUE, BLDG. 2200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DULUTH</w:t>
            </w:r>
          </w:p>
        </w:tc>
        <w:tc>
          <w:tcPr>
            <w:tcW w:w="1120" w:type="dxa"/>
            <w:vAlign w:val="bottom"/>
          </w:tcPr>
          <w:p>
            <w:pPr>
              <w:ind w:left="300"/>
              <w:spacing w:after="0"/>
              <w:rPr>
                <w:sz w:val="20"/>
                <w:szCs w:val="20"/>
                <w:color w:val="auto"/>
              </w:rPr>
            </w:pPr>
            <w:r>
              <w:rPr>
                <w:rFonts w:ascii="Arial" w:cs="Arial" w:eastAsia="Arial" w:hAnsi="Arial"/>
                <w:sz w:val="17"/>
                <w:szCs w:val="17"/>
                <w:color w:val="0000FF"/>
              </w:rPr>
              <w:t>GA</w:t>
            </w:r>
          </w:p>
        </w:tc>
        <w:tc>
          <w:tcPr>
            <w:tcW w:w="1700" w:type="dxa"/>
            <w:vAlign w:val="bottom"/>
          </w:tcPr>
          <w:p>
            <w:pPr>
              <w:ind w:left="440"/>
              <w:spacing w:after="0"/>
              <w:rPr>
                <w:sz w:val="20"/>
                <w:szCs w:val="20"/>
                <w:color w:val="auto"/>
              </w:rPr>
            </w:pPr>
            <w:r>
              <w:rPr>
                <w:rFonts w:ascii="Arial" w:cs="Arial" w:eastAsia="Arial" w:hAnsi="Arial"/>
                <w:sz w:val="17"/>
                <w:szCs w:val="17"/>
                <w:color w:val="0000FF"/>
              </w:rPr>
              <w:t>30096-4980</w:t>
            </w:r>
          </w:p>
        </w:tc>
      </w:tr>
      <w:tr>
        <w:trPr>
          <w:trHeight w:val="153"/>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4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vMerge w:val="continue"/>
          </w:tcPr>
          <w:p>
            <w:pPr>
              <w:spacing w:after="0"/>
              <w:rPr>
                <w:sz w:val="6"/>
                <w:szCs w:val="6"/>
                <w:color w:val="auto"/>
              </w:rPr>
            </w:pPr>
          </w:p>
        </w:tc>
        <w:tc>
          <w:tcPr>
            <w:tcW w:w="1380" w:type="dxa"/>
            <w:vAlign w:val="bottom"/>
            <w:vMerge w:val="restart"/>
          </w:tcPr>
          <w:p>
            <w:pPr>
              <w:ind w:left="100"/>
              <w:spacing w:after="0" w:line="130" w:lineRule="exact"/>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2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6"/>
        </w:trPr>
        <w:tc>
          <w:tcPr>
            <w:tcW w:w="2640" w:type="dxa"/>
            <w:vAlign w:val="bottom"/>
            <w:gridSpan w:val="3"/>
          </w:tcPr>
          <w:p>
            <w:pPr>
              <w:ind w:left="60"/>
              <w:spacing w:after="0"/>
              <w:rPr>
                <w:sz w:val="20"/>
                <w:szCs w:val="20"/>
                <w:color w:val="auto"/>
              </w:rPr>
            </w:pPr>
            <w:r>
              <w:rPr>
                <w:rFonts w:ascii="Arial" w:cs="Arial" w:eastAsia="Arial" w:hAnsi="Arial"/>
                <w:sz w:val="17"/>
                <w:szCs w:val="17"/>
                <w:color w:val="0000FF"/>
              </w:rPr>
              <w:t>02/20/2018</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15.74</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02/20/2018</w:t>
            </w:r>
          </w:p>
        </w:tc>
        <w:tc>
          <w:tcPr>
            <w:tcW w:w="110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Pr>
          <w:p>
            <w:pPr>
              <w:ind w:left="100"/>
              <w:spacing w:after="0" w:line="206" w:lineRule="exact"/>
              <w:rPr>
                <w:sz w:val="20"/>
                <w:szCs w:val="20"/>
                <w:color w:val="auto"/>
              </w:rPr>
            </w:pPr>
            <w:r>
              <w:rPr>
                <w:rFonts w:ascii="Arial" w:cs="Arial" w:eastAsia="Arial" w:hAnsi="Arial"/>
                <w:sz w:val="13"/>
                <w:szCs w:val="13"/>
                <w:color w:val="0000FF"/>
                <w:w w:val="98"/>
              </w:rPr>
              <w:t>43,478</w:t>
            </w:r>
            <w:r>
              <w:rPr>
                <w:rFonts w:ascii="Arial" w:cs="Arial" w:eastAsia="Arial" w:hAnsi="Arial"/>
                <w:sz w:val="21"/>
                <w:szCs w:val="21"/>
                <w:color w:val="008000"/>
                <w:w w:val="98"/>
                <w:vertAlign w:val="superscript"/>
              </w:rPr>
              <w:t>(1)</w:t>
            </w:r>
          </w:p>
        </w:tc>
        <w:tc>
          <w:tcPr>
            <w:tcW w:w="26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08/14/2027</w:t>
            </w:r>
          </w:p>
        </w:tc>
        <w:tc>
          <w:tcPr>
            <w:tcW w:w="640" w:type="dxa"/>
            <w:vAlign w:val="bottom"/>
          </w:tcPr>
          <w:p>
            <w:pPr>
              <w:ind w:left="80"/>
              <w:spacing w:after="0"/>
              <w:rPr>
                <w:sz w:val="20"/>
                <w:szCs w:val="20"/>
                <w:color w:val="auto"/>
              </w:rPr>
            </w:pPr>
            <w:r>
              <w:rPr>
                <w:rFonts w:ascii="Arial" w:cs="Arial" w:eastAsia="Arial" w:hAnsi="Arial"/>
                <w:sz w:val="13"/>
                <w:szCs w:val="13"/>
                <w:color w:val="0000FF"/>
              </w:rPr>
              <w:t>Common</w:t>
            </w:r>
          </w:p>
        </w:tc>
        <w:tc>
          <w:tcPr>
            <w:tcW w:w="720" w:type="dxa"/>
            <w:vAlign w:val="bottom"/>
          </w:tcPr>
          <w:p>
            <w:pPr>
              <w:ind w:left="60"/>
              <w:spacing w:after="0" w:line="206" w:lineRule="exact"/>
              <w:rPr>
                <w:sz w:val="20"/>
                <w:szCs w:val="20"/>
                <w:color w:val="auto"/>
              </w:rPr>
            </w:pPr>
            <w:r>
              <w:rPr>
                <w:rFonts w:ascii="Arial" w:cs="Arial" w:eastAsia="Arial" w:hAnsi="Arial"/>
                <w:sz w:val="17"/>
                <w:szCs w:val="17"/>
                <w:color w:val="0000FF"/>
                <w:w w:val="92"/>
              </w:rPr>
              <w:t>43,478</w:t>
            </w:r>
            <w:r>
              <w:rPr>
                <w:rFonts w:ascii="Arial" w:cs="Arial" w:eastAsia="Arial" w:hAnsi="Arial"/>
                <w:sz w:val="21"/>
                <w:szCs w:val="21"/>
                <w:color w:val="008000"/>
                <w:w w:val="92"/>
                <w:vertAlign w:val="superscript"/>
              </w:rPr>
              <w:t>(1)</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00"/>
              <w:spacing w:after="0" w:line="206" w:lineRule="exact"/>
              <w:rPr>
                <w:sz w:val="20"/>
                <w:szCs w:val="20"/>
                <w:color w:val="auto"/>
              </w:rPr>
            </w:pPr>
            <w:r>
              <w:rPr>
                <w:rFonts w:ascii="Arial" w:cs="Arial" w:eastAsia="Arial" w:hAnsi="Arial"/>
                <w:sz w:val="13"/>
                <w:szCs w:val="13"/>
                <w:color w:val="0000FF"/>
              </w:rPr>
              <w:t>188,405</w:t>
            </w:r>
            <w:r>
              <w:rPr>
                <w:rFonts w:ascii="Arial" w:cs="Arial" w:eastAsia="Arial" w:hAnsi="Arial"/>
                <w:sz w:val="21"/>
                <w:szCs w:val="21"/>
                <w:color w:val="008000"/>
                <w:vertAlign w:val="superscript"/>
              </w:rPr>
              <w:t>(1)</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80"/>
              <w:spacing w:after="0" w:line="93" w:lineRule="exact"/>
              <w:rPr>
                <w:sz w:val="20"/>
                <w:szCs w:val="20"/>
                <w:color w:val="auto"/>
              </w:rPr>
            </w:pPr>
            <w:r>
              <w:rPr>
                <w:rFonts w:ascii="Arial" w:cs="Arial" w:eastAsia="Arial" w:hAnsi="Arial"/>
                <w:sz w:val="10"/>
                <w:szCs w:val="10"/>
                <w:color w:val="0000FF"/>
              </w:rPr>
              <w:t>Stock</w:t>
            </w: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9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August 14, 2017, the reporting person was granted time-based options to purchase 144,927 shares of common stock that will vest in five annual installments beginning August 14, 2018, and performance-based options to purchase 217,390 shares of common stock that vest in five equal annual installments based on National Vision Holdings, Inc.'s satisfaction of certain performance criteria for each of the fiscal years ended 2017, 2018, 2019, 2020 and 2021. On February 20, 2018, it was determined that the performance criteria for 2017 were met, resulting in vesting of the performance-based options as to 43,478 shares. The time-based options were previously reported on a Form 3 filed on October 25, 2017. An additional 173,912 stock options which remain subject to performance-based vesting conditions are not included in the table above.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02/28/2018</w:t>
            </w:r>
          </w:p>
        </w:tc>
        <w:tc>
          <w:tcPr>
            <w:tcW w:w="0" w:type="dxa"/>
            <w:vAlign w:val="bottom"/>
          </w:tcPr>
          <w:p>
            <w:pPr>
              <w:spacing w:after="0"/>
              <w:rPr>
                <w:sz w:val="1"/>
                <w:szCs w:val="1"/>
                <w:color w:val="auto"/>
              </w:rPr>
            </w:pPr>
          </w:p>
        </w:tc>
      </w:tr>
      <w:tr>
        <w:trPr>
          <w:trHeight w:val="85"/>
        </w:trPr>
        <w:tc>
          <w:tcPr>
            <w:tcW w:w="1540" w:type="dxa"/>
            <w:vAlign w:val="bottom"/>
            <w:tcBorders>
              <w:top w:val="single" w:sz="8" w:color="auto"/>
            </w:tcBorders>
            <w:gridSpan w:val="2"/>
            <w:vMerge w:val="restart"/>
          </w:tcPr>
          <w:p>
            <w:pPr>
              <w:spacing w:after="0" w:line="189" w:lineRule="exact"/>
              <w:rPr>
                <w:sz w:val="20"/>
                <w:szCs w:val="20"/>
                <w:color w:val="auto"/>
              </w:rPr>
            </w:pPr>
            <w:r>
              <w:rPr>
                <w:rFonts w:ascii="Arial" w:cs="Arial" w:eastAsia="Arial" w:hAnsi="Arial"/>
                <w:sz w:val="17"/>
                <w:szCs w:val="17"/>
                <w:color w:val="0000FF"/>
              </w:rPr>
              <w:t>Attorney-in-Fact</w:t>
            </w:r>
          </w:p>
        </w:tc>
        <w:tc>
          <w:tcPr>
            <w:tcW w:w="5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54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311"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2019-12-08T17:27:00Z</dcterms:created>
  <dcterms:modified xsi:type="dcterms:W3CDTF">2019-12-08T17:27:00Z</dcterms:modified>
</cp:coreProperties>
</file>