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KKR Fund Holdings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80"/>
        <w:spacing w:after="0" w:line="331" w:lineRule="auto"/>
        <w:rPr>
          <w:sz w:val="20"/>
          <w:szCs w:val="20"/>
          <w:color w:val="auto"/>
        </w:rPr>
      </w:pPr>
      <w:r>
        <w:rPr>
          <w:rFonts w:ascii="Arial" w:cs="Arial" w:eastAsia="Arial" w:hAnsi="Arial"/>
          <w:sz w:val="18"/>
          <w:szCs w:val="18"/>
          <w:color w:val="0000FF"/>
        </w:rPr>
        <w:t>C/O KOHLBERG KRAVIS ROBERTS &amp; CO. L.P. 9 WEST 57TH STREET, SUITE 4200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03/19/2018</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2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w w:val="86"/>
              </w:rPr>
              <w:t>03/19/2018</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Pr>
          <w:p>
            <w:pPr>
              <w:spacing w:after="0"/>
              <w:rPr>
                <w:sz w:val="22"/>
                <w:szCs w:val="22"/>
                <w:color w:val="auto"/>
              </w:rPr>
            </w:pPr>
          </w:p>
        </w:tc>
        <w:tc>
          <w:tcPr>
            <w:tcW w:w="960" w:type="dxa"/>
            <w:vAlign w:val="bottom"/>
            <w:vMerge w:val="restart"/>
          </w:tcPr>
          <w:p>
            <w:pPr>
              <w:ind w:left="100"/>
              <w:spacing w:after="0"/>
              <w:rPr>
                <w:sz w:val="20"/>
                <w:szCs w:val="20"/>
                <w:color w:val="auto"/>
              </w:rPr>
            </w:pPr>
            <w:r>
              <w:rPr>
                <w:rFonts w:ascii="Arial" w:cs="Arial" w:eastAsia="Arial" w:hAnsi="Arial"/>
                <w:sz w:val="18"/>
                <w:szCs w:val="18"/>
                <w:color w:val="0000FF"/>
              </w:rPr>
              <w:t>9,632,145</w:t>
            </w:r>
          </w:p>
        </w:tc>
        <w:tc>
          <w:tcPr>
            <w:tcW w:w="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31.68</w:t>
            </w:r>
            <w:r>
              <w:rPr>
                <w:rFonts w:ascii="Arial" w:cs="Arial" w:eastAsia="Arial" w:hAnsi="Arial"/>
                <w:sz w:val="22"/>
                <w:szCs w:val="22"/>
                <w:color w:val="008000"/>
                <w:w w:val="93"/>
                <w:vertAlign w:val="superscript"/>
              </w:rPr>
              <w:t>(1)</w:t>
            </w:r>
          </w:p>
        </w:tc>
        <w:tc>
          <w:tcPr>
            <w:tcW w:w="60" w:type="dxa"/>
            <w:vAlign w:val="bottom"/>
          </w:tcPr>
          <w:p>
            <w:pPr>
              <w:spacing w:after="0"/>
              <w:rPr>
                <w:sz w:val="22"/>
                <w:szCs w:val="2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8"/>
                <w:szCs w:val="18"/>
                <w:color w:val="0000FF"/>
              </w:rPr>
              <w:t>33,843,317</w:t>
            </w:r>
          </w:p>
        </w:tc>
        <w:tc>
          <w:tcPr>
            <w:tcW w:w="62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6"/>
          </w:tcPr>
          <w:p>
            <w:pPr>
              <w:jc w:val="center"/>
              <w:ind w:left="1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13"/>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KKR Fund Holdings L.P.</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w w:val="97"/>
              </w:rPr>
            </w:pPr>
            <w:hyperlink r:id="rId14">
              <w:r>
                <w:rPr>
                  <w:rFonts w:ascii="Arial" w:cs="Arial" w:eastAsia="Arial" w:hAnsi="Arial"/>
                  <w:sz w:val="22"/>
                  <w:szCs w:val="22"/>
                  <w:color w:val="0000EE"/>
                  <w:w w:val="97"/>
                </w:rPr>
                <w:t>KKR Fund Holdings GP Ltd</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KKR Group Holdings L.P.</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1018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183495"/>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KKR Group Ltd</w:t>
              </w:r>
            </w:hyperlink>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80" w:type="dxa"/>
            <w:vAlign w:val="bottom"/>
          </w:tcPr>
          <w:p>
            <w:pPr>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60" w:type="dxa"/>
            <w:vAlign w:val="bottom"/>
            <w:gridSpan w:val="2"/>
          </w:tcPr>
          <w:p>
            <w:pPr>
              <w:spacing w:after="0" w:line="224" w:lineRule="exact"/>
              <w:rPr>
                <w:rFonts w:ascii="Arial" w:cs="Arial" w:eastAsia="Arial" w:hAnsi="Arial"/>
                <w:sz w:val="22"/>
                <w:szCs w:val="22"/>
                <w:color w:val="0000EE"/>
                <w:w w:val="94"/>
              </w:rPr>
            </w:pPr>
            <w:hyperlink r:id="rId18">
              <w:r>
                <w:rPr>
                  <w:rFonts w:ascii="Arial" w:cs="Arial" w:eastAsia="Arial" w:hAnsi="Arial"/>
                  <w:sz w:val="22"/>
                  <w:szCs w:val="22"/>
                  <w:color w:val="0000EE"/>
                  <w:w w:val="94"/>
                </w:rPr>
                <w:t>KKR &amp; Co. L.P.</w:t>
              </w:r>
            </w:hyperlink>
          </w:p>
        </w:tc>
        <w:tc>
          <w:tcPr>
            <w:tcW w:w="1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KKR Management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KRAVIS HENRY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ROBERTS GEORGE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1. This amount represents the secondary public offering price per share of common stock of National Vision Holdings, Inc., less the underwriting discount of $1.32 per share.</w:t>
      </w:r>
    </w:p>
    <w:p>
      <w:pPr>
        <w:sectPr>
          <w:pgSz w:w="11900" w:h="16838" w:orient="portrait"/>
          <w:cols w:equalWidth="0" w:num="1">
            <w:col w:w="10199"/>
          </w:cols>
          <w:pgMar w:left="260" w:top="131" w:right="1440" w:bottom="0" w:gutter="0" w:footer="0" w:header="0"/>
        </w:sectPr>
      </w:pPr>
    </w:p>
    <w:bookmarkStart w:id="2" w:name="page3"/>
    <w:bookmarkEnd w:id="2"/>
    <w:p>
      <w:pPr>
        <w:ind w:right="260" w:firstLine="9"/>
        <w:spacing w:after="0" w:line="28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jc w:val="both"/>
        <w:ind w:right="2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L.P. is a general partner of KKR Fund Holdings L.P. and the sole shareholder of KKR Fund Holdings GP Limited. KKR Group Limited is the general partner of KKR Group Holdings L.P. KKR &amp; Co. L.P. is the sole shareholder of KKR Group Limited. KKR Management LLC is the general partner of KKR &amp; Co. L.P. Henry R. Kravis and George R. Roberts are the designated members of KKR Management LLC.</w:t>
      </w:r>
    </w:p>
    <w:p>
      <w:pPr>
        <w:spacing w:after="0" w:line="30" w:lineRule="exact"/>
        <w:rPr>
          <w:rFonts w:ascii="Arial" w:cs="Arial" w:eastAsia="Arial" w:hAnsi="Arial"/>
          <w:sz w:val="14"/>
          <w:szCs w:val="14"/>
          <w:color w:val="008000"/>
        </w:rPr>
      </w:pPr>
    </w:p>
    <w:p>
      <w:pPr>
        <w:ind w:right="20" w:firstLine="9"/>
        <w:spacing w:after="0" w:line="29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1300"/>
          </w:cols>
          <w:pgMar w:left="280" w:top="129" w:right="319" w:bottom="1440" w:gutter="0" w:footer="0" w:header="0"/>
        </w:sectPr>
      </w:pPr>
    </w:p>
    <w:p>
      <w:pPr>
        <w:spacing w:after="0" w:line="9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5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KKR Group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2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 general partner,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4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242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Group Limited,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2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2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220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9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FUND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4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4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96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8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L.P. By: KKR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7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9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GROUP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6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16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17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9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&amp; CO.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41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20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220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96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82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6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5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7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William J. Janetschek,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44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85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17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2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80"/>
            <w:col w:w="2180"/>
          </w:cols>
          <w:pgMar w:left="280" w:top="129"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12" Type="http://schemas.openxmlformats.org/officeDocument/2006/relationships/hyperlink" Target="http://www.sec.gov/cgi-bin/browse-edgar?action=getcompany&amp;CIK=0001472698"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472697" TargetMode="External"/><Relationship Id="rId15" Type="http://schemas.openxmlformats.org/officeDocument/2006/relationships/hyperlink" Target="http://www.sec.gov/cgi-bin/browse-edgar?action=getcompany&amp;CIK=0001472696" TargetMode="External"/><Relationship Id="rId17" Type="http://schemas.openxmlformats.org/officeDocument/2006/relationships/hyperlink" Target="http://www.sec.gov/cgi-bin/browse-edgar?action=getcompany&amp;CIK=0001472695" TargetMode="External"/><Relationship Id="rId18" Type="http://schemas.openxmlformats.org/officeDocument/2006/relationships/hyperlink" Target="http://www.sec.gov/cgi-bin/browse-edgar?action=getcompany&amp;CIK=0001404912" TargetMode="External"/><Relationship Id="rId19" Type="http://schemas.openxmlformats.org/officeDocument/2006/relationships/hyperlink" Target="http://www.sec.gov/cgi-bin/browse-edgar?action=getcompany&amp;CIK=0001472694" TargetMode="External"/><Relationship Id="rId20" Type="http://schemas.openxmlformats.org/officeDocument/2006/relationships/hyperlink" Target="http://www.sec.gov/cgi-bin/browse-edgar?action=getcompany&amp;CIK=0001081714" TargetMode="External"/><Relationship Id="rId21"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2019-12-23T21:49:44Z</dcterms:created>
  <dcterms:modified xsi:type="dcterms:W3CDTF">2019-12-23T21:49:44Z</dcterms:modified>
</cp:coreProperties>
</file>