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August 6, 2020</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5460" w:type="dxa"/>
            <w:vAlign w:val="bottom"/>
          </w:tcPr>
          <w:p>
            <w:pPr>
              <w:jc w:val="center"/>
              <w:ind w:left="181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38"/>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5460" w:type="dxa"/>
            <w:vAlign w:val="bottom"/>
          </w:tcPr>
          <w:p>
            <w:pPr>
              <w:jc w:val="center"/>
              <w:ind w:right="27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05"/>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4"/>
                <w:szCs w:val="24"/>
                <w:color w:val="auto"/>
              </w:rPr>
            </w:pPr>
          </w:p>
        </w:tc>
      </w:tr>
      <w:tr>
        <w:trPr>
          <w:trHeight w:val="257"/>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56"/>
        </w:trPr>
        <w:tc>
          <w:tcPr>
            <w:tcW w:w="5460" w:type="dxa"/>
            <w:vAlign w:val="bottom"/>
          </w:tcPr>
          <w:p>
            <w:pPr>
              <w:ind w:left="6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57"/>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22"/>
                <w:szCs w:val="22"/>
                <w:color w:val="auto"/>
              </w:rPr>
            </w:pPr>
          </w:p>
        </w:tc>
      </w:tr>
      <w:tr>
        <w:trPr>
          <w:trHeight w:val="307"/>
        </w:trPr>
        <w:tc>
          <w:tcPr>
            <w:tcW w:w="5460" w:type="dxa"/>
            <w:vAlign w:val="bottom"/>
          </w:tcPr>
          <w:p>
            <w:pPr>
              <w:jc w:val="center"/>
              <w:ind w:left="183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r>
        <w:trPr>
          <w:trHeight w:val="206"/>
        </w:trPr>
        <w:tc>
          <w:tcPr>
            <w:tcW w:w="5460" w:type="dxa"/>
            <w:vAlign w:val="bottom"/>
          </w:tcPr>
          <w:p>
            <w:pPr>
              <w:jc w:val="center"/>
              <w:ind w:left="181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1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firstLine="3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372"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6, 2020, National Vision Holdings, Inc. (“National Vision”) issued a press release announcing financial results for the quarter ended June 27, 2020.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reported, the Chief Executive Officer and Board of Directors of National Vision elected to reduce their 2020 base salary and annual cash retainers, respectively, as one of many proactive measures taken in response to the impacts of the COVID-19 pandemic. On August 6, 2020, the Board of Directors approved the reinstatement to their pre-COVID-19 approved levels of Mr. Fahs’ 2020 base salary, effective June 14, 2020, and the Board of Directors’ remaining annual cash retainers, effective for the third quarter of 2020.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ind w:left="214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106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90"/>
        </w:trPr>
        <w:tc>
          <w:tcPr>
            <w:tcW w:w="880" w:type="dxa"/>
            <w:vAlign w:val="bottom"/>
            <w:gridSpan w:val="2"/>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106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August 6, 2020.</w:t>
            </w:r>
          </w:p>
        </w:tc>
      </w:tr>
      <w:tr>
        <w:trPr>
          <w:trHeight w:val="270"/>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060" w:type="dxa"/>
            <w:vAlign w:val="bottom"/>
          </w:tcPr>
          <w:p>
            <w:pPr>
              <w:spacing w:after="0"/>
              <w:rPr>
                <w:sz w:val="23"/>
                <w:szCs w:val="23"/>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36"/>
        </w:trPr>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Date: August 6, 2020</w:t>
            </w:r>
          </w:p>
        </w:tc>
        <w:tc>
          <w:tcPr>
            <w:tcW w:w="2620" w:type="dxa"/>
            <w:vAlign w:val="bottom"/>
          </w:tcPr>
          <w:p>
            <w:pPr>
              <w:ind w:left="130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/s/ Jared Brandman</w:t>
            </w:r>
          </w:p>
        </w:tc>
      </w:tr>
      <w:tr>
        <w:trPr>
          <w:trHeight w:val="27"/>
        </w:trPr>
        <w:tc>
          <w:tcPr>
            <w:tcW w:w="28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2620" w:type="dxa"/>
            <w:vAlign w:val="bottom"/>
          </w:tcPr>
          <w:p>
            <w:pPr>
              <w:ind w:left="130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Jared Brandman</w:t>
            </w:r>
          </w:p>
        </w:tc>
      </w:tr>
      <w:tr>
        <w:trPr>
          <w:trHeight w:val="270"/>
        </w:trPr>
        <w:tc>
          <w:tcPr>
            <w:tcW w:w="2840" w:type="dxa"/>
            <w:vAlign w:val="bottom"/>
          </w:tcPr>
          <w:p>
            <w:pPr>
              <w:spacing w:after="0"/>
              <w:rPr>
                <w:sz w:val="23"/>
                <w:szCs w:val="23"/>
                <w:color w:val="auto"/>
              </w:rPr>
            </w:pPr>
          </w:p>
        </w:tc>
        <w:tc>
          <w:tcPr>
            <w:tcW w:w="2620" w:type="dxa"/>
            <w:vAlign w:val="bottom"/>
          </w:tcPr>
          <w:p>
            <w:pPr>
              <w:ind w:left="130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891540" cy="891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Second Quarter 2020 Financial Results</w:t>
      </w:r>
    </w:p>
    <w:p>
      <w:pPr>
        <w:spacing w:after="0" w:line="200" w:lineRule="exact"/>
        <w:rPr>
          <w:sz w:val="20"/>
          <w:szCs w:val="20"/>
          <w:color w:val="auto"/>
        </w:rPr>
      </w:pPr>
    </w:p>
    <w:p>
      <w:pPr>
        <w:spacing w:after="0" w:line="30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decreased 39.5% to $260.0 million</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comparable store sales growth of (44.7)%; Adjusted Comparable Store Sales Growth of (36.5)%</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For June, comparable store sales growth of 14.3% and Adjusted Comparable Stores Sales Growth of 19.3%</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loss of $(43.8) million; Diluted EPS of $(0.55)</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of $(14.4)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of $(34.4)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of $(0.41)</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Extended partnership with Walmart Inc. for three years</w:t>
      </w:r>
    </w:p>
    <w:p>
      <w:pPr>
        <w:spacing w:after="0" w:line="32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6, 2020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ended June 27, 2020</w:t>
      </w:r>
      <w:r>
        <w:rPr>
          <w:rFonts w:ascii="Arial" w:cs="Arial" w:eastAsia="Arial" w:hAnsi="Arial"/>
          <w:sz w:val="18"/>
          <w:szCs w:val="18"/>
          <w:color w:val="EE2724"/>
        </w:rPr>
        <w:t>.</w:t>
      </w:r>
    </w:p>
    <w:p>
      <w:pPr>
        <w:spacing w:after="0" w:line="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second quarter represented one of the most eventful periods in our Company's history and our respective careers,” stated Reade Fahs, chief executive officer. “Following our March closings, we are pleased to have safely reopened our stores by early June. With our many new protocols in place, we believe we have an effective, safety first approach to serve patients and customers in a COVID-19 environment. While we expect the macro environment will continue to evolve, we believe we are well positioned to continue operations throughout the remainder of the COVID-19 pandemic.</w:t>
      </w:r>
      <w:r>
        <w:rPr>
          <w:rFonts w:ascii="Arial" w:cs="Arial" w:eastAsia="Arial" w:hAnsi="Arial"/>
          <w:sz w:val="17"/>
          <w:szCs w:val="17"/>
          <w:color w:val="auto"/>
        </w:rPr>
        <w:t>”</w:t>
      </w:r>
    </w:p>
    <w:p>
      <w:pPr>
        <w:spacing w:after="0" w:line="4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Mr. Fahs further commented, “Since reopening, our stores have experienced consistently strong demand from our patients and customers. June comps increased over 19%, the best reported comp increase in my 18 years at National Vision, with similar momentum continuing throughout July. Results were likely helped by pent-up demand during the lock-down and benefits from government stimulus payments. But performance also reflects successful macro and micro navigation of this dynamic situation by our operations and product teams. As our stores provide essential healthcare services and products, and given the state of the economy, we believe ever more consumers are drawn to our affordably priced eye exams, eyeglasses, and contact lenses.”</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Mr. Fahs continued, “In May, we took the financial steps to strengthen our balance sheet and are confident in our financial flexibility and liquidity to navigate the remainder of the pandemic. In July, we were pleased to extend our 30-year partnership with Walmart for another three years into 2024. This contract extension comes on the heels of the successful transition of the five additional Vision Centers that Walmart granted in January. We have been encouraged by the initial results at these stores to date and see tremendous future potential for them as well.</w:t>
      </w:r>
      <w:r>
        <w:rPr>
          <w:rFonts w:ascii="Arial" w:cs="Arial" w:eastAsia="Arial" w:hAnsi="Arial"/>
          <w:sz w:val="18"/>
          <w:szCs w:val="18"/>
          <w:color w:val="auto"/>
        </w:rPr>
        <w:t>”</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Fahs concluded, “As matters of diversity and inclusion are ever more on the minds of both consumers and associates, especially relative to the Black community, they remain a priority at National Vision as we strive to be an ever more inclusive workplace. In the second quarter, we established a Diversity, Equity and Inclusion Council to give a stronger voice to our Black associates and other minorities within the National Vision family. And, as we continue to strive to provide a life-giving culture for our associates and doctors who practice alongside our stores, we made investments in our people including a one-time $250 ‘appreciation’ bonus to our front line associates and network of doctors for their exceptional work under difficult circumstances over the past several months. I derive constant inspiration by the work and determination of the extended National Vision team. While there remains uncertainty about the future, I am confident that we will emerge stronger and better from this extraordinary experience.”</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EBITDA, Adjusted Operating Income,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COVID-19 Response Update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take actions to manage its business through the dynamic and challenging environment resulting from the COVID-19 pandemic. Following temporary store closures to the public in March 2020, the Company completed the process of reopening stores with enhanced safety and cleaning protocols in early June 2020. In addition, the Company continues to take actions to manage the business that the Company believes are prudent in these circumstances, including:</w:t>
      </w:r>
    </w:p>
    <w:p>
      <w:pPr>
        <w:spacing w:after="0" w:line="7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May 2020, the Company completed the issuance of $402.5 million aggregate principal amount of 2.50% convertible senior notes due 2025;</w:t>
      </w:r>
    </w:p>
    <w:p>
      <w:pPr>
        <w:spacing w:after="0" w:line="34" w:lineRule="exact"/>
        <w:rPr>
          <w:rFonts w:ascii="Arial" w:cs="Arial" w:eastAsia="Arial" w:hAnsi="Arial"/>
          <w:sz w:val="17"/>
          <w:szCs w:val="17"/>
          <w:color w:val="auto"/>
        </w:rPr>
      </w:pPr>
    </w:p>
    <w:p>
      <w:pPr>
        <w:jc w:val="both"/>
        <w:ind w:left="340" w:hanging="332"/>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6"/>
          <w:szCs w:val="16"/>
          <w:color w:val="auto"/>
        </w:rPr>
        <w:t>In May 2020, the Company and the lenders under its credit facility entered into an amendment to the facility. This amendment is intended to prevent the effects of the COVID-19 pandemic, including the temporary closure of stores, from creating uncertainty relative to the Company’s ability to comply with certain financial covenants and allow it to focus on prudent management of the business over the quarters ahead. The amendment suspends certain financial maintenance covenants contained in the facility until testing at the end of the second fiscal quarter of 2021;</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connection with the reopening to the public of its retail stores, the Company returned to previous levels of compensation and work hours across the organization, and the respective base salaries of executive officers were reinstated to pre-COVID-19 levels effective as of June 7, 2020;</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2020, the Company resumed unit growth and expects to open between 50 and 55 new stores in 2020. In addition to new store openings, as previously announced, the Company transitioned five additional Vision Centers in Walmart stores to its management during the second quarter of 2020; and</w:t>
      </w:r>
    </w:p>
    <w:p>
      <w:pPr>
        <w:spacing w:after="0" w:line="1" w:lineRule="exact"/>
        <w:rPr>
          <w:rFonts w:ascii="Arial" w:cs="Arial" w:eastAsia="Arial" w:hAnsi="Arial"/>
          <w:sz w:val="18"/>
          <w:szCs w:val="18"/>
          <w:color w:val="auto"/>
        </w:rPr>
      </w:pPr>
    </w:p>
    <w:p>
      <w:pPr>
        <w:ind w:left="340" w:hanging="332"/>
        <w:spacing w:after="0" w:line="323"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recorded a credit of $10.8 million as a reduction of costs applicable to revenue and selling, general and administrative expenses ("SG&amp;A") as a result of the employee retention credits made available under the Coronavirus Aid, Relief and Economic Security Act (CARES Act).</w:t>
      </w:r>
    </w:p>
    <w:p>
      <w:pPr>
        <w:spacing w:after="0" w:line="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Given the uncertainties, dynamic nature, resurgence, and unknown duration of the pandemic, the Company is continuing to evaluate additional operational and financial measures that may be taken as the Company continues to respond to the impact of COVID-19 on its business.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Summary</w:t>
      </w:r>
    </w:p>
    <w:p>
      <w:pPr>
        <w:spacing w:after="0" w:line="12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Net revenue decreased 39.5% to $260.0 million from $429.5 million for the second quarter of 2019.</w:t>
      </w:r>
    </w:p>
    <w:p>
      <w:pPr>
        <w:spacing w:after="0" w:line="23" w:lineRule="exact"/>
        <w:rPr>
          <w:rFonts w:ascii="Arial" w:cs="Arial" w:eastAsia="Arial" w:hAnsi="Arial"/>
          <w:sz w:val="18"/>
          <w:szCs w:val="18"/>
          <w:b w:val="1"/>
          <w:bCs w:val="1"/>
          <w:color w:val="auto"/>
        </w:rPr>
      </w:pPr>
    </w:p>
    <w:p>
      <w:pPr>
        <w:jc w:val="both"/>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was negatively impacted by 10.0% due to the timing of unearned revenue, which also resulted in material impacts to profitability. The Company experienced an increase in unearned revenue of $34.4 million in the second quarter compared to a decrease in unearned revenue of $8.5 million for the same period of 2019. The increase in unearned revenue resulted from the temporary store closures at the end of the first quarter of 2020 as well as stronger sales at the end of the second quarter of 2020.</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store sales growth was (44.7)% and Adjusted Comparable Store Sales Growth was (36.5)%.</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light of the temporary store closures, the Company is providing certain additional comparable store sales growth information. For the respective months ended April 25, 2020, May 30, 2020, and June 27, 2020:</w:t>
      </w: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Comparable store sales growth was (83.9)%, (56.6)% and 14.3%;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Adjusted Comparable Store Sales Growth was (86.6)%, (38.5)% and 19.3%.</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opened 12 new stores, transitioned five Vision Centers in Walmart stores to its management, closed five stores, and ended the quarter with 1,185 stores. Overall, store count grew 5.1% from June 29, 2019 to June 27, 2020.</w:t>
      </w:r>
    </w:p>
    <w:p>
      <w:pPr>
        <w:jc w:val="both"/>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applicable to revenue decreased 30.5% to $140.8 million from $202.5 million for the second quarter of 2019. As a percentage of net revenue, costs applicable to revenue increased 690 basis points to 54.1% from 47.2% for the second quarter of 2019. This increase as a percentage of net revenue was primarily driven by optometrist costs incurred during store closures and increased contact lens mix.</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SG&amp;A decreased 25.1% to $136.6 million from $182.3 million for the second quarter of 2019. As a percentage of net revenue, SG&amp;A increased 1,010 basis points to 52.5% from 42.4% for the second quarter of 2019. This increase as a percentage of net revenue was primarily driven by store and corporate payroll and occupancy costs incurred during store closures, partially offset by lower advertising investment. SG&amp;A for the second quarter of 2020 includes $2.5 million of incremental costs directly related to adapting the Company's operations during the COVID-19 pandemic.</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527% to a net loss of $43.8 million compared to net income of $10.3 million for the second quarter of 2019.</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Diluted earnings (loss) per share decreased 533% to $(0.55) compared to $0.13 for the second quarter of 2019. Adjusted Diluted EPS decreased 325% to $(0.41) compared to $0.18 for the second quarter of 2019. The net change in margin on unearned revenue negatively impacted Adjusted Diluted EPS by $(0.30).</w:t>
      </w:r>
    </w:p>
    <w:p>
      <w:pPr>
        <w:spacing w:after="0" w:line="1" w:lineRule="exact"/>
        <w:rPr>
          <w:rFonts w:ascii="Arial" w:cs="Arial" w:eastAsia="Arial" w:hAnsi="Arial"/>
          <w:sz w:val="18"/>
          <w:szCs w:val="18"/>
          <w:i w:val="1"/>
          <w:iCs w:val="1"/>
          <w:color w:val="auto"/>
        </w:rPr>
      </w:pPr>
    </w:p>
    <w:p>
      <w:pPr>
        <w:ind w:left="340" w:right="20" w:hanging="332"/>
        <w:spacing w:after="0" w:line="26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decreased 130% to $(14.4) million compared to $48.1 million for the second quarter of 2019. Adjusted EBITDA Margin decreased 1,670 basis points to (5.5)% from 11.2% for the second quarter of 2019.</w:t>
      </w:r>
    </w:p>
    <w:p>
      <w:pPr>
        <w:sectPr>
          <w:pgSz w:w="11900" w:h="16838" w:orient="portrait"/>
          <w:cols w:equalWidth="0" w:num="1">
            <w:col w:w="11240"/>
          </w:cols>
          <w:pgMar w:left="320" w:top="891" w:right="339" w:bottom="1440" w:gutter="0" w:footer="0" w:header="0"/>
        </w:sectPr>
      </w:pPr>
    </w:p>
    <w:bookmarkStart w:id="6" w:name="page7"/>
    <w:bookmarkEnd w:id="6"/>
    <w:p>
      <w:pPr>
        <w:jc w:val="both"/>
        <w:ind w:left="340" w:hanging="332"/>
        <w:spacing w:after="0" w:line="263"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decreased 218% to $(34.4) million compared to $29.1 million for the second quarter of 2019. Adjusted Operating Margin decreased 2,000 basis points to (13.2)% from 6.8% for the second quarter of 2019. The net change in margin on unearned revenue negatively impacted Adjusted EBITDA and Adjusted Operating Income by $(32.5)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Period Highlights</w:t>
      </w:r>
    </w:p>
    <w:p>
      <w:pPr>
        <w:spacing w:after="0" w:line="12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Net revenue decreased 18.1% to $729.7 million from $890.7 million for the same period of 2019.</w:t>
      </w:r>
    </w:p>
    <w:p>
      <w:pPr>
        <w:spacing w:after="0" w:line="23" w:lineRule="exact"/>
        <w:rPr>
          <w:rFonts w:ascii="Arial" w:cs="Arial" w:eastAsia="Arial" w:hAnsi="Arial"/>
          <w:sz w:val="18"/>
          <w:szCs w:val="18"/>
          <w:b w:val="1"/>
          <w:bCs w:val="1"/>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Net revenue was negatively impacted by 1.7% due to the timing of unearned revenue.</w:t>
      </w:r>
    </w:p>
    <w:p>
      <w:pPr>
        <w:spacing w:after="0" w:line="9" w:lineRule="exact"/>
        <w:rPr>
          <w:rFonts w:ascii="Arial" w:cs="Arial" w:eastAsia="Arial" w:hAnsi="Arial"/>
          <w:sz w:val="18"/>
          <w:szCs w:val="18"/>
          <w:b w:val="1"/>
          <w:bCs w:val="1"/>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growth was (23.0)% and Adjusted Comparable Store Sales Growth was (22.6)%.</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opened 35 new stores, transitioned five Vision Centers in Walmart stores to its management, closed six stores, and ended the period with 1,185 stores.</w:t>
      </w:r>
    </w:p>
    <w:p>
      <w:pPr>
        <w:jc w:val="both"/>
        <w:ind w:left="340" w:hanging="332"/>
        <w:spacing w:after="0" w:line="281"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applicable to revenue decreased 13.3% to $359.3 million from $414.5 million for the same period of 2019. As a percentage of net revenue, costs applicable to revenue increased 270 basis points to 49.2% from 46.5% for the same period of 2019. This increase as a percentage of net revenue was primarily driven by optometrist costs incurred during store closures as well as increased contact lens mix, partially offset by higher eyeglass margin.</w:t>
      </w:r>
    </w:p>
    <w:p>
      <w:pPr>
        <w:spacing w:after="0" w:line="1" w:lineRule="exact"/>
        <w:rPr>
          <w:rFonts w:ascii="Arial" w:cs="Arial" w:eastAsia="Arial" w:hAnsi="Arial"/>
          <w:sz w:val="16"/>
          <w:szCs w:val="16"/>
          <w:color w:val="auto"/>
        </w:rPr>
      </w:pPr>
    </w:p>
    <w:p>
      <w:pPr>
        <w:jc w:val="both"/>
        <w:ind w:left="340" w:hanging="332"/>
        <w:spacing w:after="0" w:line="265"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SG&amp;A decreased 12.2% to $330.3 million from $376.2 million for the same period of 2019. As a percentage of net revenue, SG&amp;A increased 310 basis points to 45.3% from 42.2% for the same period of 2019. This increase as a percentage of net revenue was primarily driven by store and corporate payroll and occupancy expense, partially offset by lower advertising investment. SG&amp;A for the first six months of 2020 includes $3.1 million of incremental costs directly related to adapting the Company's operations during the COVID-19 pandemic.</w:t>
      </w: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decreased 223% to a net loss of $34.1 million compared to net income of $27.7 million for the same period of 2019.</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(loss) per share decreased 225% to $(0.42) compared to $0.34 for the same period of 2019. Adjusted Diluted EPS decreased 126% to $(0.13) compared to $0.49 for the same period of 2019. The net change in margin on unearned revenue negatively impacted Adjusted Diluted EPS by $(0.11).</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decreased 57.3% to $46.7 million compared to $109.3 million for the same period of 2019. Adjusted EBITDA Margin decreased 590 basis points to 6.4% from 12.3% for the same period of 2019.</w:t>
      </w:r>
    </w:p>
    <w:p>
      <w:pPr>
        <w:jc w:val="both"/>
        <w:ind w:left="340" w:hanging="332"/>
        <w:spacing w:after="0" w:line="255"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Income decreased 94.9% to $3.6 million compared to $71.7 million for the same period of 2019. Adjusted Operating Margin decreased 760 basis points to 0.5% from 8.1% for the same period of 2019. The net change in margin on unearned revenue negatively impacted Adjusted EBITDA and Adjusted Operating Income by $(11.9)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June 27, 2020</w:t>
      </w:r>
    </w:p>
    <w:p>
      <w:pPr>
        <w:spacing w:after="0" w:line="121" w:lineRule="exact"/>
        <w:rPr>
          <w:sz w:val="20"/>
          <w:szCs w:val="20"/>
          <w:color w:val="auto"/>
        </w:rPr>
      </w:pPr>
    </w:p>
    <w:p>
      <w:pPr>
        <w:ind w:left="340" w:hanging="332"/>
        <w:spacing w:after="0" w:line="25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cash balance was $256.3 million as of June 27, 2020. The Company had no borrowings under its $300.0 million first lien revolving credit facility, exclusive of letters of credit of $5.7 million.</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debt was $648.2 million as of June 27, 2020, consisting of outstanding first lien term loans, convertible senior notes and finance lease obligations, net of unamortized discounts.</w:t>
      </w:r>
    </w:p>
    <w:p>
      <w:pPr>
        <w:jc w:val="both"/>
        <w:ind w:left="3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noted above, in May 2020, the Company completed the issuance of $402.5 million aggregate principal amount of 2.50% convertible senior notes due 2025. The Company received proceeds from the offering of $390.9 million, net of underwriting fees and other issuance costs. The Company used $294.3 million of the net proceeds to repay the full amount outstanding under the revolving credit facility and $75.0 million to partially repay the term loans.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Cash flows from operating activities for first six months of 2020 were $71.4 million compared to $119.3 million for the same period of 2019.</w:t>
      </w:r>
    </w:p>
    <w:p>
      <w:pPr>
        <w:spacing w:after="0" w:line="20" w:lineRule="exact"/>
        <w:rPr>
          <w:rFonts w:ascii="Arial" w:cs="Arial" w:eastAsia="Arial" w:hAnsi="Arial"/>
          <w:sz w:val="17"/>
          <w:szCs w:val="17"/>
          <w:color w:val="auto"/>
        </w:rPr>
      </w:pPr>
    </w:p>
    <w:p>
      <w:pPr>
        <w:ind w:left="3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for the first six months of 2020 totaled $25.8 million compared to $52.1 million for the same period of 2019, primarily due to the postponement of capital projects.</w:t>
      </w:r>
    </w:p>
    <w:p>
      <w:pPr>
        <w:ind w:left="340" w:hanging="332"/>
        <w:spacing w:after="0" w:line="26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believes it has sufficient liquidity to fund operations for at least the next 12 months, given cash on hand, cash expected to be generated from operations, and the cash available through its revolving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40" w:hanging="332"/>
        <w:spacing w:after="0" w:line="25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the Company granted a one-time $250 cash bonus to front-line associates and the Company's network of doctors in recognition of their hard work and dedication toward safely serving patients and customers.</w:t>
      </w:r>
    </w:p>
    <w:p>
      <w:pPr>
        <w:spacing w:after="0" w:line="1"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the Company entered into an amendment to its existing Management &amp; Services Agreement ("MSA") with Walmart Inc. that extended the current term and economics of the MSA by three years to February 23, 2024.</w:t>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Fiscal 2020 Outlook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disclosed, given the uncertainty surrounding the magnitude and duration of the COVID-19 pandemic, the Company withdrew its fiscal 2020 outlook on March 27, 2020 and is not providing an earnings outlook at this time. However, the Company is providing the following updated assumptions for fiscal 2020:</w:t>
      </w:r>
    </w:p>
    <w:p>
      <w:pPr>
        <w:spacing w:after="0" w:line="130"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New Stores</w:t>
            </w:r>
          </w:p>
        </w:tc>
        <w:tc>
          <w:tcPr>
            <w:tcW w:w="1920" w:type="dxa"/>
            <w:vAlign w:val="bottom"/>
          </w:tcPr>
          <w:p>
            <w:pPr>
              <w:ind w:left="540"/>
              <w:spacing w:after="0"/>
              <w:rPr>
                <w:sz w:val="20"/>
                <w:szCs w:val="20"/>
                <w:color w:val="auto"/>
              </w:rPr>
            </w:pPr>
            <w:r>
              <w:rPr>
                <w:rFonts w:ascii="Arial" w:cs="Arial" w:eastAsia="Arial" w:hAnsi="Arial"/>
                <w:sz w:val="18"/>
                <w:szCs w:val="18"/>
                <w:color w:val="auto"/>
                <w:w w:val="88"/>
              </w:rPr>
              <w:t>50 - 55 New Stores</w:t>
            </w:r>
          </w:p>
        </w:tc>
      </w:tr>
      <w:tr>
        <w:trPr>
          <w:trHeight w:val="310"/>
        </w:trPr>
        <w:tc>
          <w:tcPr>
            <w:tcW w:w="2980" w:type="dxa"/>
            <w:vAlign w:val="bottom"/>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1</w:t>
            </w:r>
          </w:p>
        </w:tc>
        <w:tc>
          <w:tcPr>
            <w:tcW w:w="1920" w:type="dxa"/>
            <w:vAlign w:val="bottom"/>
          </w:tcPr>
          <w:p>
            <w:pPr>
              <w:ind w:left="540"/>
              <w:spacing w:after="0"/>
              <w:rPr>
                <w:sz w:val="20"/>
                <w:szCs w:val="20"/>
                <w:color w:val="auto"/>
              </w:rPr>
            </w:pPr>
            <w:r>
              <w:rPr>
                <w:rFonts w:ascii="Arial" w:cs="Arial" w:eastAsia="Arial" w:hAnsi="Arial"/>
                <w:sz w:val="18"/>
                <w:szCs w:val="18"/>
                <w:color w:val="auto"/>
              </w:rPr>
              <w:t>$94 - $95 million</w:t>
            </w: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2</w:t>
            </w:r>
          </w:p>
        </w:tc>
        <w:tc>
          <w:tcPr>
            <w:tcW w:w="1920" w:type="dxa"/>
            <w:vAlign w:val="bottom"/>
          </w:tcPr>
          <w:p>
            <w:pPr>
              <w:ind w:left="540"/>
              <w:spacing w:after="0"/>
              <w:rPr>
                <w:sz w:val="20"/>
                <w:szCs w:val="20"/>
                <w:color w:val="auto"/>
              </w:rPr>
            </w:pPr>
            <w:r>
              <w:rPr>
                <w:rFonts w:ascii="Arial" w:cs="Arial" w:eastAsia="Arial" w:hAnsi="Arial"/>
                <w:sz w:val="18"/>
                <w:szCs w:val="18"/>
                <w:color w:val="auto"/>
              </w:rPr>
              <w:t>$33 - $34 million</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Capital Expenditures</w:t>
            </w:r>
          </w:p>
        </w:tc>
        <w:tc>
          <w:tcPr>
            <w:tcW w:w="1920" w:type="dxa"/>
            <w:vAlign w:val="bottom"/>
          </w:tcPr>
          <w:p>
            <w:pPr>
              <w:ind w:left="540"/>
              <w:spacing w:after="0"/>
              <w:rPr>
                <w:sz w:val="20"/>
                <w:szCs w:val="20"/>
                <w:color w:val="auto"/>
              </w:rPr>
            </w:pPr>
            <w:r>
              <w:rPr>
                <w:rFonts w:ascii="Arial" w:cs="Arial" w:eastAsia="Arial" w:hAnsi="Arial"/>
                <w:sz w:val="18"/>
                <w:szCs w:val="18"/>
                <w:color w:val="auto"/>
              </w:rPr>
              <w:t>$65 - $75 million</w:t>
            </w: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Incremental COVID-19 Expenses</w:t>
            </w:r>
          </w:p>
        </w:tc>
        <w:tc>
          <w:tcPr>
            <w:tcW w:w="1920" w:type="dxa"/>
            <w:vAlign w:val="bottom"/>
          </w:tcPr>
          <w:p>
            <w:pPr>
              <w:ind w:left="540"/>
              <w:spacing w:after="0"/>
              <w:rPr>
                <w:sz w:val="20"/>
                <w:szCs w:val="20"/>
                <w:color w:val="auto"/>
              </w:rPr>
            </w:pPr>
            <w:r>
              <w:rPr>
                <w:rFonts w:ascii="Arial" w:cs="Arial" w:eastAsia="Arial" w:hAnsi="Arial"/>
                <w:sz w:val="18"/>
                <w:szCs w:val="18"/>
                <w:color w:val="auto"/>
              </w:rPr>
              <w:t>~$8 million</w:t>
            </w:r>
          </w:p>
        </w:tc>
      </w:tr>
    </w:tbl>
    <w:p>
      <w:pPr>
        <w:spacing w:after="0" w:line="143" w:lineRule="exact"/>
        <w:rPr>
          <w:sz w:val="20"/>
          <w:szCs w:val="20"/>
          <w:color w:val="auto"/>
        </w:rPr>
      </w:pPr>
    </w:p>
    <w:p>
      <w:pPr>
        <w:ind w:left="2140"/>
        <w:spacing w:after="0"/>
        <w:rPr>
          <w:sz w:val="20"/>
          <w:szCs w:val="20"/>
          <w:color w:val="auto"/>
        </w:rPr>
      </w:pPr>
      <w:r>
        <w:rPr>
          <w:rFonts w:ascii="Arial" w:cs="Arial" w:eastAsia="Arial" w:hAnsi="Arial"/>
          <w:sz w:val="14"/>
          <w:szCs w:val="14"/>
          <w:i w:val="1"/>
          <w:iCs w:val="1"/>
          <w:color w:val="auto"/>
        </w:rPr>
        <w:t>1 - Includes amortization of acquisition intangibles of approximately $7.4 million</w:t>
      </w:r>
    </w:p>
    <w:p>
      <w:pPr>
        <w:ind w:left="2140" w:right="2380"/>
        <w:spacing w:after="0" w:line="237" w:lineRule="auto"/>
        <w:rPr>
          <w:sz w:val="20"/>
          <w:szCs w:val="20"/>
          <w:color w:val="auto"/>
        </w:rPr>
      </w:pPr>
      <w:r>
        <w:rPr>
          <w:rFonts w:ascii="Arial" w:cs="Arial" w:eastAsia="Arial" w:hAnsi="Arial"/>
          <w:sz w:val="14"/>
          <w:szCs w:val="14"/>
          <w:i w:val="1"/>
          <w:iCs w:val="1"/>
          <w:color w:val="auto"/>
        </w:rPr>
        <w:t>2 - Before the impact of gains or losses related to hedge ineffectiveness and charges related to interest payments and amortization of debt discounts related to the 2025 Notes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conference call to discuss the second quarter 2020 financial results is scheduled for today, August 6, 2020, at 10:00 a.m. Eastern Time. The U.S. toll free dial-in for the conference call is 866-754-6931 and the international dial-in is 636-812-6625. The conference passcode is 8585726. A live audio webcast of the conference call will be available on the “Investors” section of the Company’s website </w:t>
      </w:r>
      <w:r>
        <w:rPr>
          <w:rFonts w:ascii="Arial" w:cs="Arial" w:eastAsia="Arial" w:hAnsi="Arial"/>
          <w:sz w:val="18"/>
          <w:szCs w:val="18"/>
          <w:u w:val="single" w:color="auto"/>
          <w:color w:val="0000FF"/>
        </w:rPr>
        <w:t>www.nationalvision.com/investors</w:t>
      </w:r>
      <w:r>
        <w:rPr>
          <w:rFonts w:ascii="Arial" w:cs="Arial" w:eastAsia="Arial" w:hAnsi="Arial"/>
          <w:sz w:val="18"/>
          <w:szCs w:val="18"/>
          <w:color w:val="auto"/>
        </w:rPr>
        <w:t>, where presentation materials will be posted prior to the conference call.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will be available shortly after the broadcast through Thursday, August 13, 2020, by dialing 855-859-2056 from the U.S. or 404-537-3406 from international locations, and entering conference passcode 8585726. A replay of the audio webcast will also be archived on the “Investors” section of the Company’s website.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1,100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select Fred Meyer stores and on select military bases, and several e-commerce websites, offering a variety of products and services for customers’ eyecare needs.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the forward-looking statements. Such factors include, but are not limited to, the scale, scope and duration of the novel coronavirus, or COVID-19, pandemic and its resurgence, and the impact of evolving federal, state, and local governmental actions in response thereto; customer behavior in response to the continuing pandemic and its resurgence, and evolving federal, state, and local governmental actions, including the impact of such behavior on in-store traffic and sales; our ability to keep our reopened stores open in a safe and cost-effective manner, or at all, in light of the continuing COVID-19 pandemic and its resurgence, and to open and operate new stores, and to successfully enter new markets in a timely and cost-effective manner; operational disruptions if a significant percentage of our workforce is unable to work or we experience labor shortages, including because of illness or travel or government restrictions in connection with the pandemic; the impact on our business of civil unrest, implementation of curfews and protests in certain locations, and related store closures or damage; our ability to recruit and retain vision care professionals for our stores in general and in light of the pandemic; our ability to develop and maintain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w:t>
      </w:r>
    </w:p>
    <w:p>
      <w:pPr>
        <w:sectPr>
          <w:pgSz w:w="11900" w:h="16838" w:orient="portrait"/>
          <w:cols w:equalWidth="0" w:num="1">
            <w:col w:w="11240"/>
          </w:cols>
          <w:pgMar w:left="320" w:top="891" w:right="339" w:bottom="1440" w:gutter="0" w:footer="0" w:header="0"/>
        </w:sectPr>
      </w:pPr>
    </w:p>
    <w:bookmarkStart w:id="8" w:name="page9"/>
    <w:bookmarkEnd w:id="8"/>
    <w:p>
      <w:pPr>
        <w:jc w:val="both"/>
        <w:spacing w:after="0" w:line="284" w:lineRule="auto"/>
        <w:rPr>
          <w:sz w:val="20"/>
          <w:szCs w:val="20"/>
          <w:color w:val="auto"/>
        </w:rPr>
      </w:pPr>
      <w:r>
        <w:rPr>
          <w:rFonts w:ascii="Arial" w:cs="Arial" w:eastAsia="Arial" w:hAnsi="Arial"/>
          <w:sz w:val="16"/>
          <w:szCs w:val="16"/>
          <w:color w:val="auto"/>
        </w:rPr>
        <w:t>flow from our operations to execute or sustain our growth strategy;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successfully compete in the highly competitive optical retail industry; any failure, inadequacy, interruption, security failure or breach of our information technology systems;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overall decline in the health of the economy and consumer spending affecting consumer purchases; our ability to manage our inventory balances and inventory shrinkage; seasonal fluctuations in our operating results and inventory levels; our reliance on third-party coverage and reimbursement, including government programs, for an increasing portion of our revenues; risks associated with our e-commerce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risks of losses arising from our investments in technological innovators in the optical retail industry; our ability to adequately protect our intellectual property; our significant amount of indebtedness and our ability to generate sufficient cash flow to satisfy our significant debt service obligations; an increase in interest rates as well as changes in benchmark rates and uncertainty related to the foregoing; restrictions in our credit agreement that limits our flexibility in operating our business;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our Form 8-K filed on March 19, 2020, our Quarterly Reports on Form 10-Q filed on May 7, 2020 and August 6, 2020, and subsequent filings with the SEC,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Operating Income,” “Adjusted Operating Margin,”, “Adjusted Diluted EPS,” “Adjusted SG&amp;A” and “Adjusted SG&amp;A Percent of Net Revenue.” We believe EBITDA, Adjusted EBITDA, Adjusted EBITDA Margin, Adjusted Operating Income, Adjusted Operating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we introduced Adjusted Operating Income and Adjusted Operating Margin as measures of performance we will use in connection with Adjusted EBITDA, Adjusted EBITDA Margin and Adjusted Diluted EPS. Further, consistent with our presentation of Adjusted Operating Income, we no longer exclude new store pre-opening expenses and non-cash rent from our presentation of Adjusted EBITDA and Adjusted Diluted EPS. See our Form 8-K filed with the SEC on February 26, 2020 for more information.</w:t>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Beginning with the first quarter of fiscal 2020, the Company updated its definitions of Adjusted EBITDA, Adjusted SG&amp;A, and Adjusted Diluted EPS discussed below, so that they no longer exclude new store pre-opening expenses and non-cash 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(loss), plus interest expense, income tax provision (benefit) and 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(loss), plus interest expense, income tax provision (benefit) and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further adjusted to exclude stock compensation expense, asset impairment, litigation settlement, management realignment expenses, long-term incentive plan expenses, and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Operating Income: </w:t>
      </w:r>
      <w:r>
        <w:rPr>
          <w:rFonts w:ascii="Arial" w:cs="Arial" w:eastAsia="Arial" w:hAnsi="Arial"/>
          <w:sz w:val="18"/>
          <w:szCs w:val="18"/>
          <w:color w:val="auto"/>
        </w:rPr>
        <w:t>We define Adjusted Operating Income as net income (loss), plus interest expense and income tax provision (benefit),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to exclude stock compensation expense, asset impairment, litigation settlement, management realignment expenses, long-term incentive plan expenses, amortization of acquisition intangibles, and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(loss) per share, adjusted for the per share impact of stock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asset impairment, litigation settlement, management realignment expenses, long-term incentive plan expenses, amortization of acquisition intangibles, amortization of debt discount and deferred financing costs, losses (gains) on change in fair value of derivatives, other expenses, and tax benefit of stock option exercises, less the tax effect of these adjustments.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compensation expense, management realignment expenses,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expenses, and other expenses except for the share of losses on equity method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SG&amp;A Percent of Net Revenue: </w:t>
      </w:r>
      <w:r>
        <w:rPr>
          <w:rFonts w:ascii="Arial" w:cs="Arial" w:eastAsia="Arial" w:hAnsi="Arial"/>
          <w:sz w:val="18"/>
          <w:szCs w:val="18"/>
          <w:color w:val="auto"/>
        </w:rPr>
        <w:t>We define Adjusted SG&amp;A Percent of Net Revenue as Adjusted SG&amp;A divided by net revenue.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EBITDA, Adjusted EBITDA, Adjusted EBITDA Margin, Adjusted Operating Income, Adjusted Operating Margin, Adjusted Diluted EPS, Adjusted SG&amp;A, Adjusted SG&amp;A Percent of Net Revenue, and Adjusted Comparable Store Sales Growth are not recognized terms under GAAP and should not be considered as an alternative to net income,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As of June 27, 2020 and December 28, 2019</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8"/>
                <w:szCs w:val="18"/>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June 27, 2020</w:t>
            </w: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28, 2019</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256,292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39,342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117,859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37"/>
        </w:trPr>
        <w:tc>
          <w:tcPr>
            <w:tcW w:w="71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453,122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339,905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53,236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12,871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1,765,915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1,798,086</w:t>
            </w:r>
          </w:p>
        </w:tc>
        <w:tc>
          <w:tcPr>
            <w:tcW w:w="0" w:type="dxa"/>
            <w:vAlign w:val="bottom"/>
          </w:tcPr>
          <w:p>
            <w:pPr>
              <w:spacing w:after="0"/>
              <w:rPr>
                <w:sz w:val="1"/>
                <w:szCs w:val="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2,219,037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40,782</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106,865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51,624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Current operating lease obligations</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55,363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273,179</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Long-term debt and finance lease obligations, less current portion and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328,453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19,438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67,396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9)</w:t>
            </w: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w w:val="89"/>
              </w:rPr>
              <w:t>Common stock, $0.01 par value; 200,000 shares authorized; 81,342 and 80,603 shares issued as</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w w:val="89"/>
              </w:rPr>
              <w:t>of June 27, 2020 and December 28, 2019, respectively; 80,415 and 79,678 shares outstanding as</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of June 27, 2020 and December 28, 2019, respectively</w:t>
            </w:r>
          </w:p>
        </w:tc>
        <w:tc>
          <w:tcPr>
            <w:tcW w:w="30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782,851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700,121</w:t>
            </w: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107,132</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w w:val="96"/>
              </w:rPr>
              <w:t>Treasury stock, at cost; 927 and 925 shares as of June 27, 2020 and December 28, 2019,</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(27,881)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820,939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2,219,037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ind w:right="-69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 the Three and Six Months Ended June 27, 2020 and June 29, 2019</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5"/>
          </w:tcPr>
          <w:p>
            <w:pPr>
              <w:ind w:left="6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980" w:type="dxa"/>
            <w:vAlign w:val="bottom"/>
            <w:gridSpan w:val="4"/>
          </w:tcPr>
          <w:p>
            <w:pPr>
              <w:jc w:val="right"/>
              <w:ind w:right="830"/>
              <w:spacing w:after="0"/>
              <w:rPr>
                <w:sz w:val="20"/>
                <w:szCs w:val="20"/>
                <w:color w:val="auto"/>
              </w:rPr>
            </w:pPr>
            <w:r>
              <w:rPr>
                <w:rFonts w:ascii="Arial" w:cs="Arial" w:eastAsia="Arial" w:hAnsi="Arial"/>
                <w:sz w:val="18"/>
                <w:szCs w:val="18"/>
                <w:color w:val="auto"/>
              </w:rPr>
              <w:t>Six Months Ended</w:t>
            </w:r>
          </w:p>
        </w:tc>
      </w:tr>
      <w:tr>
        <w:trPr>
          <w:trHeight w:val="27"/>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June 27, 2020</w:t>
            </w:r>
          </w:p>
        </w:tc>
        <w:tc>
          <w:tcPr>
            <w:tcW w:w="32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w w:val="98"/>
              </w:rPr>
              <w:t>June 29, 2019</w:t>
            </w:r>
          </w:p>
        </w:tc>
        <w:tc>
          <w:tcPr>
            <w:tcW w:w="18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June 27, 2020</w:t>
            </w:r>
          </w:p>
        </w:tc>
        <w:tc>
          <w:tcPr>
            <w:tcW w:w="18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2"/>
              </w:rPr>
              <w:t>June 29, 2019</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209,707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357,533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602,548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740,693</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50,300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71,918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127,163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149,973</w:t>
            </w:r>
          </w:p>
        </w:tc>
      </w:tr>
      <w:tr>
        <w:trPr>
          <w:trHeight w:val="237"/>
        </w:trPr>
        <w:tc>
          <w:tcPr>
            <w:tcW w:w="412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260,007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429,451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729,711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890,666</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97,635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145,654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254,005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299,658</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105,329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114,817</w:t>
            </w:r>
          </w:p>
        </w:tc>
      </w:tr>
      <w:tr>
        <w:trPr>
          <w:trHeight w:val="237"/>
        </w:trPr>
        <w:tc>
          <w:tcPr>
            <w:tcW w:w="412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140,780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202,506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359,334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414,475</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136,582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182,278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330,323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376,154</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41,234</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3,872</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829</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160,825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395,060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422,089</w:t>
            </w: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21,702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54,102</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18,029</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36,073</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8,387</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(43,833)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27,686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0.35</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0.34</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78,262</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80,325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81,424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80,226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81,437</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27,686</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Unrealized gain (loss) on hedge instruments</w:t>
            </w:r>
          </w:p>
        </w:tc>
        <w:tc>
          <w:tcPr>
            <w:tcW w:w="1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(3,519)</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Tax provision (benefit) of unrealized gain (loss) 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hedge instruments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64"/>
        </w:trPr>
        <w:tc>
          <w:tcPr>
            <w:tcW w:w="41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(40,772)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25,069</w:t>
            </w: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540"/>
          </w:cols>
          <w:pgMar w:left="320" w:top="769" w:right="10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27, 2020 and June 29,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4"/>
          </w:tcPr>
          <w:p>
            <w:pPr>
              <w:jc w:val="right"/>
              <w:ind w:right="899"/>
              <w:spacing w:after="0"/>
              <w:rPr>
                <w:sz w:val="20"/>
                <w:szCs w:val="20"/>
                <w:color w:val="auto"/>
              </w:rPr>
            </w:pPr>
            <w:r>
              <w:rPr>
                <w:rFonts w:ascii="Arial" w:cs="Arial" w:eastAsia="Arial" w:hAnsi="Arial"/>
                <w:sz w:val="16"/>
                <w:szCs w:val="16"/>
                <w:color w:val="auto"/>
              </w:rPr>
              <w:t>Six Months Ended</w:t>
            </w:r>
          </w:p>
        </w:tc>
      </w:tr>
      <w:tr>
        <w:trPr>
          <w:trHeight w:val="33"/>
        </w:trPr>
        <w:tc>
          <w:tcPr>
            <w:tcW w:w="8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color w:val="auto"/>
              </w:rPr>
              <w:t>June 27, 2020</w:t>
            </w:r>
          </w:p>
        </w:tc>
        <w:tc>
          <w:tcPr>
            <w:tcW w:w="220" w:type="dxa"/>
            <w:vAlign w:val="bottom"/>
          </w:tcPr>
          <w:p>
            <w:pPr>
              <w:spacing w:after="0"/>
              <w:rPr>
                <w:sz w:val="18"/>
                <w:szCs w:val="18"/>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w w:val="96"/>
              </w:rPr>
              <w:t>June 29, 2019</w:t>
            </w:r>
          </w:p>
        </w:tc>
      </w:tr>
      <w:tr>
        <w:trPr>
          <w:trHeight w:val="33"/>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(34,091)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27,686</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4"/>
        </w:trPr>
        <w:tc>
          <w:tcPr>
            <w:tcW w:w="8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46,734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41,234</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892</w:t>
            </w:r>
          </w:p>
        </w:tc>
      </w:tr>
      <w:tr>
        <w:trPr>
          <w:trHeight w:val="223"/>
        </w:trPr>
        <w:tc>
          <w:tcPr>
            <w:tcW w:w="80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3,872</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8,239</w:t>
            </w:r>
          </w:p>
        </w:tc>
      </w:tr>
      <w:tr>
        <w:trPr>
          <w:trHeight w:val="224"/>
        </w:trPr>
        <w:tc>
          <w:tcPr>
            <w:tcW w:w="80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5,445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4,717</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80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2,043</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Credit loss expense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3,865</w:t>
            </w:r>
          </w:p>
        </w:tc>
      </w:tr>
      <w:tr>
        <w:trPr>
          <w:trHeight w:val="223"/>
        </w:trPr>
        <w:tc>
          <w:tcPr>
            <w:tcW w:w="8060" w:type="dxa"/>
            <w:vAlign w:val="bottom"/>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1,592</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4"/>
        </w:trPr>
        <w:tc>
          <w:tcPr>
            <w:tcW w:w="80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(10,567)</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8,319</w:t>
            </w:r>
          </w:p>
        </w:tc>
      </w:tr>
      <w:tr>
        <w:trPr>
          <w:trHeight w:val="223"/>
        </w:trPr>
        <w:tc>
          <w:tcPr>
            <w:tcW w:w="80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11,391</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3,458</w:t>
            </w:r>
          </w:p>
        </w:tc>
      </w:tr>
      <w:tr>
        <w:trPr>
          <w:trHeight w:val="224"/>
        </w:trPr>
        <w:tc>
          <w:tcPr>
            <w:tcW w:w="80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5,804</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6,734</w:t>
            </w:r>
          </w:p>
        </w:tc>
      </w:tr>
      <w:tr>
        <w:trPr>
          <w:trHeight w:val="217"/>
        </w:trPr>
        <w:tc>
          <w:tcPr>
            <w:tcW w:w="806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71,420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119,279</w:t>
            </w:r>
          </w:p>
        </w:tc>
      </w:tr>
      <w:tr>
        <w:trPr>
          <w:trHeight w:val="33"/>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3"/>
        </w:trPr>
        <w:tc>
          <w:tcPr>
            <w:tcW w:w="806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(52,103)</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315</w:t>
            </w:r>
          </w:p>
        </w:tc>
      </w:tr>
      <w:tr>
        <w:trPr>
          <w:trHeight w:val="217"/>
        </w:trPr>
        <w:tc>
          <w:tcPr>
            <w:tcW w:w="8060" w:type="dxa"/>
            <w:vAlign w:val="bottom"/>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(25,531)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(51,788)</w:t>
            </w:r>
          </w:p>
        </w:tc>
      </w:tr>
      <w:tr>
        <w:trPr>
          <w:trHeight w:val="33"/>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3"/>
        </w:trPr>
        <w:tc>
          <w:tcPr>
            <w:tcW w:w="806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548,769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(369,269)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r>
      <w:tr>
        <w:trPr>
          <w:trHeight w:val="223"/>
        </w:trPr>
        <w:tc>
          <w:tcPr>
            <w:tcW w:w="80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2,066</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806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r>
      <w:tr>
        <w:trPr>
          <w:trHeight w:val="217"/>
        </w:trPr>
        <w:tc>
          <w:tcPr>
            <w:tcW w:w="8060" w:type="dxa"/>
            <w:vAlign w:val="bottom"/>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171,437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(1,624)</w:t>
            </w:r>
          </w:p>
        </w:tc>
      </w:tr>
      <w:tr>
        <w:trPr>
          <w:trHeight w:val="33"/>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217,326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65,867</w:t>
            </w: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0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40,307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17,998</w:t>
            </w:r>
          </w:p>
        </w:tc>
      </w:tr>
      <w:tr>
        <w:trPr>
          <w:trHeight w:val="33"/>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257,633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83,865</w:t>
            </w:r>
          </w:p>
        </w:tc>
      </w:tr>
      <w:tr>
        <w:trPr>
          <w:trHeight w:val="22"/>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3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13,810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17,438</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22,033</w:t>
            </w:r>
          </w:p>
        </w:tc>
      </w:tr>
      <w:tr>
        <w:trPr>
          <w:trHeight w:val="223"/>
        </w:trPr>
        <w:tc>
          <w:tcPr>
            <w:tcW w:w="8060" w:type="dxa"/>
            <w:vAlign w:val="bottom"/>
          </w:tcPr>
          <w:p>
            <w:pPr>
              <w:ind w:left="20"/>
              <w:spacing w:after="0"/>
              <w:rPr>
                <w:sz w:val="20"/>
                <w:szCs w:val="20"/>
                <w:color w:val="auto"/>
              </w:rPr>
            </w:pPr>
            <w:r>
              <w:rPr>
                <w:rFonts w:ascii="Arial" w:cs="Arial" w:eastAsia="Arial" w:hAnsi="Arial"/>
                <w:sz w:val="16"/>
                <w:szCs w:val="16"/>
                <w:color w:val="auto"/>
              </w:rPr>
              <w:t>Right of use assets acquired under finance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9,763</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acquired under operating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58,528</w:t>
            </w:r>
          </w:p>
        </w:tc>
      </w:tr>
      <w:tr>
        <w:trPr>
          <w:trHeight w:val="33"/>
        </w:trPr>
        <w:tc>
          <w:tcPr>
            <w:tcW w:w="8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ectPr>
          <w:pgSz w:w="11900" w:h="16838" w:orient="portrait"/>
          <w:cols w:equalWidth="0" w:num="1">
            <w:col w:w="11220"/>
          </w:cols>
          <w:pgMar w:left="320" w:top="877"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27, 2020 and June 29,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Reconciliation of Adjusted Operating Income to Net Income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0" w:type="dxa"/>
            <w:vAlign w:val="bottom"/>
            <w:gridSpan w:val="4"/>
          </w:tcPr>
          <w:p>
            <w:pPr>
              <w:jc w:val="right"/>
              <w:ind w:right="190"/>
              <w:spacing w:after="0"/>
              <w:rPr>
                <w:sz w:val="20"/>
                <w:szCs w:val="20"/>
                <w:color w:val="auto"/>
              </w:rPr>
            </w:pPr>
            <w:r>
              <w:rPr>
                <w:rFonts w:ascii="Arial" w:cs="Arial" w:eastAsia="Arial" w:hAnsi="Arial"/>
                <w:sz w:val="18"/>
                <w:szCs w:val="18"/>
                <w:color w:val="auto"/>
                <w:w w:val="89"/>
              </w:rPr>
              <w:t>Three Months Ended</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40" w:type="dxa"/>
            <w:vAlign w:val="bottom"/>
            <w:gridSpan w:val="4"/>
          </w:tcPr>
          <w:p>
            <w:pPr>
              <w:jc w:val="right"/>
              <w:ind w:right="270"/>
              <w:spacing w:after="0"/>
              <w:rPr>
                <w:sz w:val="20"/>
                <w:szCs w:val="20"/>
                <w:color w:val="auto"/>
              </w:rPr>
            </w:pPr>
            <w:r>
              <w:rPr>
                <w:rFonts w:ascii="Arial" w:cs="Arial" w:eastAsia="Arial" w:hAnsi="Arial"/>
                <w:sz w:val="18"/>
                <w:szCs w:val="18"/>
                <w:color w:val="auto"/>
                <w:w w:val="99"/>
              </w:rPr>
              <w:t>Six Months Ended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60" w:type="dxa"/>
            <w:vAlign w:val="bottom"/>
            <w:gridSpan w:val="4"/>
          </w:tcPr>
          <w:p>
            <w:pPr>
              <w:ind w:left="18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June 29, 2019</w:t>
            </w:r>
          </w:p>
        </w:tc>
        <w:tc>
          <w:tcPr>
            <w:tcW w:w="180" w:type="dxa"/>
            <w:vAlign w:val="bottom"/>
          </w:tcPr>
          <w:p>
            <w:pPr>
              <w:spacing w:after="0"/>
              <w:rPr>
                <w:sz w:val="20"/>
                <w:szCs w:val="20"/>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color w:val="auto"/>
              </w:rPr>
              <w:t>June 27, 2020</w:t>
            </w:r>
          </w:p>
        </w:tc>
        <w:tc>
          <w:tcPr>
            <w:tcW w:w="16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(43,833)</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10,257</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(34,091)</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27,686</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15,502</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8,968</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22,957</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18,029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(13,403)</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2,477</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(13,685)</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8,387</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8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3,352</w:t>
            </w:r>
          </w:p>
        </w:tc>
        <w:tc>
          <w:tcPr>
            <w:tcW w:w="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1,741</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5,445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4,717</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2,411</w:t>
            </w: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13,766</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3,872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4,395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(e)</w:t>
            </w:r>
          </w:p>
        </w:tc>
        <w:tc>
          <w:tcPr>
            <w:tcW w:w="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781</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722</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(f)</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1,851</w:t>
            </w: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1,223</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1,149</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2,467</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b w:val="1"/>
                <w:bCs w:val="1"/>
                <w:color w:val="auto"/>
                <w:w w:val="92"/>
              </w:rPr>
              <w:t>Adjusted Operating Income / Adjusted Operating</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8"/>
              </w:rPr>
              <w:t>(34,427)</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29,088</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3,638</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71,737</w:t>
            </w: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Margin</w:t>
            </w: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760" w:type="dxa"/>
            <w:vAlign w:val="bottom"/>
            <w:tcBorders>
              <w:bottom w:val="single" w:sz="8" w:color="auto"/>
            </w:tcBorders>
            <w:vMerge w:val="continue"/>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780" w:type="dxa"/>
            <w:vAlign w:val="bottom"/>
            <w:tcBorders>
              <w:bottom w:val="single" w:sz="8" w:color="auto"/>
            </w:tcBorders>
            <w:vMerge w:val="continue"/>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80"/>
              <w:spacing w:after="0" w:line="122" w:lineRule="exact"/>
              <w:rPr>
                <w:sz w:val="20"/>
                <w:szCs w:val="20"/>
                <w:color w:val="auto"/>
              </w:rPr>
            </w:pPr>
            <w:r>
              <w:rPr>
                <w:rFonts w:ascii="Arial" w:cs="Arial" w:eastAsia="Arial" w:hAnsi="Arial"/>
                <w:sz w:val="14"/>
                <w:szCs w:val="14"/>
                <w:color w:val="auto"/>
                <w:w w:val="91"/>
              </w:rPr>
              <w:t>Note: Percentages reflect line item as a percentage of net revenue,</w:t>
            </w: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000" w:type="dxa"/>
            <w:vAlign w:val="bottom"/>
            <w:vMerge w:val="continue"/>
          </w:tcPr>
          <w:p>
            <w:pPr>
              <w:spacing w:after="0"/>
              <w:rPr>
                <w:sz w:val="7"/>
                <w:szCs w:val="7"/>
                <w:color w:val="auto"/>
              </w:rPr>
            </w:pPr>
          </w:p>
        </w:tc>
        <w:tc>
          <w:tcPr>
            <w:tcW w:w="1840" w:type="dxa"/>
            <w:vAlign w:val="bottom"/>
            <w:gridSpan w:val="5"/>
          </w:tcPr>
          <w:p>
            <w:pPr>
              <w:ind w:left="20"/>
              <w:spacing w:after="0" w:line="82" w:lineRule="exact"/>
              <w:rPr>
                <w:sz w:val="20"/>
                <w:szCs w:val="20"/>
                <w:color w:val="auto"/>
              </w:rPr>
            </w:pPr>
            <w:r>
              <w:rPr>
                <w:rFonts w:ascii="Arial" w:cs="Arial" w:eastAsia="Arial" w:hAnsi="Arial"/>
                <w:sz w:val="9"/>
                <w:szCs w:val="9"/>
                <w:color w:val="auto"/>
              </w:rPr>
              <w:t>adjusted for rounding.</w:t>
            </w: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840" w:type="dxa"/>
            <w:vAlign w:val="bottom"/>
            <w:gridSpan w:val="6"/>
          </w:tcPr>
          <w:p>
            <w:pPr>
              <w:ind w:left="18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1"/>
        </w:trPr>
        <w:tc>
          <w:tcPr>
            <w:tcW w:w="502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Reconciliation of EBITDA and Adjusted EBITDA to Net Income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0" w:type="dxa"/>
            <w:vAlign w:val="bottom"/>
            <w:gridSpan w:val="4"/>
          </w:tcPr>
          <w:p>
            <w:pPr>
              <w:jc w:val="right"/>
              <w:ind w:right="190"/>
              <w:spacing w:after="0"/>
              <w:rPr>
                <w:sz w:val="20"/>
                <w:szCs w:val="20"/>
                <w:color w:val="auto"/>
              </w:rPr>
            </w:pPr>
            <w:r>
              <w:rPr>
                <w:rFonts w:ascii="Arial" w:cs="Arial" w:eastAsia="Arial" w:hAnsi="Arial"/>
                <w:sz w:val="18"/>
                <w:szCs w:val="18"/>
                <w:color w:val="auto"/>
                <w:w w:val="89"/>
              </w:rPr>
              <w:t>Three Months Ended</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40" w:type="dxa"/>
            <w:vAlign w:val="bottom"/>
            <w:gridSpan w:val="4"/>
          </w:tcPr>
          <w:p>
            <w:pPr>
              <w:jc w:val="right"/>
              <w:ind w:right="270"/>
              <w:spacing w:after="0"/>
              <w:rPr>
                <w:sz w:val="20"/>
                <w:szCs w:val="20"/>
                <w:color w:val="auto"/>
              </w:rPr>
            </w:pPr>
            <w:r>
              <w:rPr>
                <w:rFonts w:ascii="Arial" w:cs="Arial" w:eastAsia="Arial" w:hAnsi="Arial"/>
                <w:sz w:val="18"/>
                <w:szCs w:val="18"/>
                <w:color w:val="auto"/>
                <w:w w:val="99"/>
              </w:rPr>
              <w:t>Six Months Ended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660" w:type="dxa"/>
            <w:vAlign w:val="bottom"/>
            <w:gridSpan w:val="4"/>
          </w:tcPr>
          <w:p>
            <w:pPr>
              <w:ind w:left="18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June 29, 2019</w:t>
            </w:r>
          </w:p>
        </w:tc>
        <w:tc>
          <w:tcPr>
            <w:tcW w:w="180" w:type="dxa"/>
            <w:vAlign w:val="bottom"/>
          </w:tcPr>
          <w:p>
            <w:pPr>
              <w:spacing w:after="0"/>
              <w:rPr>
                <w:sz w:val="20"/>
                <w:szCs w:val="20"/>
                <w:color w:val="auto"/>
              </w:rPr>
            </w:pPr>
          </w:p>
        </w:tc>
        <w:tc>
          <w:tcPr>
            <w:tcW w:w="1660" w:type="dxa"/>
            <w:vAlign w:val="bottom"/>
            <w:gridSpan w:val="3"/>
          </w:tcPr>
          <w:p>
            <w:pPr>
              <w:ind w:left="180"/>
              <w:spacing w:after="0"/>
              <w:rPr>
                <w:sz w:val="20"/>
                <w:szCs w:val="20"/>
                <w:color w:val="auto"/>
              </w:rPr>
            </w:pPr>
            <w:r>
              <w:rPr>
                <w:rFonts w:ascii="Arial" w:cs="Arial" w:eastAsia="Arial" w:hAnsi="Arial"/>
                <w:sz w:val="18"/>
                <w:szCs w:val="18"/>
                <w:color w:val="auto"/>
              </w:rPr>
              <w:t>June 27, 2020</w:t>
            </w:r>
          </w:p>
        </w:tc>
        <w:tc>
          <w:tcPr>
            <w:tcW w:w="16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(43,833)</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10,257</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(34,091)</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27,686</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15,502</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8,968</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22,957</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18,029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(13,403)</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2,477</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(13,685)</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8,387</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21,924</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20,819</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46,734</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41,234</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(19,810)</w:t>
            </w: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42,521</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21,915</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95,336</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3,352</w:t>
            </w: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5,445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4,717</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2,411</w:t>
            </w:r>
          </w:p>
        </w:tc>
        <w:tc>
          <w:tcPr>
            <w:tcW w:w="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1,790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13,766</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3,872</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4,395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(d)</w:t>
            </w:r>
          </w:p>
        </w:tc>
        <w:tc>
          <w:tcPr>
            <w:tcW w:w="1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2,155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(e)</w:t>
            </w: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1,223</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1,149</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2,467</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 / Adjusted EBITDA Margin</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(14,354)</w:t>
            </w:r>
          </w:p>
        </w:tc>
        <w:tc>
          <w:tcPr>
            <w:tcW w:w="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48,056</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46,670</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109,269</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12.3%</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-97790</wp:posOffset>
            </wp:positionV>
            <wp:extent cx="617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-97790</wp:posOffset>
            </wp:positionV>
            <wp:extent cx="6172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-97790</wp:posOffset>
            </wp:positionV>
            <wp:extent cx="617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-97790</wp:posOffset>
            </wp:positionV>
            <wp:extent cx="6172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ectPr>
          <w:pgSz w:w="11900" w:h="16838" w:orient="portrait"/>
          <w:cols w:equalWidth="0" w:num="1">
            <w:col w:w="11240"/>
          </w:cols>
          <w:pgMar w:left="320" w:top="76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3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Reconciliation of Adjusted Diluted EPS to Diluted EPS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gridSpan w:val="5"/>
          </w:tcPr>
          <w:p>
            <w:pPr>
              <w:ind w:lef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3"/>
                <w:szCs w:val="23"/>
                <w:color w:val="auto"/>
              </w:rPr>
            </w:pPr>
          </w:p>
        </w:tc>
        <w:tc>
          <w:tcPr>
            <w:tcW w:w="3320" w:type="dxa"/>
            <w:vAlign w:val="bottom"/>
            <w:gridSpan w:val="4"/>
          </w:tcPr>
          <w:p>
            <w:pPr>
              <w:jc w:val="right"/>
              <w:ind w:right="10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June 27, 2020</w:t>
            </w: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June 29, 2019</w:t>
            </w: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color w:val="auto"/>
                <w:w w:val="98"/>
              </w:rPr>
              <w:t>June 29, 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30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(d)</w:t>
            </w:r>
          </w:p>
        </w:tc>
        <w:tc>
          <w:tcPr>
            <w:tcW w:w="3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(e)</w:t>
            </w:r>
          </w:p>
        </w:tc>
        <w:tc>
          <w:tcPr>
            <w:tcW w:w="30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(f)</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5"/>
              </w:rPr>
              <w:t>Amortization of debt discount and deferred financing</w:t>
            </w:r>
          </w:p>
        </w:tc>
        <w:tc>
          <w:tcPr>
            <w:tcW w:w="300" w:type="dxa"/>
            <w:vAlign w:val="bottom"/>
          </w:tcPr>
          <w:p>
            <w:pPr>
              <w:spacing w:after="0"/>
              <w:rPr>
                <w:sz w:val="15"/>
                <w:szCs w:val="15"/>
                <w:color w:val="auto"/>
              </w:rPr>
            </w:pPr>
          </w:p>
        </w:tc>
        <w:tc>
          <w:tcPr>
            <w:tcW w:w="1440" w:type="dxa"/>
            <w:vAlign w:val="bottom"/>
            <w:vMerge w:val="restart"/>
          </w:tcPr>
          <w:p>
            <w:pPr>
              <w:jc w:val="right"/>
              <w:ind w:right="7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vMerge w:val="restart"/>
          </w:tcPr>
          <w:p>
            <w:pPr>
              <w:jc w:val="right"/>
              <w:ind w:right="7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3"/>
                <w:szCs w:val="23"/>
                <w:color w:val="auto"/>
                <w:vertAlign w:val="superscript"/>
              </w:rPr>
              <w:t>(g)</w:t>
            </w:r>
          </w:p>
        </w:tc>
        <w:tc>
          <w:tcPr>
            <w:tcW w:w="3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xml:space="preserve">Losses (gains) on change in fair value of derivatives </w:t>
            </w:r>
            <w:r>
              <w:rPr>
                <w:rFonts w:ascii="Arial" w:cs="Arial" w:eastAsia="Arial" w:hAnsi="Arial"/>
                <w:sz w:val="23"/>
                <w:szCs w:val="23"/>
                <w:color w:val="auto"/>
                <w:w w:val="90"/>
                <w:vertAlign w:val="superscript"/>
              </w:rPr>
              <w:t>(h)</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30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3"/>
                <w:szCs w:val="23"/>
                <w:color w:val="auto"/>
                <w:vertAlign w:val="superscript"/>
              </w:rPr>
              <w:t>(j)</w:t>
            </w:r>
          </w:p>
        </w:tc>
        <w:tc>
          <w:tcPr>
            <w:tcW w:w="3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(k)</w:t>
            </w: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Diluted EPS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80,325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81,424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80,226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81,437</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Some of the totals in the table above do not foot due to rounding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-98425</wp:posOffset>
            </wp:positionV>
            <wp:extent cx="4603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Adjusted SG&amp;A and Adjusted SG&amp;A Percent of Net Revenue to SG&amp;A</w:t>
      </w:r>
    </w:p>
    <w:p>
      <w:pPr>
        <w:sectPr>
          <w:pgSz w:w="11900" w:h="16838" w:orient="portrait"/>
          <w:cols w:equalWidth="0" w:num="1">
            <w:col w:w="11240"/>
          </w:cols>
          <w:pgMar w:left="320" w:top="918" w:right="339" w:bottom="1440" w:gutter="0" w:footer="0" w:header="0"/>
        </w:sect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SG&amp;A</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(e)</w:t>
      </w:r>
    </w:p>
    <w:p>
      <w:pPr>
        <w:ind w:left="20"/>
        <w:spacing w:after="0" w:line="225" w:lineRule="auto"/>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(l)</w:t>
      </w:r>
    </w:p>
    <w:p>
      <w:pPr>
        <w:spacing w:after="0" w:line="1"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Adjusted SG&amp;A/ Adjusted SG&amp;A Percent of Net Revenue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gridSpan w:val="4"/>
          </w:tcPr>
          <w:p>
            <w:pPr>
              <w:jc w:val="right"/>
              <w:ind w:right="270"/>
              <w:spacing w:after="0"/>
              <w:rPr>
                <w:sz w:val="20"/>
                <w:szCs w:val="20"/>
                <w:color w:val="auto"/>
              </w:rPr>
            </w:pPr>
            <w:r>
              <w:rPr>
                <w:rFonts w:ascii="Arial" w:cs="Arial" w:eastAsia="Arial" w:hAnsi="Arial"/>
                <w:sz w:val="18"/>
                <w:szCs w:val="18"/>
                <w:color w:val="auto"/>
                <w:w w:val="91"/>
              </w:rPr>
              <w:t>Three Months Ended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40" w:type="dxa"/>
            <w:vAlign w:val="bottom"/>
            <w:gridSpan w:val="4"/>
          </w:tcPr>
          <w:p>
            <w:pPr>
              <w:jc w:val="right"/>
              <w:ind w:right="310"/>
              <w:spacing w:after="0"/>
              <w:rPr>
                <w:sz w:val="20"/>
                <w:szCs w:val="20"/>
                <w:color w:val="auto"/>
              </w:rPr>
            </w:pPr>
            <w:r>
              <w:rPr>
                <w:rFonts w:ascii="Arial" w:cs="Arial" w:eastAsia="Arial" w:hAnsi="Arial"/>
                <w:sz w:val="18"/>
                <w:szCs w:val="18"/>
                <w:color w:val="auto"/>
                <w:w w:val="97"/>
              </w:rPr>
              <w:t>Six Months Ended</w:t>
            </w:r>
          </w:p>
        </w:tc>
        <w:tc>
          <w:tcPr>
            <w:tcW w:w="760" w:type="dxa"/>
            <w:vAlign w:val="bottom"/>
          </w:tcPr>
          <w:p>
            <w:pPr>
              <w:spacing w:after="0"/>
              <w:rPr>
                <w:sz w:val="20"/>
                <w:szCs w:val="20"/>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color w:val="auto"/>
              </w:rPr>
              <w:t>June 29, 2019</w:t>
            </w:r>
          </w:p>
        </w:tc>
        <w:tc>
          <w:tcPr>
            <w:tcW w:w="220" w:type="dxa"/>
            <w:vAlign w:val="bottom"/>
          </w:tcPr>
          <w:p>
            <w:pPr>
              <w:spacing w:after="0"/>
              <w:rPr>
                <w:sz w:val="20"/>
                <w:szCs w:val="20"/>
                <w:color w:val="auto"/>
              </w:rPr>
            </w:pPr>
          </w:p>
        </w:tc>
        <w:tc>
          <w:tcPr>
            <w:tcW w:w="1720" w:type="dxa"/>
            <w:vAlign w:val="bottom"/>
            <w:gridSpan w:val="3"/>
          </w:tcPr>
          <w:p>
            <w:pPr>
              <w:ind w:left="200"/>
              <w:spacing w:after="0"/>
              <w:rPr>
                <w:sz w:val="20"/>
                <w:szCs w:val="20"/>
                <w:color w:val="auto"/>
              </w:rPr>
            </w:pPr>
            <w:r>
              <w:rPr>
                <w:rFonts w:ascii="Arial" w:cs="Arial" w:eastAsia="Arial" w:hAnsi="Arial"/>
                <w:sz w:val="18"/>
                <w:szCs w:val="18"/>
                <w:color w:val="auto"/>
              </w:rPr>
              <w:t>June 27, 2020</w:t>
            </w:r>
          </w:p>
        </w:tc>
        <w:tc>
          <w:tcPr>
            <w:tcW w:w="16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June 29, 2019</w:t>
            </w:r>
          </w:p>
        </w:tc>
      </w:tr>
      <w:tr>
        <w:trPr>
          <w:trHeight w:val="27"/>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136,582</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182,278</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42.4%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330,323</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8"/>
              </w:rPr>
              <w:t>376,154</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42.2%</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3,352</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1,741</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5,445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4,717</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0.5%</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2,155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0.2%</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781</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722</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0.1%</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776</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1,149</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1,460</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0.2%</w:t>
            </w:r>
          </w:p>
        </w:tc>
      </w:tr>
      <w:tr>
        <w:trPr>
          <w:trHeight w:val="27"/>
        </w:trPr>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43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133,537</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51.4%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178,980</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41.7%</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323,729</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44.4%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8"/>
              </w:rPr>
              <w:t>367,100</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-1156970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-805180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-462280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0</wp:posOffset>
            </wp:positionV>
            <wp:extent cx="617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0</wp:posOffset>
            </wp:positionV>
            <wp:extent cx="6775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0</wp:posOffset>
            </wp:positionV>
            <wp:extent cx="676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9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676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3580" w:space="160"/>
            <w:col w:w="7500"/>
          </w:cols>
          <w:pgMar w:left="320" w:top="918" w:right="339" w:bottom="1440" w:gutter="0" w:footer="0" w:header="0"/>
          <w:type w:val="continuous"/>
        </w:sectPr>
      </w:pPr>
    </w:p>
    <w:p>
      <w:pPr>
        <w:ind w:left="140"/>
        <w:spacing w:after="0" w:line="229" w:lineRule="auto"/>
        <w:rPr>
          <w:sz w:val="20"/>
          <w:szCs w:val="20"/>
          <w:color w:val="auto"/>
        </w:rPr>
      </w:pPr>
      <w:r>
        <w:rPr>
          <w:rFonts w:ascii="Arial" w:cs="Arial" w:eastAsia="Arial" w:hAnsi="Arial"/>
          <w:sz w:val="14"/>
          <w:szCs w:val="14"/>
          <w:color w:val="auto"/>
        </w:rPr>
        <w:t>Note: Percentages reflect line item as a percentage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-80645</wp:posOffset>
            </wp:positionV>
            <wp:extent cx="6172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-80645</wp:posOffset>
            </wp:positionV>
            <wp:extent cx="6775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-80645</wp:posOffset>
            </wp:positionV>
            <wp:extent cx="6769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-80645</wp:posOffset>
            </wp:positionV>
            <wp:extent cx="6769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pacing w:after="0" w:line="3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Note 9. “Commitments and Contingencies” for further details.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the Current Report on Form 8-K filed with the SEC on January 10, 2019.</w:t>
      </w:r>
    </w:p>
    <w:p>
      <w:pPr>
        <w:spacing w:after="0" w:line="1" w:lineRule="exact"/>
        <w:rPr>
          <w:rFonts w:ascii="Arial" w:cs="Arial" w:eastAsia="Arial" w:hAnsi="Arial"/>
          <w:sz w:val="14"/>
          <w:szCs w:val="14"/>
          <w:color w:val="auto"/>
        </w:rPr>
      </w:pPr>
    </w:p>
    <w:p>
      <w:pPr>
        <w:ind w:left="660" w:right="640" w:hanging="328"/>
        <w:spacing w:after="0" w:line="241" w:lineRule="auto"/>
        <w:tabs>
          <w:tab w:leader="none" w:pos="657"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 w:lineRule="exact"/>
        <w:rPr>
          <w:rFonts w:ascii="Arial" w:cs="Arial" w:eastAsia="Arial" w:hAnsi="Arial"/>
          <w:sz w:val="14"/>
          <w:szCs w:val="14"/>
          <w:color w:val="auto"/>
        </w:rPr>
      </w:pPr>
    </w:p>
    <w:p>
      <w:pPr>
        <w:jc w:val="both"/>
        <w:ind w:left="660" w:right="660" w:hanging="328"/>
        <w:spacing w:after="0" w:line="241" w:lineRule="auto"/>
        <w:tabs>
          <w:tab w:leader="none" w:pos="6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debt discount is associated with the amortization of the conversion feature related to the convertible notes and amortization of deferred financing costs relate to the convertible note, term loan and revolving credit facility borrowings. Amortization of debt discount and deferred financing costs in aggregate total $2.5 million and $0.5 million for the three months ended June 27, 2020 and June 29, 2019, respectively, and $2.7 million and $0.9 million for the six months ended June 27, 2020 and June 29, 2019, respectively.</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Reflects $4.9 million of losses recognized in interest expense on change in fair value of de-designated hedges for the three and six months ended June 27, 2020.</w:t>
      </w:r>
    </w:p>
    <w:p>
      <w:pPr>
        <w:sectPr>
          <w:pgSz w:w="11900" w:h="16838" w:orient="portrait"/>
          <w:cols w:equalWidth="0" w:num="1">
            <w:col w:w="11240"/>
          </w:cols>
          <w:pgMar w:left="320" w:top="918" w:right="339" w:bottom="1440" w:gutter="0" w:footer="0" w:header="0"/>
          <w:type w:val="continuous"/>
        </w:sectPr>
      </w:pPr>
    </w:p>
    <w:bookmarkStart w:id="15" w:name="page16"/>
    <w:bookmarkEnd w:id="15"/>
    <w:p>
      <w:pPr>
        <w:jc w:val="both"/>
        <w:ind w:left="420" w:right="420" w:hanging="328"/>
        <w:spacing w:after="0" w:line="262" w:lineRule="auto"/>
        <w:tabs>
          <w:tab w:leader="none" w:pos="407"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$0.4 million for the three months ended June 29, 2019 and $1.0 million for the six months ended June 29, 2019; the amortization impact of adjustments related to the KKR Acquisition, (e.g., fair value of leasehold interests) of $0.1 million for each of the three months ended June 27, 2020 and June 29, 2019, respectively, and $0.2 million for each of the six months ended June 27, 2020 and June 29, 2019, respectively; costs of severance and relocation of $0.2 million and $0.6 million for the three months ended June 27, 2020 and June 29, 2019, respectively, and $0.5 million and $0.8 million for the six months ended June 27, 2020 and June 29, 2019, respectively; excess payroll taxes related to stock option exercises of $0.1 million for the three months ended June 29, 2019, and $0.3 million and $0.1 million for the six months ended June 27, 2020 and June 29, 2019, respectively; incremental costs directly related to adapting the Company’s operations during the COVID-19 pandemic of $0.6 million for the six months ended June 27, 2020; and other expenses and adjustments totaling $(0.7) million and $(31) thousand for the three months ended June 27, 2020 and June 29, 2019, respectively, and $(0.5) million and $0.3 million for the six months ended June 27, 2020 and June 29, 2019, respectively.</w:t>
      </w:r>
    </w:p>
    <w:p>
      <w:pPr>
        <w:ind w:left="420" w:right="440" w:hanging="328"/>
        <w:spacing w:after="0" w:line="241"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400" w:hanging="308"/>
        <w:spacing w:after="0"/>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420" w:right="440" w:hanging="328"/>
        <w:spacing w:after="0" w:line="255" w:lineRule="auto"/>
        <w:tabs>
          <w:tab w:leader="none" w:pos="40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other expenses in (i) above, except for our share of losses on equity method investments of $0.4 million for the three months ended June 29, 2019 and $1.0 million for the six months ended June 29, 2019,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gridSpan w:val="16"/>
          </w:tcPr>
          <w:p>
            <w:pPr>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6"/>
        </w:trPr>
        <w:tc>
          <w:tcPr>
            <w:tcW w:w="3800" w:type="dxa"/>
            <w:vAlign w:val="bottom"/>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11"/>
          </w:tcPr>
          <w:p>
            <w:pPr>
              <w:ind w:left="240"/>
              <w:spacing w:after="0" w:line="256" w:lineRule="exact"/>
              <w:rPr>
                <w:sz w:val="20"/>
                <w:szCs w:val="20"/>
                <w:color w:val="auto"/>
              </w:rPr>
            </w:pPr>
            <w:r>
              <w:rPr>
                <w:rFonts w:ascii="Arial" w:cs="Arial" w:eastAsia="Arial" w:hAnsi="Arial"/>
                <w:sz w:val="18"/>
                <w:szCs w:val="18"/>
                <w:color w:val="auto"/>
              </w:rPr>
              <w:t>Comparable store sales growth</w:t>
            </w:r>
            <w:r>
              <w:rPr>
                <w:rFonts w:ascii="Arial" w:cs="Arial" w:eastAsia="Arial" w:hAnsi="Arial"/>
                <w:sz w:val="23"/>
                <w:szCs w:val="23"/>
                <w:color w:val="auto"/>
                <w:vertAlign w:val="superscript"/>
              </w:rPr>
              <w:t>(a)</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r>
        <w:trPr>
          <w:trHeight w:val="237"/>
        </w:trPr>
        <w:tc>
          <w:tcPr>
            <w:tcW w:w="3800" w:type="dxa"/>
            <w:vAlign w:val="bottom"/>
          </w:tcPr>
          <w:p>
            <w:pPr>
              <w:spacing w:after="0"/>
              <w:rPr>
                <w:sz w:val="20"/>
                <w:szCs w:val="20"/>
                <w:color w:val="auto"/>
              </w:rPr>
            </w:pPr>
          </w:p>
        </w:tc>
        <w:tc>
          <w:tcPr>
            <w:tcW w:w="322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8"/>
          </w:tcPr>
          <w:p>
            <w:pPr>
              <w:ind w:left="720"/>
              <w:spacing w:after="0"/>
              <w:rPr>
                <w:sz w:val="20"/>
                <w:szCs w:val="20"/>
                <w:color w:val="auto"/>
              </w:rPr>
            </w:pPr>
            <w:r>
              <w:rPr>
                <w:rFonts w:ascii="Arial" w:cs="Arial" w:eastAsia="Arial" w:hAnsi="Arial"/>
                <w:sz w:val="18"/>
                <w:szCs w:val="18"/>
                <w:color w:val="auto"/>
              </w:rPr>
              <w:t>Six Months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1760" w:type="dxa"/>
            <w:vAlign w:val="bottom"/>
            <w:gridSpan w:val="2"/>
          </w:tcPr>
          <w:p>
            <w:pPr>
              <w:ind w:left="320"/>
              <w:spacing w:after="0"/>
              <w:rPr>
                <w:sz w:val="20"/>
                <w:szCs w:val="20"/>
                <w:color w:val="auto"/>
              </w:rPr>
            </w:pPr>
            <w:r>
              <w:rPr>
                <w:rFonts w:ascii="Arial" w:cs="Arial" w:eastAsia="Arial" w:hAnsi="Arial"/>
                <w:sz w:val="18"/>
                <w:szCs w:val="18"/>
                <w:color w:val="auto"/>
              </w:rPr>
              <w:t>June 27, 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29,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June 27, 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29, 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Owned &amp; Host segment</w:t>
            </w: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America’s Best</w:t>
            </w:r>
          </w:p>
        </w:tc>
        <w:tc>
          <w:tcPr>
            <w:tcW w:w="16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80" w:type="dxa"/>
            <w:vAlign w:val="bottom"/>
            <w:gridSpan w:val="5"/>
          </w:tcPr>
          <w:p>
            <w:pPr>
              <w:ind w:left="1060"/>
              <w:spacing w:after="0"/>
              <w:rPr>
                <w:sz w:val="20"/>
                <w:szCs w:val="20"/>
                <w:color w:val="auto"/>
              </w:rPr>
            </w:pPr>
            <w:r>
              <w:rPr>
                <w:rFonts w:ascii="Arial" w:cs="Arial" w:eastAsia="Arial" w:hAnsi="Arial"/>
                <w:sz w:val="18"/>
                <w:szCs w:val="18"/>
                <w:color w:val="auto"/>
                <w:w w:val="95"/>
              </w:rPr>
              <w:t>(22.2)%</w:t>
            </w:r>
          </w:p>
        </w:tc>
        <w:tc>
          <w:tcPr>
            <w:tcW w:w="100" w:type="dxa"/>
            <w:vAlign w:val="bottom"/>
          </w:tcPr>
          <w:p>
            <w:pPr>
              <w:spacing w:after="0"/>
              <w:rPr>
                <w:sz w:val="21"/>
                <w:szCs w:val="21"/>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rPr>
              <w:t>6.4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7"/>
        </w:trPr>
        <w:tc>
          <w:tcPr>
            <w:tcW w:w="3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Eyeglass World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5"/>
            <w:shd w:val="clear" w:color="auto" w:fill="CCEEFF"/>
          </w:tcPr>
          <w:p>
            <w:pPr>
              <w:ind w:left="1060"/>
              <w:spacing w:after="0"/>
              <w:rPr>
                <w:sz w:val="20"/>
                <w:szCs w:val="20"/>
                <w:color w:val="auto"/>
              </w:rPr>
            </w:pPr>
            <w:r>
              <w:rPr>
                <w:rFonts w:ascii="Arial" w:cs="Arial" w:eastAsia="Arial" w:hAnsi="Arial"/>
                <w:sz w:val="18"/>
                <w:szCs w:val="18"/>
                <w:color w:val="auto"/>
                <w:w w:val="95"/>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Military</w:t>
            </w:r>
          </w:p>
        </w:tc>
        <w:tc>
          <w:tcPr>
            <w:tcW w:w="166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80" w:type="dxa"/>
            <w:vAlign w:val="bottom"/>
            <w:gridSpan w:val="5"/>
          </w:tcPr>
          <w:p>
            <w:pPr>
              <w:ind w:left="1060"/>
              <w:spacing w:after="0"/>
              <w:rPr>
                <w:sz w:val="20"/>
                <w:szCs w:val="20"/>
                <w:color w:val="auto"/>
              </w:rPr>
            </w:pPr>
            <w:r>
              <w:rPr>
                <w:rFonts w:ascii="Arial" w:cs="Arial" w:eastAsia="Arial" w:hAnsi="Arial"/>
                <w:sz w:val="18"/>
                <w:szCs w:val="18"/>
                <w:color w:val="auto"/>
                <w:w w:val="95"/>
              </w:rPr>
              <w:t>(27.8)%</w:t>
            </w:r>
          </w:p>
        </w:tc>
        <w:tc>
          <w:tcPr>
            <w:tcW w:w="100" w:type="dxa"/>
            <w:vAlign w:val="bottom"/>
          </w:tcPr>
          <w:p>
            <w:pPr>
              <w:spacing w:after="0"/>
              <w:rPr>
                <w:sz w:val="21"/>
                <w:szCs w:val="21"/>
                <w:color w:val="auto"/>
              </w:rPr>
            </w:pPr>
          </w:p>
        </w:tc>
        <w:tc>
          <w:tcPr>
            <w:tcW w:w="1680" w:type="dxa"/>
            <w:vAlign w:val="bottom"/>
            <w:gridSpan w:val="6"/>
          </w:tcPr>
          <w:p>
            <w:pPr>
              <w:jc w:val="right"/>
              <w:ind w:right="20"/>
              <w:spacing w:after="0"/>
              <w:rPr>
                <w:sz w:val="20"/>
                <w:szCs w:val="20"/>
                <w:color w:val="auto"/>
              </w:rPr>
            </w:pPr>
            <w:r>
              <w:rPr>
                <w:rFonts w:ascii="Arial" w:cs="Arial" w:eastAsia="Arial" w:hAnsi="Arial"/>
                <w:sz w:val="18"/>
                <w:szCs w:val="18"/>
                <w:color w:val="auto"/>
              </w:rPr>
              <w:t>(2.2)%</w:t>
            </w:r>
          </w:p>
        </w:tc>
      </w:tr>
      <w:tr>
        <w:trPr>
          <w:trHeight w:val="27"/>
        </w:trPr>
        <w:tc>
          <w:tcPr>
            <w:tcW w:w="3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Fred Meyer</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5"/>
            <w:shd w:val="clear" w:color="auto" w:fill="CCEEFF"/>
          </w:tcPr>
          <w:p>
            <w:pPr>
              <w:ind w:left="1060"/>
              <w:spacing w:after="0"/>
              <w:rPr>
                <w:sz w:val="20"/>
                <w:szCs w:val="20"/>
                <w:color w:val="auto"/>
              </w:rPr>
            </w:pPr>
            <w:r>
              <w:rPr>
                <w:rFonts w:ascii="Arial" w:cs="Arial" w:eastAsia="Arial" w:hAnsi="Arial"/>
                <w:sz w:val="18"/>
                <w:szCs w:val="18"/>
                <w:color w:val="auto"/>
                <w:w w:val="95"/>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43"/>
        </w:trPr>
        <w:tc>
          <w:tcPr>
            <w:tcW w:w="3800" w:type="dxa"/>
            <w:vAlign w:val="bottom"/>
          </w:tcPr>
          <w:p>
            <w:pPr>
              <w:spacing w:after="0"/>
              <w:rPr>
                <w:sz w:val="20"/>
                <w:szCs w:val="20"/>
                <w:color w:val="auto"/>
              </w:rPr>
            </w:pPr>
            <w:r>
              <w:rPr>
                <w:rFonts w:ascii="Arial" w:cs="Arial" w:eastAsia="Arial" w:hAnsi="Arial"/>
                <w:sz w:val="18"/>
                <w:szCs w:val="18"/>
                <w:b w:val="1"/>
                <w:bCs w:val="1"/>
                <w:color w:val="auto"/>
              </w:rPr>
              <w:t>Legacy segment</w:t>
            </w:r>
          </w:p>
        </w:tc>
        <w:tc>
          <w:tcPr>
            <w:tcW w:w="16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1"/>
                <w:szCs w:val="21"/>
                <w:color w:val="auto"/>
              </w:rPr>
            </w:pPr>
          </w:p>
        </w:tc>
        <w:tc>
          <w:tcPr>
            <w:tcW w:w="1680" w:type="dxa"/>
            <w:vAlign w:val="bottom"/>
            <w:gridSpan w:val="5"/>
          </w:tcPr>
          <w:p>
            <w:pPr>
              <w:ind w:left="1060"/>
              <w:spacing w:after="0"/>
              <w:rPr>
                <w:sz w:val="20"/>
                <w:szCs w:val="20"/>
                <w:color w:val="auto"/>
              </w:rPr>
            </w:pPr>
            <w:r>
              <w:rPr>
                <w:rFonts w:ascii="Arial" w:cs="Arial" w:eastAsia="Arial" w:hAnsi="Arial"/>
                <w:sz w:val="18"/>
                <w:szCs w:val="18"/>
                <w:color w:val="auto"/>
                <w:w w:val="95"/>
              </w:rPr>
              <w:t>(24.4)%</w:t>
            </w:r>
          </w:p>
        </w:tc>
        <w:tc>
          <w:tcPr>
            <w:tcW w:w="100" w:type="dxa"/>
            <w:vAlign w:val="bottom"/>
          </w:tcPr>
          <w:p>
            <w:pPr>
              <w:spacing w:after="0"/>
              <w:rPr>
                <w:sz w:val="21"/>
                <w:szCs w:val="21"/>
                <w:color w:val="auto"/>
              </w:rPr>
            </w:pPr>
          </w:p>
        </w:tc>
        <w:tc>
          <w:tcPr>
            <w:tcW w:w="1680" w:type="dxa"/>
            <w:vAlign w:val="bottom"/>
            <w:gridSpan w:val="6"/>
          </w:tcPr>
          <w:p>
            <w:pPr>
              <w:jc w:val="right"/>
              <w:ind w:right="20"/>
              <w:spacing w:after="0"/>
              <w:rPr>
                <w:sz w:val="20"/>
                <w:szCs w:val="20"/>
                <w:color w:val="auto"/>
              </w:rPr>
            </w:pPr>
            <w:r>
              <w:rPr>
                <w:rFonts w:ascii="Arial" w:cs="Arial" w:eastAsia="Arial" w:hAnsi="Arial"/>
                <w:sz w:val="18"/>
                <w:szCs w:val="18"/>
                <w:color w:val="auto"/>
              </w:rPr>
              <w:t>1.1 %</w:t>
            </w:r>
          </w:p>
        </w:tc>
      </w:tr>
      <w:tr>
        <w:trPr>
          <w:trHeight w:val="27"/>
        </w:trPr>
        <w:tc>
          <w:tcPr>
            <w:tcW w:w="3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38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Total comparable store sales growth</w:t>
            </w:r>
          </w:p>
        </w:tc>
        <w:tc>
          <w:tcPr>
            <w:tcW w:w="16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80" w:type="dxa"/>
            <w:vAlign w:val="bottom"/>
            <w:gridSpan w:val="5"/>
          </w:tcPr>
          <w:p>
            <w:pPr>
              <w:ind w:left="1060"/>
              <w:spacing w:after="0"/>
              <w:rPr>
                <w:sz w:val="20"/>
                <w:szCs w:val="20"/>
                <w:color w:val="auto"/>
              </w:rPr>
            </w:pPr>
            <w:r>
              <w:rPr>
                <w:rFonts w:ascii="Arial" w:cs="Arial" w:eastAsia="Arial" w:hAnsi="Arial"/>
                <w:sz w:val="18"/>
                <w:szCs w:val="18"/>
                <w:color w:val="auto"/>
                <w:w w:val="95"/>
              </w:rPr>
              <w:t>(23.0)%</w:t>
            </w:r>
          </w:p>
        </w:tc>
        <w:tc>
          <w:tcPr>
            <w:tcW w:w="100" w:type="dxa"/>
            <w:vAlign w:val="bottom"/>
          </w:tcPr>
          <w:p>
            <w:pPr>
              <w:spacing w:after="0"/>
              <w:rPr>
                <w:sz w:val="21"/>
                <w:szCs w:val="21"/>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rPr>
              <w:t>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r>
        <w:trPr>
          <w:trHeight w:val="27"/>
        </w:trPr>
        <w:tc>
          <w:tcPr>
            <w:tcW w:w="3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3"/>
                <w:szCs w:val="23"/>
                <w:color w:val="auto"/>
                <w:vertAlign w:val="superscript"/>
              </w:rPr>
              <w:t>(b)</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3"/>
                <w:szCs w:val="23"/>
                <w:color w:val="auto"/>
              </w:rPr>
            </w:pPr>
          </w:p>
        </w:tc>
        <w:tc>
          <w:tcPr>
            <w:tcW w:w="1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680" w:type="dxa"/>
            <w:vAlign w:val="bottom"/>
            <w:gridSpan w:val="5"/>
            <w:shd w:val="clear" w:color="auto" w:fill="CCEEFF"/>
          </w:tcPr>
          <w:p>
            <w:pPr>
              <w:ind w:left="1060"/>
              <w:spacing w:after="0"/>
              <w:rPr>
                <w:sz w:val="20"/>
                <w:szCs w:val="20"/>
                <w:color w:val="auto"/>
              </w:rPr>
            </w:pPr>
            <w:r>
              <w:rPr>
                <w:rFonts w:ascii="Arial" w:cs="Arial" w:eastAsia="Arial" w:hAnsi="Arial"/>
                <w:sz w:val="18"/>
                <w:szCs w:val="18"/>
                <w:color w:val="auto"/>
                <w:w w:val="95"/>
              </w:rPr>
              <w:t>(22.6)%</w:t>
            </w:r>
          </w:p>
        </w:tc>
        <w:tc>
          <w:tcPr>
            <w:tcW w:w="100" w:type="dxa"/>
            <w:vAlign w:val="bottom"/>
            <w:shd w:val="clear" w:color="auto" w:fill="CCEEFF"/>
          </w:tcPr>
          <w:p>
            <w:pPr>
              <w:spacing w:after="0"/>
              <w:rPr>
                <w:sz w:val="23"/>
                <w:szCs w:val="23"/>
                <w:color w:val="auto"/>
              </w:rPr>
            </w:pPr>
          </w:p>
        </w:tc>
        <w:tc>
          <w:tcPr>
            <w:tcW w:w="1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r>
      <w:tr>
        <w:trPr>
          <w:trHeight w:val="473"/>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Additional Comparable Store Sales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8"/>
                <w:szCs w:val="18"/>
                <w:b w:val="1"/>
                <w:bCs w:val="1"/>
                <w:i w:val="1"/>
                <w:iCs w:val="1"/>
                <w:color w:val="auto"/>
                <w:w w:val="89"/>
              </w:rPr>
              <w:t>One Month Ended</w:t>
            </w:r>
          </w:p>
        </w:tc>
        <w:tc>
          <w:tcPr>
            <w:tcW w:w="120" w:type="dxa"/>
            <w:vAlign w:val="bottom"/>
          </w:tcPr>
          <w:p>
            <w:pPr>
              <w:spacing w:after="0"/>
              <w:rPr>
                <w:sz w:val="24"/>
                <w:szCs w:val="24"/>
                <w:color w:val="auto"/>
              </w:rPr>
            </w:pPr>
          </w:p>
        </w:tc>
        <w:tc>
          <w:tcPr>
            <w:tcW w:w="1660" w:type="dxa"/>
            <w:vAlign w:val="bottom"/>
            <w:gridSpan w:val="5"/>
          </w:tcPr>
          <w:p>
            <w:pPr>
              <w:jc w:val="center"/>
              <w:ind w:right="280"/>
              <w:spacing w:after="0"/>
              <w:rPr>
                <w:sz w:val="20"/>
                <w:szCs w:val="20"/>
                <w:color w:val="auto"/>
              </w:rPr>
            </w:pPr>
            <w:r>
              <w:rPr>
                <w:rFonts w:ascii="Arial" w:cs="Arial" w:eastAsia="Arial" w:hAnsi="Arial"/>
                <w:sz w:val="18"/>
                <w:szCs w:val="18"/>
                <w:b w:val="1"/>
                <w:bCs w:val="1"/>
                <w:i w:val="1"/>
                <w:iCs w:val="1"/>
                <w:color w:val="auto"/>
                <w:w w:val="89"/>
              </w:rPr>
              <w:t>One Month Ended</w:t>
            </w:r>
          </w:p>
        </w:tc>
        <w:tc>
          <w:tcPr>
            <w:tcW w:w="12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88"/>
              </w:rPr>
              <w:t>One Month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800" w:type="dxa"/>
            <w:vAlign w:val="bottom"/>
          </w:tcPr>
          <w:p>
            <w:pPr>
              <w:spacing w:after="0" w:line="196" w:lineRule="exact"/>
              <w:rPr>
                <w:sz w:val="20"/>
                <w:szCs w:val="20"/>
                <w:color w:val="auto"/>
              </w:rPr>
            </w:pPr>
            <w:r>
              <w:rPr>
                <w:rFonts w:ascii="Arial" w:cs="Arial" w:eastAsia="Arial" w:hAnsi="Arial"/>
                <w:sz w:val="18"/>
                <w:szCs w:val="18"/>
                <w:b w:val="1"/>
                <w:bCs w:val="1"/>
                <w:i w:val="1"/>
                <w:iCs w:val="1"/>
                <w:color w:val="auto"/>
              </w:rPr>
              <w:t>Growth information for Q2 2020</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i w:val="1"/>
                <w:iCs w:val="1"/>
                <w:color w:val="auto"/>
                <w:w w:val="91"/>
              </w:rPr>
              <w:t>April 25, 2020</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i w:val="1"/>
                <w:iCs w:val="1"/>
                <w:color w:val="auto"/>
                <w:w w:val="90"/>
              </w:rPr>
              <w:t>May 30, 2020</w:t>
            </w:r>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b w:val="1"/>
                <w:bCs w:val="1"/>
                <w:i w:val="1"/>
                <w:iCs w:val="1"/>
                <w:color w:val="auto"/>
                <w:w w:val="87"/>
              </w:rPr>
              <w:t>June 27, 2020</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48"/>
        </w:trPr>
        <w:tc>
          <w:tcPr>
            <w:tcW w:w="3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comparable store sales growth</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5"/>
            <w:shd w:val="clear" w:color="auto" w:fill="CCEEFF"/>
          </w:tcPr>
          <w:p>
            <w:pPr>
              <w:ind w:left="1060"/>
              <w:spacing w:after="0"/>
              <w:rPr>
                <w:sz w:val="20"/>
                <w:szCs w:val="20"/>
                <w:color w:val="auto"/>
              </w:rPr>
            </w:pPr>
            <w:r>
              <w:rPr>
                <w:rFonts w:ascii="Arial" w:cs="Arial" w:eastAsia="Arial" w:hAnsi="Arial"/>
                <w:sz w:val="18"/>
                <w:szCs w:val="18"/>
                <w:color w:val="auto"/>
                <w:w w:val="95"/>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r>
      <w:tr>
        <w:trPr>
          <w:trHeight w:val="325"/>
        </w:trPr>
        <w:tc>
          <w:tcPr>
            <w:tcW w:w="3800" w:type="dxa"/>
            <w:vAlign w:val="bottom"/>
          </w:tcPr>
          <w:p>
            <w:pPr>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3"/>
                <w:szCs w:val="23"/>
                <w:color w:val="auto"/>
                <w:vertAlign w:val="superscript"/>
              </w:rPr>
              <w:t>(b)</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4"/>
                <w:szCs w:val="24"/>
                <w:color w:val="auto"/>
              </w:rPr>
            </w:pPr>
          </w:p>
        </w:tc>
        <w:tc>
          <w:tcPr>
            <w:tcW w:w="1680" w:type="dxa"/>
            <w:vAlign w:val="bottom"/>
            <w:gridSpan w:val="5"/>
          </w:tcPr>
          <w:p>
            <w:pPr>
              <w:ind w:left="1060"/>
              <w:spacing w:after="0"/>
              <w:rPr>
                <w:sz w:val="20"/>
                <w:szCs w:val="20"/>
                <w:color w:val="auto"/>
              </w:rPr>
            </w:pPr>
            <w:r>
              <w:rPr>
                <w:rFonts w:ascii="Arial" w:cs="Arial" w:eastAsia="Arial" w:hAnsi="Arial"/>
                <w:sz w:val="18"/>
                <w:szCs w:val="18"/>
                <w:color w:val="auto"/>
                <w:w w:val="95"/>
              </w:rPr>
              <w:t>(38.5)%</w:t>
            </w:r>
          </w:p>
        </w:tc>
        <w:tc>
          <w:tcPr>
            <w:tcW w:w="100" w:type="dxa"/>
            <w:vAlign w:val="bottom"/>
          </w:tcPr>
          <w:p>
            <w:pPr>
              <w:spacing w:after="0"/>
              <w:rPr>
                <w:sz w:val="24"/>
                <w:szCs w:val="24"/>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rPr>
              <w:t>19.3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r>
    </w:tbl>
    <w:p>
      <w:pPr>
        <w:spacing w:after="0" w:line="129" w:lineRule="exact"/>
        <w:rPr>
          <w:sz w:val="20"/>
          <w:szCs w:val="20"/>
          <w:color w:val="auto"/>
        </w:rPr>
      </w:pPr>
    </w:p>
    <w:p>
      <w:pPr>
        <w:jc w:val="both"/>
        <w:ind w:left="420" w:right="440" w:hanging="328"/>
        <w:spacing w:after="0" w:line="273" w:lineRule="auto"/>
        <w:tabs>
          <w:tab w:leader="none" w:pos="417" w:val="left"/>
        </w:tabs>
        <w:numPr>
          <w:ilvl w:val="0"/>
          <w:numId w:val="12"/>
        </w:numPr>
        <w:rPr>
          <w:rFonts w:ascii="Arial" w:cs="Arial" w:eastAsia="Arial" w:hAnsi="Arial"/>
          <w:sz w:val="13"/>
          <w:szCs w:val="13"/>
          <w:color w:val="auto"/>
        </w:rPr>
      </w:pPr>
      <w:r>
        <w:rPr>
          <w:rFonts w:ascii="Arial" w:cs="Arial" w:eastAsia="Arial" w:hAnsi="Arial"/>
          <w:sz w:val="13"/>
          <w:szCs w:val="13"/>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1. Item 1. in our Quarterly Report on Form 10-Q, with the exception of the Legacy segment, which is adjusted as noted in clause (b) (ii) below.</w:t>
      </w:r>
    </w:p>
    <w:p>
      <w:pPr>
        <w:spacing w:after="0" w:line="67" w:lineRule="exact"/>
        <w:rPr>
          <w:rFonts w:ascii="Arial" w:cs="Arial" w:eastAsia="Arial" w:hAnsi="Arial"/>
          <w:sz w:val="13"/>
          <w:szCs w:val="13"/>
          <w:color w:val="auto"/>
        </w:rPr>
      </w:pPr>
    </w:p>
    <w:p>
      <w:pPr>
        <w:jc w:val="both"/>
        <w:ind w:left="420" w:right="440" w:hanging="328"/>
        <w:spacing w:after="0" w:line="265" w:lineRule="auto"/>
        <w:tabs>
          <w:tab w:leader="none" w:pos="412"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an increase of 8.1% and a decrease of 0.4% for the three months ended June 27, 2020 and June 29, 2019, respectively, an increase of 0.3% and an increase of 0.2% for the six months ended June 27, 2020 and June 29, 2019, respectively, a decrease of 3.3% for the one month ended April 25, 2020, an increase of 17.7% for the one month ended May 30, 2020, and an increase of 6.0% for the one month ended June 27, 2020; and (ii) Adjusted Comparable Store Sales Growth includes retail sales to the Legacy partner’s customers (rather than the revenues recognized consistent with the management &amp; services agreement with the legacy partner), resulting the following changes from total comparable store sales growth based on consolidated net revenue: an increase of 0.1% and a decrease of 0.2% for three months ended June 27, 2020 and June 29, 2019, respectively, an increase of 0.1% and a decrease of 0.3% for the six months ended June 27, 2020 and June 29, 2019, respectively, an increase of 0.6% for the one month ended April 25, 2020, an increase of 0.4% for the one month ended May 30, 2020, and a decrease of 1.0% for the one month ended June 27, 2020.</w:t>
      </w:r>
    </w:p>
    <w:p>
      <w:pPr>
        <w:sectPr>
          <w:pgSz w:w="11900" w:h="16838" w:orient="portrait"/>
          <w:cols w:equalWidth="0" w:num="1">
            <w:col w:w="10780"/>
          </w:cols>
          <w:pgMar w:left="560" w:top="769" w:right="5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Investors: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359"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Vice President of Communications</w:t>
      </w:r>
    </w:p>
    <w:p>
      <w:pPr>
        <w:spacing w:after="0" w:line="9" w:lineRule="exact"/>
        <w:rPr>
          <w:sz w:val="20"/>
          <w:szCs w:val="20"/>
          <w:color w:val="auto"/>
        </w:rPr>
      </w:pPr>
    </w:p>
    <w:p>
      <w:pPr>
        <w:ind w:right="8159"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448-2355 media@nationalvision.com</w:t>
      </w:r>
    </w:p>
    <w:sectPr>
      <w:pgSz w:w="11900" w:h="16838" w:orient="portrait"/>
      <w:cols w:equalWidth="0" w:num="1">
        <w:col w:w="10139"/>
      </w:cols>
      <w:pgMar w:left="320" w:top="11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9"/>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470"/>
    </w:lvl>
  </w:abstractNum>
  <w:abstractNum w:abstractNumId="13">
    <w:nsid w:val="DED7263"/>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2020-08-06T06:34:29Z</dcterms:created>
  <dcterms:modified xsi:type="dcterms:W3CDTF">2020-08-06T06:34:29Z</dcterms:modified>
</cp:coreProperties>
</file>