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780"/>
        <w:spacing w:after="0"/>
        <w:rPr>
          <w:sz w:val="20"/>
          <w:szCs w:val="20"/>
          <w:color w:val="auto"/>
        </w:rPr>
      </w:pPr>
      <w:r>
        <w:rPr>
          <w:rFonts w:ascii="Arial" w:cs="Arial" w:eastAsia="Arial" w:hAnsi="Arial"/>
          <w:sz w:val="29"/>
          <w:szCs w:val="29"/>
          <w:b w:val="1"/>
          <w:bCs w:val="1"/>
          <w:color w:val="auto"/>
        </w:rPr>
        <w:t>UNITED STATES</w:t>
      </w:r>
    </w:p>
    <w:p>
      <w:pPr>
        <w:jc w:val="center"/>
        <w:ind w:right="-8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SCHEDULE 14A</w:t>
      </w:r>
    </w:p>
    <w:p>
      <w:pPr>
        <w:spacing w:after="0" w:line="5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80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860"/>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44" w:lineRule="exact"/>
        <w:rPr>
          <w:sz w:val="24"/>
          <w:szCs w:val="24"/>
          <w:color w:val="auto"/>
        </w:rPr>
      </w:pPr>
    </w:p>
    <w:p>
      <w:pPr>
        <w:ind w:left="1260"/>
        <w:spacing w:after="0" w:line="207" w:lineRule="exact"/>
        <w:tabs>
          <w:tab w:leader="none" w:pos="4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6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9" w:lineRule="exact"/>
        <w:rPr>
          <w:sz w:val="24"/>
          <w:szCs w:val="24"/>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55"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NATIONAL VISION HOLDINGS, INC.</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99" w:lineRule="exact"/>
        <w:rPr>
          <w:sz w:val="24"/>
          <w:szCs w:val="24"/>
          <w:color w:val="auto"/>
        </w:rPr>
      </w:pPr>
    </w:p>
    <w:p>
      <w:pPr>
        <w:ind w:left="29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620" w:hanging="354"/>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80" w:right="759" w:hanging="354"/>
        <w:spacing w:after="0" w:line="256" w:lineRule="auto"/>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20" w:hanging="354"/>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620" w:right="419" w:hanging="354"/>
        <w:spacing w:after="0" w:line="256"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MS PGothic" w:cs="MS PGothic" w:eastAsia="MS PGothic" w:hAnsi="MS PGothic"/>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1263015</wp:posOffset>
            </wp:positionH>
            <wp:positionV relativeFrom="paragraph">
              <wp:posOffset>-4022090</wp:posOffset>
            </wp:positionV>
            <wp:extent cx="4749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-3619500</wp:posOffset>
            </wp:positionV>
            <wp:extent cx="4749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-2941955</wp:posOffset>
            </wp:positionV>
            <wp:extent cx="4749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-2530475</wp:posOffset>
            </wp:positionV>
            <wp:extent cx="4749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-2127885</wp:posOffset>
            </wp:positionV>
            <wp:extent cx="4749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-1038860</wp:posOffset>
            </wp:positionV>
            <wp:extent cx="4749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-627380</wp:posOffset>
            </wp:positionV>
            <wp:extent cx="4749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-224790</wp:posOffset>
            </wp:positionV>
            <wp:extent cx="4749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177800</wp:posOffset>
            </wp:positionV>
            <wp:extent cx="4749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422275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40"/>
        <w:spacing w:after="0"/>
        <w:rPr>
          <w:sz w:val="20"/>
          <w:szCs w:val="20"/>
          <w:color w:val="auto"/>
        </w:rPr>
      </w:pPr>
      <w:r>
        <w:rPr>
          <w:rFonts w:ascii="Arial" w:cs="Arial" w:eastAsia="Arial" w:hAnsi="Arial"/>
          <w:sz w:val="56"/>
          <w:szCs w:val="56"/>
          <w:b w:val="1"/>
          <w:bCs w:val="1"/>
          <w:color w:val="3C5896"/>
        </w:rPr>
        <w:t>National Vision Holdings, Inc.</w:t>
      </w:r>
    </w:p>
    <w:p>
      <w:pPr>
        <w:spacing w:after="0" w:line="200" w:lineRule="exact"/>
        <w:rPr>
          <w:sz w:val="20"/>
          <w:szCs w:val="20"/>
          <w:color w:val="auto"/>
        </w:rPr>
      </w:pPr>
    </w:p>
    <w:p>
      <w:pPr>
        <w:spacing w:after="0" w:line="362" w:lineRule="exact"/>
        <w:rPr>
          <w:sz w:val="20"/>
          <w:szCs w:val="20"/>
          <w:color w:val="auto"/>
        </w:rPr>
      </w:pPr>
    </w:p>
    <w:p>
      <w:pPr>
        <w:jc w:val="center"/>
        <w:ind w:right="-740"/>
        <w:spacing w:after="0"/>
        <w:rPr>
          <w:sz w:val="20"/>
          <w:szCs w:val="20"/>
          <w:color w:val="auto"/>
        </w:rPr>
      </w:pPr>
      <w:r>
        <w:rPr>
          <w:rFonts w:ascii="Arial" w:cs="Arial" w:eastAsia="Arial" w:hAnsi="Arial"/>
          <w:sz w:val="40"/>
          <w:szCs w:val="40"/>
          <w:color w:val="3C5896"/>
        </w:rPr>
        <w:t>2021 Proxy Statement</w:t>
      </w:r>
    </w:p>
    <w:p>
      <w:pPr>
        <w:jc w:val="center"/>
        <w:ind w:right="-840"/>
        <w:spacing w:after="0"/>
        <w:rPr>
          <w:sz w:val="20"/>
          <w:szCs w:val="20"/>
          <w:color w:val="auto"/>
        </w:rPr>
      </w:pPr>
      <w:r>
        <w:rPr>
          <w:rFonts w:ascii="Arial" w:cs="Arial" w:eastAsia="Arial" w:hAnsi="Arial"/>
          <w:sz w:val="40"/>
          <w:szCs w:val="40"/>
          <w:color w:val="3C589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1178560</wp:posOffset>
            </wp:positionV>
            <wp:extent cx="3017520" cy="2305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75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40"/>
        <w:spacing w:after="0"/>
        <w:rPr>
          <w:sz w:val="20"/>
          <w:szCs w:val="20"/>
          <w:color w:val="auto"/>
        </w:rPr>
      </w:pPr>
      <w:r>
        <w:rPr>
          <w:rFonts w:ascii="Arial" w:cs="Arial" w:eastAsia="Arial" w:hAnsi="Arial"/>
          <w:sz w:val="40"/>
          <w:szCs w:val="40"/>
          <w:color w:val="3C5896"/>
        </w:rPr>
        <w:t>Tuesday, June 8, 2021</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32"/>
          <w:szCs w:val="32"/>
          <w:color w:val="auto"/>
        </w:rPr>
        <w:t>1:00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874395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9000" w:type="dxa"/>
            <w:vAlign w:val="bottom"/>
            <w:gridSpan w:val="34"/>
            <w:shd w:val="clear" w:color="auto" w:fill="CCEEFF"/>
          </w:tcPr>
          <w:p>
            <w:pPr>
              <w:spacing w:after="0"/>
              <w:rPr>
                <w:rFonts w:ascii="Arial" w:cs="Arial" w:eastAsia="Arial" w:hAnsi="Arial"/>
                <w:sz w:val="22"/>
                <w:szCs w:val="22"/>
                <w:b w:val="1"/>
                <w:bCs w:val="1"/>
                <w:color w:val="3C5896"/>
              </w:rPr>
            </w:pPr>
            <w:hyperlink w:anchor="page4">
              <w:r>
                <w:rPr>
                  <w:rFonts w:ascii="Arial" w:cs="Arial" w:eastAsia="Arial" w:hAnsi="Arial"/>
                  <w:sz w:val="22"/>
                  <w:szCs w:val="22"/>
                  <w:b w:val="1"/>
                  <w:bCs w:val="1"/>
                  <w:color w:val="3C5896"/>
                </w:rPr>
                <w:t>Letter to Stockholders from our Chairman of the Board of Directors and</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7280" w:type="dxa"/>
            <w:vAlign w:val="bottom"/>
            <w:tcBorders>
              <w:top w:val="single" w:sz="8" w:color="3C5896"/>
              <w:bottom w:val="single" w:sz="8" w:color="auto"/>
            </w:tcBorders>
            <w:gridSpan w:val="31"/>
            <w:shd w:val="clear" w:color="auto" w:fill="CCEEFF"/>
          </w:tcPr>
          <w:p>
            <w:pPr>
              <w:spacing w:after="0" w:line="183" w:lineRule="exact"/>
              <w:rPr>
                <w:rFonts w:ascii="Arial" w:cs="Arial" w:eastAsia="Arial" w:hAnsi="Arial"/>
                <w:sz w:val="21"/>
                <w:szCs w:val="21"/>
                <w:b w:val="1"/>
                <w:bCs w:val="1"/>
                <w:color w:val="3C5896"/>
              </w:rPr>
            </w:pPr>
            <w:hyperlink w:anchor="page4">
              <w:r>
                <w:rPr>
                  <w:rFonts w:ascii="Arial" w:cs="Arial" w:eastAsia="Arial" w:hAnsi="Arial"/>
                  <w:sz w:val="21"/>
                  <w:szCs w:val="21"/>
                  <w:b w:val="1"/>
                  <w:bCs w:val="1"/>
                  <w:color w:val="3C5896"/>
                </w:rPr>
                <w:t>Chief Executive Officer</w:t>
              </w:r>
            </w:hyperlink>
          </w:p>
        </w:tc>
        <w:tc>
          <w:tcPr>
            <w:tcW w:w="760" w:type="dxa"/>
            <w:vAlign w:val="bottom"/>
            <w:tcBorders>
              <w:top w:val="single" w:sz="8" w:color="CCEEFF"/>
              <w:bottom w:val="single" w:sz="8" w:color="auto"/>
            </w:tcBorders>
            <w:shd w:val="clear" w:color="auto" w:fill="CCEEFF"/>
          </w:tcPr>
          <w:p>
            <w:pPr>
              <w:spacing w:after="0"/>
              <w:rPr>
                <w:sz w:val="22"/>
                <w:szCs w:val="22"/>
                <w:color w:val="auto"/>
              </w:rPr>
            </w:pPr>
          </w:p>
        </w:tc>
        <w:tc>
          <w:tcPr>
            <w:tcW w:w="260" w:type="dxa"/>
            <w:vAlign w:val="bottom"/>
            <w:tcBorders>
              <w:top w:val="single" w:sz="8" w:color="CCEEFF"/>
              <w:bottom w:val="single" w:sz="8" w:color="auto"/>
            </w:tcBorders>
            <w:shd w:val="clear" w:color="auto" w:fill="CCEEFF"/>
          </w:tcPr>
          <w:p>
            <w:pPr>
              <w:spacing w:after="0"/>
              <w:rPr>
                <w:sz w:val="22"/>
                <w:szCs w:val="22"/>
                <w:color w:val="auto"/>
              </w:rPr>
            </w:pPr>
          </w:p>
        </w:tc>
        <w:tc>
          <w:tcPr>
            <w:tcW w:w="700" w:type="dxa"/>
            <w:vAlign w:val="bottom"/>
            <w:tcBorders>
              <w:top w:val="single" w:sz="8" w:color="CCEEFF"/>
              <w:bottom w:val="single" w:sz="8" w:color="auto"/>
            </w:tcBorders>
            <w:shd w:val="clear" w:color="auto" w:fill="CCEEFF"/>
          </w:tcPr>
          <w:p>
            <w:pPr>
              <w:spacing w:after="0"/>
              <w:rPr>
                <w:sz w:val="22"/>
                <w:szCs w:val="22"/>
                <w:color w:val="auto"/>
              </w:rPr>
            </w:pPr>
          </w:p>
        </w:tc>
        <w:tc>
          <w:tcPr>
            <w:tcW w:w="200" w:type="dxa"/>
            <w:vAlign w:val="bottom"/>
            <w:tcBorders>
              <w:top w:val="single" w:sz="8" w:color="CCEEFF"/>
              <w:bottom w:val="single" w:sz="8" w:color="auto"/>
            </w:tcBorders>
            <w:gridSpan w:val="2"/>
            <w:shd w:val="clear" w:color="auto" w:fill="CCEEFF"/>
          </w:tcPr>
          <w:p>
            <w:pPr>
              <w:jc w:val="right"/>
              <w:spacing w:after="0" w:line="182" w:lineRule="exact"/>
              <w:rPr>
                <w:rFonts w:ascii="Arial" w:cs="Arial" w:eastAsia="Arial" w:hAnsi="Arial"/>
                <w:sz w:val="18"/>
                <w:szCs w:val="18"/>
                <w:b w:val="1"/>
                <w:bCs w:val="1"/>
                <w:color w:val="3C5896"/>
              </w:rPr>
            </w:pPr>
            <w:hyperlink w:anchor="page4">
              <w:r>
                <w:rPr>
                  <w:rFonts w:ascii="Arial" w:cs="Arial" w:eastAsia="Arial" w:hAnsi="Arial"/>
                  <w:sz w:val="18"/>
                  <w:szCs w:val="18"/>
                  <w:b w:val="1"/>
                  <w:bCs w:val="1"/>
                  <w:color w:val="3C5896"/>
                </w:rPr>
                <w:t>1</w:t>
              </w:r>
            </w:hyperlink>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9000" w:type="dxa"/>
            <w:vAlign w:val="bottom"/>
            <w:gridSpan w:val="34"/>
          </w:tcPr>
          <w:p>
            <w:pPr>
              <w:spacing w:after="0"/>
              <w:rPr>
                <w:sz w:val="20"/>
                <w:szCs w:val="20"/>
                <w:color w:val="auto"/>
              </w:rPr>
            </w:pPr>
            <w:r>
              <w:rPr>
                <w:rFonts w:ascii="Arial" w:cs="Arial" w:eastAsia="Arial" w:hAnsi="Arial"/>
                <w:sz w:val="22"/>
                <w:szCs w:val="22"/>
                <w:b w:val="1"/>
                <w:bCs w:val="1"/>
                <w:color w:val="3C5896"/>
              </w:rPr>
              <w:t>Notice of Annual Meeting of Stockholders</w:t>
            </w:r>
          </w:p>
        </w:tc>
        <w:tc>
          <w:tcPr>
            <w:tcW w:w="960" w:type="dxa"/>
            <w:vAlign w:val="bottom"/>
            <w:gridSpan w:val="3"/>
          </w:tcPr>
          <w:p>
            <w:pPr>
              <w:jc w:val="right"/>
              <w:ind w:right="760"/>
              <w:spacing w:after="0"/>
              <w:rPr>
                <w:rFonts w:ascii="Arial" w:cs="Arial" w:eastAsia="Arial" w:hAnsi="Arial"/>
                <w:sz w:val="18"/>
                <w:szCs w:val="18"/>
                <w:b w:val="1"/>
                <w:bCs w:val="1"/>
                <w:color w:val="3C5896"/>
              </w:rPr>
            </w:pPr>
            <w:hyperlink w:anchor="page6">
              <w:r>
                <w:rPr>
                  <w:rFonts w:ascii="Arial" w:cs="Arial" w:eastAsia="Arial" w:hAnsi="Arial"/>
                  <w:sz w:val="18"/>
                  <w:szCs w:val="18"/>
                  <w:b w:val="1"/>
                  <w:bCs w:val="1"/>
                  <w:color w:val="3C5896"/>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top w:val="single" w:sz="8" w:color="3C5896"/>
              <w:bottom w:val="single" w:sz="8" w:color="auto"/>
            </w:tcBorders>
          </w:tcPr>
          <w:p>
            <w:pPr>
              <w:spacing w:after="0" w:line="20" w:lineRule="exact"/>
              <w:rPr>
                <w:sz w:val="1"/>
                <w:szCs w:val="1"/>
                <w:color w:val="auto"/>
              </w:rPr>
            </w:pPr>
          </w:p>
        </w:tc>
        <w:tc>
          <w:tcPr>
            <w:tcW w:w="920" w:type="dxa"/>
            <w:vAlign w:val="bottom"/>
            <w:tcBorders>
              <w:top w:val="single" w:sz="8" w:color="3C5896"/>
              <w:bottom w:val="single" w:sz="8" w:color="auto"/>
            </w:tcBorders>
          </w:tcPr>
          <w:p>
            <w:pPr>
              <w:spacing w:after="0" w:line="20" w:lineRule="exact"/>
              <w:rPr>
                <w:sz w:val="1"/>
                <w:szCs w:val="1"/>
                <w:color w:val="auto"/>
              </w:rPr>
            </w:pPr>
          </w:p>
        </w:tc>
        <w:tc>
          <w:tcPr>
            <w:tcW w:w="30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220" w:type="dxa"/>
            <w:vAlign w:val="bottom"/>
            <w:tcBorders>
              <w:top w:val="single" w:sz="8" w:color="3C5896"/>
              <w:bottom w:val="single" w:sz="8" w:color="auto"/>
            </w:tcBorders>
          </w:tcPr>
          <w:p>
            <w:pPr>
              <w:spacing w:after="0" w:line="20" w:lineRule="exact"/>
              <w:rPr>
                <w:sz w:val="1"/>
                <w:szCs w:val="1"/>
                <w:color w:val="auto"/>
              </w:rPr>
            </w:pPr>
          </w:p>
        </w:tc>
        <w:tc>
          <w:tcPr>
            <w:tcW w:w="260" w:type="dxa"/>
            <w:vAlign w:val="bottom"/>
            <w:tcBorders>
              <w:top w:val="single" w:sz="8" w:color="3C5896"/>
              <w:bottom w:val="single" w:sz="8" w:color="auto"/>
            </w:tcBorders>
          </w:tcPr>
          <w:p>
            <w:pPr>
              <w:spacing w:after="0" w:line="20" w:lineRule="exact"/>
              <w:rPr>
                <w:sz w:val="1"/>
                <w:szCs w:val="1"/>
                <w:color w:val="auto"/>
              </w:rPr>
            </w:pPr>
          </w:p>
        </w:tc>
        <w:tc>
          <w:tcPr>
            <w:tcW w:w="2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18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180" w:type="dxa"/>
            <w:vAlign w:val="bottom"/>
            <w:tcBorders>
              <w:top w:val="single" w:sz="8" w:color="3C5896"/>
              <w:bottom w:val="single" w:sz="8" w:color="auto"/>
            </w:tcBorders>
          </w:tcPr>
          <w:p>
            <w:pPr>
              <w:spacing w:after="0" w:line="20" w:lineRule="exact"/>
              <w:rPr>
                <w:sz w:val="1"/>
                <w:szCs w:val="1"/>
                <w:color w:val="auto"/>
              </w:rPr>
            </w:pPr>
          </w:p>
        </w:tc>
        <w:tc>
          <w:tcPr>
            <w:tcW w:w="2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480" w:type="dxa"/>
            <w:vAlign w:val="bottom"/>
            <w:tcBorders>
              <w:top w:val="single" w:sz="8" w:color="3C5896"/>
              <w:bottom w:val="single" w:sz="8" w:color="auto"/>
            </w:tcBorders>
          </w:tcPr>
          <w:p>
            <w:pPr>
              <w:spacing w:after="0" w:line="20" w:lineRule="exact"/>
              <w:rPr>
                <w:sz w:val="1"/>
                <w:szCs w:val="1"/>
                <w:color w:val="auto"/>
              </w:rPr>
            </w:pPr>
          </w:p>
        </w:tc>
        <w:tc>
          <w:tcPr>
            <w:tcW w:w="22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tcPr>
          <w:p>
            <w:pPr>
              <w:spacing w:after="0"/>
              <w:rPr>
                <w:sz w:val="24"/>
                <w:szCs w:val="24"/>
                <w:color w:val="auto"/>
              </w:rPr>
            </w:pPr>
          </w:p>
        </w:tc>
        <w:tc>
          <w:tcPr>
            <w:tcW w:w="9000" w:type="dxa"/>
            <w:vAlign w:val="bottom"/>
            <w:tcBorders>
              <w:bottom w:val="single" w:sz="8" w:color="auto"/>
            </w:tcBorders>
            <w:gridSpan w:val="34"/>
            <w:shd w:val="clear" w:color="auto" w:fill="CCEEFF"/>
          </w:tcPr>
          <w:p>
            <w:pPr>
              <w:spacing w:after="0"/>
              <w:rPr>
                <w:sz w:val="20"/>
                <w:szCs w:val="20"/>
                <w:color w:val="auto"/>
              </w:rPr>
            </w:pPr>
            <w:r>
              <w:rPr>
                <w:rFonts w:ascii="Arial" w:cs="Arial" w:eastAsia="Arial" w:hAnsi="Arial"/>
                <w:sz w:val="22"/>
                <w:szCs w:val="22"/>
                <w:b w:val="1"/>
                <w:bCs w:val="1"/>
                <w:color w:val="3C5896"/>
              </w:rPr>
              <w:t>Proxy Statement Summary</w:t>
            </w:r>
          </w:p>
        </w:tc>
        <w:tc>
          <w:tcPr>
            <w:tcW w:w="200" w:type="dxa"/>
            <w:vAlign w:val="bottom"/>
            <w:tcBorders>
              <w:bottom w:val="single" w:sz="8" w:color="auto"/>
            </w:tcBorders>
            <w:gridSpan w:val="2"/>
            <w:shd w:val="clear" w:color="auto" w:fill="CCEEFF"/>
          </w:tcPr>
          <w:p>
            <w:pPr>
              <w:jc w:val="right"/>
              <w:spacing w:after="0"/>
              <w:rPr>
                <w:rFonts w:ascii="Arial" w:cs="Arial" w:eastAsia="Arial" w:hAnsi="Arial"/>
                <w:sz w:val="18"/>
                <w:szCs w:val="18"/>
                <w:b w:val="1"/>
                <w:bCs w:val="1"/>
                <w:color w:val="3C5896"/>
              </w:rPr>
            </w:pPr>
            <w:hyperlink w:anchor="page7">
              <w:r>
                <w:rPr>
                  <w:rFonts w:ascii="Arial" w:cs="Arial" w:eastAsia="Arial" w:hAnsi="Arial"/>
                  <w:sz w:val="18"/>
                  <w:szCs w:val="18"/>
                  <w:b w:val="1"/>
                  <w:bCs w:val="1"/>
                  <w:color w:val="3C5896"/>
                </w:rPr>
                <w:t>4</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9000" w:type="dxa"/>
            <w:vAlign w:val="bottom"/>
            <w:gridSpan w:val="34"/>
          </w:tcPr>
          <w:p>
            <w:pPr>
              <w:spacing w:after="0"/>
              <w:rPr>
                <w:sz w:val="20"/>
                <w:szCs w:val="20"/>
                <w:color w:val="auto"/>
              </w:rPr>
            </w:pPr>
            <w:r>
              <w:rPr>
                <w:rFonts w:ascii="Arial" w:cs="Arial" w:eastAsia="Arial" w:hAnsi="Arial"/>
                <w:sz w:val="22"/>
                <w:szCs w:val="22"/>
                <w:b w:val="1"/>
                <w:bCs w:val="1"/>
                <w:color w:val="3C5896"/>
              </w:rPr>
              <w:t>Proxy Statement</w:t>
            </w:r>
          </w:p>
        </w:tc>
        <w:tc>
          <w:tcPr>
            <w:tcW w:w="960" w:type="dxa"/>
            <w:vAlign w:val="bottom"/>
            <w:gridSpan w:val="3"/>
          </w:tcPr>
          <w:p>
            <w:pPr>
              <w:jc w:val="right"/>
              <w:ind w:right="760"/>
              <w:spacing w:after="0"/>
              <w:rPr>
                <w:rFonts w:ascii="Arial" w:cs="Arial" w:eastAsia="Arial" w:hAnsi="Arial"/>
                <w:sz w:val="18"/>
                <w:szCs w:val="18"/>
                <w:b w:val="1"/>
                <w:bCs w:val="1"/>
                <w:color w:val="3C5896"/>
                <w:w w:val="89"/>
              </w:rPr>
            </w:pPr>
            <w:hyperlink w:anchor="page14">
              <w:r>
                <w:rPr>
                  <w:rFonts w:ascii="Arial" w:cs="Arial" w:eastAsia="Arial" w:hAnsi="Arial"/>
                  <w:sz w:val="18"/>
                  <w:szCs w:val="18"/>
                  <w:b w:val="1"/>
                  <w:bCs w:val="1"/>
                  <w:color w:val="3C5896"/>
                  <w:w w:val="89"/>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top w:val="single" w:sz="8" w:color="3C5896"/>
              <w:bottom w:val="single" w:sz="8" w:color="auto"/>
            </w:tcBorders>
          </w:tcPr>
          <w:p>
            <w:pPr>
              <w:spacing w:after="0" w:line="20" w:lineRule="exact"/>
              <w:rPr>
                <w:sz w:val="1"/>
                <w:szCs w:val="1"/>
                <w:color w:val="auto"/>
              </w:rPr>
            </w:pPr>
          </w:p>
        </w:tc>
        <w:tc>
          <w:tcPr>
            <w:tcW w:w="920" w:type="dxa"/>
            <w:vAlign w:val="bottom"/>
            <w:tcBorders>
              <w:top w:val="single" w:sz="8" w:color="3C5896"/>
              <w:bottom w:val="single" w:sz="8" w:color="auto"/>
            </w:tcBorders>
          </w:tcPr>
          <w:p>
            <w:pPr>
              <w:spacing w:after="0" w:line="20" w:lineRule="exact"/>
              <w:rPr>
                <w:sz w:val="1"/>
                <w:szCs w:val="1"/>
                <w:color w:val="auto"/>
              </w:rPr>
            </w:pPr>
          </w:p>
        </w:tc>
        <w:tc>
          <w:tcPr>
            <w:tcW w:w="30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60" w:type="dxa"/>
            <w:vAlign w:val="bottom"/>
          </w:tcPr>
          <w:p>
            <w:pPr>
              <w:spacing w:after="0"/>
              <w:rPr>
                <w:sz w:val="24"/>
                <w:szCs w:val="24"/>
                <w:color w:val="auto"/>
              </w:rPr>
            </w:pPr>
          </w:p>
        </w:tc>
        <w:tc>
          <w:tcPr>
            <w:tcW w:w="9000" w:type="dxa"/>
            <w:vAlign w:val="bottom"/>
            <w:tcBorders>
              <w:bottom w:val="single" w:sz="8" w:color="CCEEFF"/>
            </w:tcBorders>
            <w:gridSpan w:val="34"/>
            <w:shd w:val="clear" w:color="auto" w:fill="CCEEFF"/>
          </w:tcPr>
          <w:p>
            <w:pPr>
              <w:spacing w:after="0"/>
              <w:rPr>
                <w:sz w:val="20"/>
                <w:szCs w:val="20"/>
                <w:color w:val="auto"/>
              </w:rPr>
            </w:pPr>
            <w:r>
              <w:rPr>
                <w:rFonts w:ascii="Arial" w:cs="Arial" w:eastAsia="Arial" w:hAnsi="Arial"/>
                <w:sz w:val="22"/>
                <w:szCs w:val="22"/>
                <w:b w:val="1"/>
                <w:bCs w:val="1"/>
                <w:color w:val="3C5896"/>
              </w:rPr>
              <w:t>Board of Directors and Certain Governance Matters</w:t>
            </w:r>
          </w:p>
        </w:tc>
        <w:tc>
          <w:tcPr>
            <w:tcW w:w="200" w:type="dxa"/>
            <w:vAlign w:val="bottom"/>
            <w:tcBorders>
              <w:bottom w:val="single" w:sz="8" w:color="3C5896"/>
            </w:tcBorders>
            <w:gridSpan w:val="2"/>
            <w:shd w:val="clear" w:color="auto" w:fill="CCEEFF"/>
          </w:tcPr>
          <w:p>
            <w:pPr>
              <w:jc w:val="right"/>
              <w:spacing w:after="0"/>
              <w:rPr>
                <w:rFonts w:ascii="Arial" w:cs="Arial" w:eastAsia="Arial" w:hAnsi="Arial"/>
                <w:sz w:val="18"/>
                <w:szCs w:val="18"/>
                <w:b w:val="1"/>
                <w:bCs w:val="1"/>
                <w:color w:val="3C5896"/>
                <w:w w:val="89"/>
              </w:rPr>
            </w:pPr>
            <w:hyperlink w:anchor="page14">
              <w:r>
                <w:rPr>
                  <w:rFonts w:ascii="Arial" w:cs="Arial" w:eastAsia="Arial" w:hAnsi="Arial"/>
                  <w:sz w:val="18"/>
                  <w:szCs w:val="18"/>
                  <w:b w:val="1"/>
                  <w:bCs w:val="1"/>
                  <w:color w:val="3C5896"/>
                  <w:w w:val="89"/>
                </w:rPr>
                <w:t>11</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180" w:type="dxa"/>
            <w:vAlign w:val="bottom"/>
            <w:tcBorders>
              <w:top w:val="single" w:sz="8" w:color="auto"/>
              <w:bottom w:val="single" w:sz="8" w:color="3C5896"/>
            </w:tcBorders>
            <w:gridSpan w:val="21"/>
          </w:tcPr>
          <w:p>
            <w:pPr>
              <w:spacing w:after="0" w:line="203" w:lineRule="exact"/>
              <w:rPr>
                <w:rFonts w:ascii="Arial" w:cs="Arial" w:eastAsia="Arial" w:hAnsi="Arial"/>
                <w:sz w:val="18"/>
                <w:szCs w:val="18"/>
                <w:b w:val="1"/>
                <w:bCs w:val="1"/>
                <w:color w:val="3C5896"/>
                <w:w w:val="98"/>
              </w:rPr>
            </w:pPr>
            <w:hyperlink w:anchor="page14">
              <w:r>
                <w:rPr>
                  <w:rFonts w:ascii="Arial" w:cs="Arial" w:eastAsia="Arial" w:hAnsi="Arial"/>
                  <w:sz w:val="18"/>
                  <w:szCs w:val="18"/>
                  <w:b w:val="1"/>
                  <w:bCs w:val="1"/>
                  <w:color w:val="3C5896"/>
                  <w:w w:val="98"/>
                </w:rPr>
                <w:t>Proposal No. 1—Election of Directors</w:t>
              </w:r>
            </w:hyperlink>
          </w:p>
        </w:tc>
        <w:tc>
          <w:tcPr>
            <w:tcW w:w="5500" w:type="dxa"/>
            <w:vAlign w:val="bottom"/>
            <w:tcBorders>
              <w:top w:val="single" w:sz="8" w:color="auto"/>
            </w:tcBorders>
            <w:gridSpan w:val="12"/>
          </w:tcPr>
          <w:p>
            <w:pPr>
              <w:spacing w:after="0"/>
              <w:rPr>
                <w:sz w:val="17"/>
                <w:szCs w:val="17"/>
                <w:color w:val="auto"/>
              </w:rPr>
            </w:pPr>
          </w:p>
        </w:tc>
        <w:tc>
          <w:tcPr>
            <w:tcW w:w="200" w:type="dxa"/>
            <w:vAlign w:val="bottom"/>
            <w:tcBorders>
              <w:top w:val="single" w:sz="8" w:color="auto"/>
              <w:bottom w:val="single" w:sz="8" w:color="0000EE"/>
            </w:tcBorders>
            <w:gridSpan w:val="2"/>
          </w:tcPr>
          <w:p>
            <w:pPr>
              <w:jc w:val="right"/>
              <w:spacing w:after="0" w:line="203"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Oversight</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Director Independence</w:t>
              </w:r>
            </w:hyperlink>
          </w:p>
        </w:tc>
        <w:tc>
          <w:tcPr>
            <w:tcW w:w="6860" w:type="dxa"/>
            <w:vAlign w:val="bottom"/>
            <w:gridSpan w:val="28"/>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Composition of the Board of Directors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Director Nomination Process</w:t>
              </w:r>
            </w:hyperlink>
          </w:p>
        </w:tc>
        <w:tc>
          <w:tcPr>
            <w:tcW w:w="5700" w:type="dxa"/>
            <w:vAlign w:val="bottom"/>
            <w:tcBorders>
              <w:top w:val="single" w:sz="8" w:color="CCEEFF"/>
            </w:tcBorders>
            <w:gridSpan w:val="16"/>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Leadership Structure of the Board of Directors</w:t>
              </w:r>
            </w:hyperlink>
          </w:p>
        </w:tc>
        <w:tc>
          <w:tcPr>
            <w:tcW w:w="5020" w:type="dxa"/>
            <w:vAlign w:val="bottom"/>
            <w:tcBorders>
              <w:bottom w:val="single" w:sz="8" w:color="CCEEFF"/>
            </w:tcBorders>
            <w:gridSpan w:val="11"/>
            <w:shd w:val="clear" w:color="auto" w:fill="CCEEFF"/>
          </w:tcPr>
          <w:p>
            <w:pPr>
              <w:spacing w:after="0"/>
              <w:rPr>
                <w:sz w:val="18"/>
                <w:szCs w:val="18"/>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Board Oversight of Risk Management</w:t>
              </w:r>
            </w:hyperlink>
          </w:p>
        </w:tc>
        <w:tc>
          <w:tcPr>
            <w:tcW w:w="5680" w:type="dxa"/>
            <w:vAlign w:val="bottom"/>
            <w:gridSpan w:val="15"/>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 Succession Planning</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Executive Sessions</w:t>
              </w:r>
            </w:hyperlink>
          </w:p>
        </w:tc>
        <w:tc>
          <w:tcPr>
            <w:tcW w:w="1200" w:type="dxa"/>
            <w:vAlign w:val="bottom"/>
            <w:tcBorders>
              <w:top w:val="single" w:sz="8" w:color="0000EE"/>
            </w:tcBorders>
            <w:gridSpan w:val="11"/>
          </w:tcPr>
          <w:p>
            <w:pPr>
              <w:spacing w:after="0"/>
              <w:rPr>
                <w:sz w:val="18"/>
                <w:szCs w:val="18"/>
                <w:color w:val="auto"/>
              </w:rPr>
            </w:pPr>
          </w:p>
        </w:tc>
        <w:tc>
          <w:tcPr>
            <w:tcW w:w="5920" w:type="dxa"/>
            <w:vAlign w:val="bottom"/>
            <w:tcBorders>
              <w:top w:val="single" w:sz="8" w:color="CCEEFF"/>
            </w:tcBorders>
            <w:gridSpan w:val="18"/>
          </w:tcPr>
          <w:p>
            <w:pPr>
              <w:spacing w:after="0"/>
              <w:rPr>
                <w:sz w:val="18"/>
                <w:szCs w:val="18"/>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Board and Committee Evaluations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5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Communications with the Board</w:t>
              </w:r>
            </w:hyperlink>
          </w:p>
        </w:tc>
        <w:tc>
          <w:tcPr>
            <w:tcW w:w="180" w:type="dxa"/>
            <w:vAlign w:val="bottom"/>
            <w:tcBorders>
              <w:top w:val="single" w:sz="8" w:color="0000EE"/>
            </w:tcBorders>
            <w:gridSpan w:val="3"/>
          </w:tcPr>
          <w:p>
            <w:pPr>
              <w:spacing w:after="0"/>
              <w:rPr>
                <w:sz w:val="18"/>
                <w:szCs w:val="18"/>
                <w:color w:val="auto"/>
              </w:rPr>
            </w:pPr>
          </w:p>
        </w:tc>
        <w:tc>
          <w:tcPr>
            <w:tcW w:w="5960" w:type="dxa"/>
            <w:vAlign w:val="bottom"/>
            <w:tcBorders>
              <w:top w:val="single" w:sz="8" w:color="CCEEFF"/>
            </w:tcBorders>
            <w:gridSpan w:val="19"/>
          </w:tcPr>
          <w:p>
            <w:pPr>
              <w:spacing w:after="0"/>
              <w:rPr>
                <w:sz w:val="18"/>
                <w:szCs w:val="18"/>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2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Board Committees and Meetings</w:t>
              </w:r>
            </w:hyperlink>
          </w:p>
        </w:tc>
        <w:tc>
          <w:tcPr>
            <w:tcW w:w="6060" w:type="dxa"/>
            <w:vAlign w:val="bottom"/>
            <w:tcBorders>
              <w:bottom w:val="single" w:sz="8" w:color="CCEEFF"/>
            </w:tcBorders>
            <w:gridSpan w:val="21"/>
            <w:shd w:val="clear" w:color="auto" w:fill="CCEEFF"/>
          </w:tcPr>
          <w:p>
            <w:pPr>
              <w:spacing w:after="0"/>
              <w:rPr>
                <w:sz w:val="18"/>
                <w:szCs w:val="18"/>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Committee Charters &amp; Corporate Governance Guidelines</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540" w:type="dxa"/>
            <w:vAlign w:val="bottom"/>
            <w:tcBorders>
              <w:top w:val="single" w:sz="8" w:color="0000EE"/>
            </w:tcBorders>
            <w:gridSpan w:val="26"/>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Code of Conduct</w:t>
              </w:r>
            </w:hyperlink>
          </w:p>
        </w:tc>
        <w:tc>
          <w:tcPr>
            <w:tcW w:w="4140" w:type="dxa"/>
            <w:vAlign w:val="bottom"/>
            <w:gridSpan w:val="7"/>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Hedging &amp; Pledging Policies</w:t>
              </w:r>
            </w:hyperlink>
          </w:p>
        </w:tc>
        <w:tc>
          <w:tcPr>
            <w:tcW w:w="6400" w:type="dxa"/>
            <w:vAlign w:val="bottom"/>
            <w:gridSpan w:val="24"/>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Transactions with Related Persons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Stockholder Engagement</w:t>
              </w:r>
            </w:hyperlink>
          </w:p>
        </w:tc>
        <w:tc>
          <w:tcPr>
            <w:tcW w:w="740" w:type="dxa"/>
            <w:vAlign w:val="bottom"/>
            <w:tcBorders>
              <w:top w:val="single" w:sz="8" w:color="0000EE"/>
            </w:tcBorders>
            <w:gridSpan w:val="9"/>
          </w:tcPr>
          <w:p>
            <w:pPr>
              <w:spacing w:after="0"/>
              <w:rPr>
                <w:sz w:val="19"/>
                <w:szCs w:val="19"/>
                <w:color w:val="auto"/>
              </w:rPr>
            </w:pPr>
          </w:p>
        </w:tc>
        <w:tc>
          <w:tcPr>
            <w:tcW w:w="5920" w:type="dxa"/>
            <w:vAlign w:val="bottom"/>
            <w:tcBorders>
              <w:top w:val="single" w:sz="8" w:color="CCEEFF"/>
            </w:tcBorders>
            <w:gridSpan w:val="18"/>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Philanthropy and Corporate Social Responsibility</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880" w:type="dxa"/>
            <w:vAlign w:val="bottom"/>
            <w:tcBorders>
              <w:top w:val="single" w:sz="8" w:color="0000EE"/>
            </w:tcBorders>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Human Capital Management</w:t>
              </w:r>
            </w:hyperlink>
          </w:p>
        </w:tc>
        <w:tc>
          <w:tcPr>
            <w:tcW w:w="4800" w:type="dxa"/>
            <w:vAlign w:val="bottom"/>
            <w:tcBorders>
              <w:top w:val="single" w:sz="8" w:color="CCEEFF"/>
            </w:tcBorders>
            <w:gridSpan w:val="10"/>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80" w:type="dxa"/>
            <w:vAlign w:val="bottom"/>
            <w:tcBorders>
              <w:top w:val="single" w:sz="8" w:color="0000EE"/>
              <w:right w:val="single" w:sz="8" w:color="CCEEFF"/>
            </w:tcBorders>
            <w:gridSpan w:val="9"/>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of Directors</w:t>
              </w:r>
            </w:hyperlink>
          </w:p>
        </w:tc>
        <w:tc>
          <w:tcPr>
            <w:tcW w:w="6400" w:type="dxa"/>
            <w:vAlign w:val="bottom"/>
            <w:gridSpan w:val="24"/>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20" w:type="dxa"/>
            <w:vAlign w:val="bottom"/>
            <w:tcBorders>
              <w:bottom w:val="single" w:sz="8" w:color="3C5896"/>
            </w:tcBorders>
            <w:gridSpan w:val="31"/>
          </w:tcPr>
          <w:p>
            <w:pPr>
              <w:spacing w:after="0"/>
              <w:rPr>
                <w:rFonts w:ascii="Arial" w:cs="Arial" w:eastAsia="Arial" w:hAnsi="Arial"/>
                <w:sz w:val="18"/>
                <w:szCs w:val="18"/>
                <w:b w:val="1"/>
                <w:bCs w:val="1"/>
                <w:color w:val="3C5896"/>
                <w:w w:val="98"/>
              </w:rPr>
            </w:pPr>
            <w:hyperlink w:anchor="page27">
              <w:r>
                <w:rPr>
                  <w:rFonts w:ascii="Arial" w:cs="Arial" w:eastAsia="Arial" w:hAnsi="Arial"/>
                  <w:sz w:val="18"/>
                  <w:szCs w:val="18"/>
                  <w:b w:val="1"/>
                  <w:bCs w:val="1"/>
                  <w:color w:val="3C5896"/>
                  <w:w w:val="98"/>
                </w:rPr>
                <w:t>Proposal No. 2—Amendment to Eliminate the Classified Structure of the Board of Directors</w:t>
              </w:r>
            </w:hyperlink>
          </w:p>
        </w:tc>
        <w:tc>
          <w:tcPr>
            <w:tcW w:w="960" w:type="dxa"/>
            <w:vAlign w:val="bottom"/>
            <w:gridSpan w:val="2"/>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3"/>
            <w:shd w:val="clear" w:color="auto" w:fill="CCEEFF"/>
          </w:tcPr>
          <w:p>
            <w:pPr>
              <w:spacing w:after="0"/>
              <w:rPr>
                <w:rFonts w:ascii="Arial" w:cs="Arial" w:eastAsia="Arial" w:hAnsi="Arial"/>
                <w:sz w:val="18"/>
                <w:szCs w:val="18"/>
                <w:b w:val="1"/>
                <w:bCs w:val="1"/>
                <w:color w:val="3C5896"/>
              </w:rPr>
            </w:pPr>
            <w:hyperlink w:anchor="page29">
              <w:r>
                <w:rPr>
                  <w:rFonts w:ascii="Arial" w:cs="Arial" w:eastAsia="Arial" w:hAnsi="Arial"/>
                  <w:sz w:val="18"/>
                  <w:szCs w:val="18"/>
                  <w:b w:val="1"/>
                  <w:bCs w:val="1"/>
                  <w:color w:val="3C5896"/>
                </w:rPr>
                <w:t>Proposal No. 3—Amendment to Eliminate Supermajority Voting Standards and Other Obsolete</w:t>
              </w:r>
            </w:hyperlink>
          </w:p>
        </w:tc>
        <w:tc>
          <w:tcPr>
            <w:tcW w:w="200" w:type="dxa"/>
            <w:vAlign w:val="bottom"/>
            <w:gridSpan w:val="2"/>
            <w:vMerge w:val="restart"/>
            <w:shd w:val="clear" w:color="auto" w:fill="CCEEFF"/>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3C5896"/>
              <w:bottom w:val="single" w:sz="8" w:color="3C5896"/>
            </w:tcBorders>
            <w:shd w:val="clear" w:color="auto" w:fill="CCEEFF"/>
          </w:tcPr>
          <w:p>
            <w:pPr>
              <w:spacing w:after="0" w:line="169" w:lineRule="exact"/>
              <w:rPr>
                <w:rFonts w:ascii="Arial" w:cs="Arial" w:eastAsia="Arial" w:hAnsi="Arial"/>
                <w:sz w:val="18"/>
                <w:szCs w:val="18"/>
                <w:b w:val="1"/>
                <w:bCs w:val="1"/>
                <w:color w:val="3C5896"/>
                <w:w w:val="97"/>
              </w:rPr>
            </w:pPr>
            <w:hyperlink w:anchor="page29">
              <w:r>
                <w:rPr>
                  <w:rFonts w:ascii="Arial" w:cs="Arial" w:eastAsia="Arial" w:hAnsi="Arial"/>
                  <w:sz w:val="18"/>
                  <w:szCs w:val="18"/>
                  <w:b w:val="1"/>
                  <w:bCs w:val="1"/>
                  <w:color w:val="3C5896"/>
                  <w:w w:val="97"/>
                </w:rPr>
                <w:t>Provisions</w:t>
              </w:r>
            </w:hyperlink>
          </w:p>
        </w:tc>
        <w:tc>
          <w:tcPr>
            <w:tcW w:w="7060" w:type="dxa"/>
            <w:vAlign w:val="bottom"/>
            <w:tcBorders>
              <w:top w:val="single" w:sz="8" w:color="3C5896"/>
              <w:bottom w:val="single" w:sz="8" w:color="CCEEFF"/>
            </w:tcBorders>
            <w:gridSpan w:val="31"/>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0000EE"/>
            </w:tcBorders>
            <w:gridSpan w:val="2"/>
            <w:vMerge w:val="continue"/>
            <w:shd w:val="clear" w:color="auto" w:fill="CCEEFF"/>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760" w:type="dxa"/>
            <w:vAlign w:val="bottom"/>
          </w:tcPr>
          <w:p>
            <w:pPr>
              <w:spacing w:after="0"/>
              <w:rPr>
                <w:sz w:val="24"/>
                <w:szCs w:val="24"/>
                <w:color w:val="auto"/>
              </w:rPr>
            </w:pPr>
          </w:p>
        </w:tc>
        <w:tc>
          <w:tcPr>
            <w:tcW w:w="9000" w:type="dxa"/>
            <w:vAlign w:val="bottom"/>
            <w:gridSpan w:val="34"/>
          </w:tcPr>
          <w:p>
            <w:pPr>
              <w:spacing w:after="0"/>
              <w:rPr>
                <w:sz w:val="20"/>
                <w:szCs w:val="20"/>
                <w:color w:val="auto"/>
              </w:rPr>
            </w:pPr>
            <w:r>
              <w:rPr>
                <w:rFonts w:ascii="Arial" w:cs="Arial" w:eastAsia="Arial" w:hAnsi="Arial"/>
                <w:sz w:val="22"/>
                <w:szCs w:val="22"/>
                <w:b w:val="1"/>
                <w:bCs w:val="1"/>
                <w:color w:val="3C5896"/>
              </w:rPr>
              <w:t>Executive Compensation</w:t>
            </w:r>
          </w:p>
        </w:tc>
        <w:tc>
          <w:tcPr>
            <w:tcW w:w="960" w:type="dxa"/>
            <w:vAlign w:val="bottom"/>
            <w:gridSpan w:val="3"/>
          </w:tcPr>
          <w:p>
            <w:pPr>
              <w:jc w:val="right"/>
              <w:ind w:right="760"/>
              <w:spacing w:after="0"/>
              <w:rPr>
                <w:rFonts w:ascii="Arial" w:cs="Arial" w:eastAsia="Arial" w:hAnsi="Arial"/>
                <w:sz w:val="18"/>
                <w:szCs w:val="18"/>
                <w:b w:val="1"/>
                <w:bCs w:val="1"/>
                <w:color w:val="3C5896"/>
                <w:w w:val="89"/>
              </w:rPr>
            </w:pPr>
            <w:hyperlink w:anchor="page32">
              <w:r>
                <w:rPr>
                  <w:rFonts w:ascii="Arial" w:cs="Arial" w:eastAsia="Arial" w:hAnsi="Arial"/>
                  <w:sz w:val="18"/>
                  <w:szCs w:val="18"/>
                  <w:b w:val="1"/>
                  <w:bCs w:val="1"/>
                  <w:color w:val="3C5896"/>
                  <w:w w:val="89"/>
                </w:rPr>
                <w:t>29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top w:val="single" w:sz="8" w:color="3C5896"/>
              <w:bottom w:val="single" w:sz="8" w:color="auto"/>
            </w:tcBorders>
          </w:tcPr>
          <w:p>
            <w:pPr>
              <w:spacing w:after="0" w:line="20" w:lineRule="exact"/>
              <w:rPr>
                <w:sz w:val="1"/>
                <w:szCs w:val="1"/>
                <w:color w:val="auto"/>
              </w:rPr>
            </w:pPr>
          </w:p>
        </w:tc>
        <w:tc>
          <w:tcPr>
            <w:tcW w:w="920" w:type="dxa"/>
            <w:vAlign w:val="bottom"/>
            <w:tcBorders>
              <w:top w:val="single" w:sz="8" w:color="3C5896"/>
              <w:bottom w:val="single" w:sz="8" w:color="auto"/>
            </w:tcBorders>
          </w:tcPr>
          <w:p>
            <w:pPr>
              <w:spacing w:after="0" w:line="20" w:lineRule="exact"/>
              <w:rPr>
                <w:sz w:val="1"/>
                <w:szCs w:val="1"/>
                <w:color w:val="auto"/>
              </w:rPr>
            </w:pPr>
          </w:p>
        </w:tc>
        <w:tc>
          <w:tcPr>
            <w:tcW w:w="30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220" w:type="dxa"/>
            <w:vAlign w:val="bottom"/>
            <w:tcBorders>
              <w:top w:val="single" w:sz="8" w:color="3C5896"/>
              <w:bottom w:val="single" w:sz="8" w:color="auto"/>
            </w:tcBorders>
          </w:tcPr>
          <w:p>
            <w:pPr>
              <w:spacing w:after="0" w:line="20" w:lineRule="exact"/>
              <w:rPr>
                <w:sz w:val="1"/>
                <w:szCs w:val="1"/>
                <w:color w:val="auto"/>
              </w:rPr>
            </w:pPr>
          </w:p>
        </w:tc>
        <w:tc>
          <w:tcPr>
            <w:tcW w:w="260" w:type="dxa"/>
            <w:vAlign w:val="bottom"/>
            <w:tcBorders>
              <w:top w:val="single" w:sz="8" w:color="3C5896"/>
              <w:bottom w:val="single" w:sz="8" w:color="auto"/>
            </w:tcBorders>
          </w:tcPr>
          <w:p>
            <w:pPr>
              <w:spacing w:after="0" w:line="20" w:lineRule="exact"/>
              <w:rPr>
                <w:sz w:val="1"/>
                <w:szCs w:val="1"/>
                <w:color w:val="auto"/>
              </w:rPr>
            </w:pPr>
          </w:p>
        </w:tc>
        <w:tc>
          <w:tcPr>
            <w:tcW w:w="2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180" w:type="dxa"/>
            <w:vAlign w:val="bottom"/>
            <w:tcBorders>
              <w:bottom w:val="single" w:sz="8" w:color="3C5896"/>
            </w:tcBorders>
            <w:gridSpan w:val="29"/>
            <w:shd w:val="clear" w:color="auto" w:fill="CCEEFF"/>
          </w:tcPr>
          <w:p>
            <w:pPr>
              <w:spacing w:after="0"/>
              <w:rPr>
                <w:rFonts w:ascii="Arial" w:cs="Arial" w:eastAsia="Arial" w:hAnsi="Arial"/>
                <w:sz w:val="18"/>
                <w:szCs w:val="18"/>
                <w:b w:val="1"/>
                <w:bCs w:val="1"/>
                <w:color w:val="3C5896"/>
                <w:w w:val="98"/>
              </w:rPr>
            </w:pPr>
            <w:hyperlink w:anchor="page32">
              <w:r>
                <w:rPr>
                  <w:rFonts w:ascii="Arial" w:cs="Arial" w:eastAsia="Arial" w:hAnsi="Arial"/>
                  <w:sz w:val="18"/>
                  <w:szCs w:val="18"/>
                  <w:b w:val="1"/>
                  <w:bCs w:val="1"/>
                  <w:color w:val="3C5896"/>
                  <w:w w:val="98"/>
                </w:rPr>
                <w:t>Proposal No. 4—Non-Binding Advisory Vote on Executive Compensation</w:t>
              </w:r>
            </w:hyperlink>
          </w:p>
        </w:tc>
        <w:tc>
          <w:tcPr>
            <w:tcW w:w="2500" w:type="dxa"/>
            <w:vAlign w:val="bottom"/>
            <w:tcBorders>
              <w:bottom w:val="single" w:sz="8" w:color="CCEEFF"/>
            </w:tcBorders>
            <w:gridSpan w:val="4"/>
            <w:shd w:val="clear" w:color="auto" w:fill="CCEEFF"/>
          </w:tcPr>
          <w:p>
            <w:pPr>
              <w:spacing w:after="0"/>
              <w:rPr>
                <w:sz w:val="18"/>
                <w:szCs w:val="18"/>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140" w:type="dxa"/>
            <w:vAlign w:val="bottom"/>
            <w:tcBorders>
              <w:top w:val="single" w:sz="8" w:color="0000EE"/>
            </w:tcBorders>
            <w:gridSpan w:val="20"/>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5540" w:type="dxa"/>
            <w:vAlign w:val="bottom"/>
            <w:gridSpan w:val="13"/>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4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Summary Compensation Table</w:t>
              </w:r>
            </w:hyperlink>
          </w:p>
        </w:tc>
        <w:tc>
          <w:tcPr>
            <w:tcW w:w="200" w:type="dxa"/>
            <w:vAlign w:val="bottom"/>
            <w:tcBorders>
              <w:top w:val="single" w:sz="8" w:color="0000EE"/>
            </w:tcBorders>
            <w:gridSpan w:val="3"/>
          </w:tcPr>
          <w:p>
            <w:pPr>
              <w:spacing w:after="0"/>
              <w:rPr>
                <w:sz w:val="19"/>
                <w:szCs w:val="19"/>
                <w:color w:val="auto"/>
              </w:rPr>
            </w:pPr>
          </w:p>
        </w:tc>
        <w:tc>
          <w:tcPr>
            <w:tcW w:w="6020" w:type="dxa"/>
            <w:vAlign w:val="bottom"/>
            <w:tcBorders>
              <w:top w:val="single" w:sz="8" w:color="CCEEFF"/>
            </w:tcBorders>
            <w:gridSpan w:val="20"/>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Grants of Plan-Based Awards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6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Outstanding Equity Awards at Fiscal Year End</w:t>
              </w:r>
            </w:hyperlink>
          </w:p>
        </w:tc>
        <w:tc>
          <w:tcPr>
            <w:tcW w:w="5020" w:type="dxa"/>
            <w:vAlign w:val="bottom"/>
            <w:gridSpan w:val="11"/>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Option Exercises and Stock Vested</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80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Pension Benefits</w:t>
              </w:r>
            </w:hyperlink>
          </w:p>
        </w:tc>
        <w:tc>
          <w:tcPr>
            <w:tcW w:w="5880" w:type="dxa"/>
            <w:vAlign w:val="bottom"/>
            <w:tcBorders>
              <w:top w:val="single" w:sz="8" w:color="CCEEFF"/>
            </w:tcBorders>
            <w:gridSpan w:val="17"/>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Non-Qualified Deferred Compensation</w:t>
              </w:r>
            </w:hyperlink>
          </w:p>
        </w:tc>
        <w:tc>
          <w:tcPr>
            <w:tcW w:w="5620" w:type="dxa"/>
            <w:vAlign w:val="bottom"/>
            <w:tcBorders>
              <w:bottom w:val="single" w:sz="8" w:color="CCEEFF"/>
            </w:tcBorders>
            <w:gridSpan w:val="14"/>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8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Potential Payments on Termination or Change in Control</w:t>
              </w:r>
            </w:hyperlink>
          </w:p>
        </w:tc>
        <w:tc>
          <w:tcPr>
            <w:tcW w:w="4200" w:type="dxa"/>
            <w:vAlign w:val="bottom"/>
            <w:gridSpan w:val="8"/>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3"/>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Compensation Committee Interlocks and Insider Participation</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860" w:type="dxa"/>
            <w:vAlign w:val="bottom"/>
            <w:tcBorders>
              <w:top w:val="single" w:sz="8" w:color="0000EE"/>
            </w:tcBorders>
            <w:gridSpan w:val="2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Equity Compensation Plan Information</w:t>
              </w:r>
            </w:hyperlink>
          </w:p>
        </w:tc>
        <w:tc>
          <w:tcPr>
            <w:tcW w:w="3820" w:type="dxa"/>
            <w:vAlign w:val="bottom"/>
            <w:tcBorders>
              <w:top w:val="single" w:sz="8" w:color="CCEEFF"/>
            </w:tcBorders>
            <w:gridSpan w:val="6"/>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60" w:type="dxa"/>
            <w:vAlign w:val="bottom"/>
            <w:tcBorders>
              <w:top w:val="single" w:sz="8" w:color="0000EE"/>
            </w:tcBorders>
            <w:gridSpan w:val="19"/>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CEO Pay Ratio</w:t>
              </w:r>
            </w:hyperlink>
          </w:p>
        </w:tc>
        <w:tc>
          <w:tcPr>
            <w:tcW w:w="5620" w:type="dxa"/>
            <w:vAlign w:val="bottom"/>
            <w:gridSpan w:val="14"/>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6"/>
        </w:trPr>
        <w:tc>
          <w:tcPr>
            <w:tcW w:w="76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gridSpan w:val="4"/>
          </w:tcPr>
          <w:p>
            <w:pPr>
              <w:ind w:left="240"/>
              <w:spacing w:after="0"/>
              <w:rPr>
                <w:sz w:val="20"/>
                <w:szCs w:val="20"/>
                <w:color w:val="auto"/>
              </w:rPr>
            </w:pPr>
            <w:r>
              <w:rPr>
                <w:rFonts w:ascii="Arial" w:cs="Arial" w:eastAsia="Arial" w:hAnsi="Arial"/>
                <w:sz w:val="16"/>
                <w:szCs w:val="16"/>
                <w:color w:val="auto"/>
              </w:rPr>
              <w:t>2021 Proxy Statement</w:t>
            </w: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6"/>
                <w:szCs w:val="16"/>
                <w:b w:val="1"/>
                <w:bCs w:val="1"/>
                <w:color w:val="auto"/>
                <w:w w:val="88"/>
              </w:rPr>
              <w:t>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-471170</wp:posOffset>
            </wp:positionV>
            <wp:extent cx="30035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60" w:type="dxa"/>
        <w:tblCellMar>
          <w:top w:w="0" w:type="dxa"/>
          <w:left w:w="0" w:type="dxa"/>
          <w:bottom w:w="0" w:type="dxa"/>
          <w:right w:w="0" w:type="dxa"/>
        </w:tblCellMar>
      </w:tblPr>
      <w:tr>
        <w:trPr>
          <w:trHeight w:val="338"/>
        </w:trPr>
        <w:tc>
          <w:tcPr>
            <w:tcW w:w="9000" w:type="dxa"/>
            <w:vAlign w:val="bottom"/>
            <w:tcBorders>
              <w:bottom w:val="single" w:sz="8" w:color="CCEEFF"/>
            </w:tcBorders>
            <w:gridSpan w:val="18"/>
            <w:shd w:val="clear" w:color="auto" w:fill="CCEEFF"/>
          </w:tcPr>
          <w:p>
            <w:pPr>
              <w:spacing w:after="0"/>
              <w:rPr>
                <w:rFonts w:ascii="Arial" w:cs="Arial" w:eastAsia="Arial" w:hAnsi="Arial"/>
                <w:sz w:val="22"/>
                <w:szCs w:val="22"/>
                <w:b w:val="1"/>
                <w:bCs w:val="1"/>
                <w:color w:val="3C5896"/>
              </w:rPr>
            </w:pPr>
            <w:hyperlink w:anchor="page55">
              <w:r>
                <w:rPr>
                  <w:rFonts w:ascii="Arial" w:cs="Arial" w:eastAsia="Arial" w:hAnsi="Arial"/>
                  <w:sz w:val="22"/>
                  <w:szCs w:val="22"/>
                  <w:b w:val="1"/>
                  <w:bCs w:val="1"/>
                  <w:color w:val="3C5896"/>
                </w:rPr>
                <w:t>Ownership of Our Securities</w:t>
              </w:r>
            </w:hyperlink>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55">
              <w:r>
                <w:rPr>
                  <w:rFonts w:ascii="Arial" w:cs="Arial" w:eastAsia="Arial" w:hAnsi="Arial"/>
                  <w:sz w:val="18"/>
                  <w:szCs w:val="18"/>
                  <w:b w:val="1"/>
                  <w:bCs w:val="1"/>
                  <w:color w:val="3C5896"/>
                  <w:w w:val="89"/>
                </w:rPr>
                <w:t>52</w:t>
              </w:r>
            </w:hyperlink>
          </w:p>
        </w:tc>
      </w:tr>
      <w:tr>
        <w:trPr>
          <w:trHeight w:val="190"/>
        </w:trPr>
        <w:tc>
          <w:tcPr>
            <w:tcW w:w="320" w:type="dxa"/>
            <w:vAlign w:val="bottom"/>
            <w:tcBorders>
              <w:top w:val="single" w:sz="8" w:color="auto"/>
            </w:tcBorders>
          </w:tcPr>
          <w:p>
            <w:pPr>
              <w:spacing w:after="0"/>
              <w:rPr>
                <w:sz w:val="16"/>
                <w:szCs w:val="16"/>
                <w:color w:val="auto"/>
              </w:rPr>
            </w:pPr>
          </w:p>
        </w:tc>
        <w:tc>
          <w:tcPr>
            <w:tcW w:w="2660" w:type="dxa"/>
            <w:vAlign w:val="bottom"/>
            <w:tcBorders>
              <w:top w:val="single" w:sz="8" w:color="auto"/>
              <w:bottom w:val="single" w:sz="8" w:color="0000EE"/>
            </w:tcBorders>
            <w:gridSpan w:val="8"/>
          </w:tcPr>
          <w:p>
            <w:pPr>
              <w:spacing w:after="0" w:line="190"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Delinquent Section 16(a) Reports</w:t>
              </w:r>
            </w:hyperlink>
          </w:p>
        </w:tc>
        <w:tc>
          <w:tcPr>
            <w:tcW w:w="6020" w:type="dxa"/>
            <w:vAlign w:val="bottom"/>
            <w:tcBorders>
              <w:top w:val="single" w:sz="8" w:color="auto"/>
            </w:tcBorders>
            <w:gridSpan w:val="9"/>
          </w:tcPr>
          <w:p>
            <w:pPr>
              <w:spacing w:after="0"/>
              <w:rPr>
                <w:sz w:val="16"/>
                <w:szCs w:val="16"/>
                <w:color w:val="auto"/>
              </w:rPr>
            </w:pPr>
          </w:p>
        </w:tc>
        <w:tc>
          <w:tcPr>
            <w:tcW w:w="200" w:type="dxa"/>
            <w:vAlign w:val="bottom"/>
            <w:tcBorders>
              <w:top w:val="single" w:sz="8" w:color="auto"/>
              <w:bottom w:val="single" w:sz="8" w:color="0000EE"/>
            </w:tcBorders>
          </w:tcPr>
          <w:p>
            <w:pPr>
              <w:jc w:val="right"/>
              <w:spacing w:after="0" w:line="190"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196"/>
        </w:trPr>
        <w:tc>
          <w:tcPr>
            <w:tcW w:w="320" w:type="dxa"/>
            <w:vAlign w:val="bottom"/>
            <w:shd w:val="clear" w:color="auto" w:fill="CCEEFF"/>
          </w:tcPr>
          <w:p>
            <w:pPr>
              <w:spacing w:after="0"/>
              <w:rPr>
                <w:sz w:val="17"/>
                <w:szCs w:val="17"/>
                <w:color w:val="auto"/>
              </w:rPr>
            </w:pPr>
          </w:p>
        </w:tc>
        <w:tc>
          <w:tcPr>
            <w:tcW w:w="8680" w:type="dxa"/>
            <w:vAlign w:val="bottom"/>
            <w:gridSpan w:val="17"/>
            <w:shd w:val="clear" w:color="auto" w:fill="CCEEFF"/>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Beneficial Ownership of National Vision Common Stock</w:t>
              </w:r>
            </w:hyperlink>
          </w:p>
        </w:tc>
        <w:tc>
          <w:tcPr>
            <w:tcW w:w="200" w:type="dxa"/>
            <w:vAlign w:val="bottom"/>
            <w:shd w:val="clear" w:color="auto" w:fill="CCEEFF"/>
          </w:tcPr>
          <w:p>
            <w:pPr>
              <w:jc w:val="right"/>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320" w:type="dxa"/>
            <w:vAlign w:val="bottom"/>
            <w:shd w:val="clear" w:color="auto" w:fill="CCEEFF"/>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46"/>
        </w:trPr>
        <w:tc>
          <w:tcPr>
            <w:tcW w:w="9000" w:type="dxa"/>
            <w:vAlign w:val="bottom"/>
            <w:gridSpan w:val="18"/>
          </w:tcPr>
          <w:p>
            <w:pPr>
              <w:spacing w:after="0"/>
              <w:rPr>
                <w:sz w:val="20"/>
                <w:szCs w:val="20"/>
                <w:color w:val="auto"/>
              </w:rPr>
            </w:pPr>
            <w:r>
              <w:rPr>
                <w:rFonts w:ascii="Arial" w:cs="Arial" w:eastAsia="Arial" w:hAnsi="Arial"/>
                <w:sz w:val="22"/>
                <w:szCs w:val="22"/>
                <w:b w:val="1"/>
                <w:bCs w:val="1"/>
                <w:color w:val="3C5896"/>
              </w:rPr>
              <w:t>Audit Committee Matters</w:t>
            </w:r>
          </w:p>
        </w:tc>
        <w:tc>
          <w:tcPr>
            <w:tcW w:w="200" w:type="dxa"/>
            <w:vAlign w:val="bottom"/>
            <w:tcBorders>
              <w:bottom w:val="single" w:sz="8" w:color="3C5896"/>
            </w:tcBorders>
          </w:tcPr>
          <w:p>
            <w:pPr>
              <w:jc w:val="right"/>
              <w:spacing w:after="0"/>
              <w:rPr>
                <w:rFonts w:ascii="Arial" w:cs="Arial" w:eastAsia="Arial" w:hAnsi="Arial"/>
                <w:sz w:val="18"/>
                <w:szCs w:val="18"/>
                <w:b w:val="1"/>
                <w:bCs w:val="1"/>
                <w:color w:val="3C5896"/>
                <w:w w:val="89"/>
              </w:rPr>
            </w:pPr>
            <w:hyperlink w:anchor="page57">
              <w:r>
                <w:rPr>
                  <w:rFonts w:ascii="Arial" w:cs="Arial" w:eastAsia="Arial" w:hAnsi="Arial"/>
                  <w:sz w:val="18"/>
                  <w:szCs w:val="18"/>
                  <w:b w:val="1"/>
                  <w:bCs w:val="1"/>
                  <w:color w:val="3C5896"/>
                  <w:w w:val="89"/>
                </w:rPr>
                <w:t>54</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0"/>
        </w:trPr>
        <w:tc>
          <w:tcPr>
            <w:tcW w:w="320" w:type="dxa"/>
            <w:vAlign w:val="bottom"/>
            <w:shd w:val="clear" w:color="auto" w:fill="CCEEFF"/>
          </w:tcPr>
          <w:p>
            <w:pPr>
              <w:spacing w:after="0"/>
              <w:rPr>
                <w:sz w:val="16"/>
                <w:szCs w:val="16"/>
                <w:color w:val="auto"/>
              </w:rPr>
            </w:pPr>
          </w:p>
        </w:tc>
        <w:tc>
          <w:tcPr>
            <w:tcW w:w="8680" w:type="dxa"/>
            <w:vAlign w:val="bottom"/>
            <w:gridSpan w:val="17"/>
            <w:shd w:val="clear" w:color="auto" w:fill="CCEEFF"/>
          </w:tcPr>
          <w:p>
            <w:pPr>
              <w:spacing w:after="0" w:line="190" w:lineRule="exact"/>
              <w:rPr>
                <w:rFonts w:ascii="Arial" w:cs="Arial" w:eastAsia="Arial" w:hAnsi="Arial"/>
                <w:sz w:val="18"/>
                <w:szCs w:val="18"/>
                <w:b w:val="1"/>
                <w:bCs w:val="1"/>
                <w:color w:val="3C5896"/>
              </w:rPr>
            </w:pPr>
            <w:hyperlink w:anchor="page57">
              <w:r>
                <w:rPr>
                  <w:rFonts w:ascii="Arial" w:cs="Arial" w:eastAsia="Arial" w:hAnsi="Arial"/>
                  <w:sz w:val="18"/>
                  <w:szCs w:val="18"/>
                  <w:b w:val="1"/>
                  <w:bCs w:val="1"/>
                  <w:color w:val="3C5896"/>
                </w:rPr>
                <w:t>Proposal No. 5—Ratification of Independent Registered Public Accounting Firm</w:t>
              </w:r>
            </w:hyperlink>
          </w:p>
        </w:tc>
        <w:tc>
          <w:tcPr>
            <w:tcW w:w="200" w:type="dxa"/>
            <w:vAlign w:val="bottom"/>
            <w:shd w:val="clear" w:color="auto" w:fill="CCEEFF"/>
          </w:tcPr>
          <w:p>
            <w:pPr>
              <w:jc w:val="right"/>
              <w:spacing w:after="0" w:line="190"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r>
      <w:tr>
        <w:trPr>
          <w:trHeight w:val="196"/>
        </w:trPr>
        <w:tc>
          <w:tcPr>
            <w:tcW w:w="320" w:type="dxa"/>
            <w:vAlign w:val="bottom"/>
            <w:tcBorders>
              <w:top w:val="single" w:sz="8" w:color="CCEEFF"/>
            </w:tcBorders>
          </w:tcPr>
          <w:p>
            <w:pPr>
              <w:spacing w:after="0"/>
              <w:rPr>
                <w:sz w:val="17"/>
                <w:szCs w:val="17"/>
                <w:color w:val="auto"/>
              </w:rPr>
            </w:pPr>
          </w:p>
        </w:tc>
        <w:tc>
          <w:tcPr>
            <w:tcW w:w="2420" w:type="dxa"/>
            <w:vAlign w:val="bottom"/>
            <w:tcBorders>
              <w:top w:val="single" w:sz="8" w:color="3C5896"/>
              <w:bottom w:val="single" w:sz="8" w:color="0000EE"/>
            </w:tcBorders>
            <w:gridSpan w:val="5"/>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Report of the Audit Committee</w:t>
              </w:r>
            </w:hyperlink>
          </w:p>
        </w:tc>
        <w:tc>
          <w:tcPr>
            <w:tcW w:w="4320" w:type="dxa"/>
            <w:vAlign w:val="bottom"/>
            <w:tcBorders>
              <w:top w:val="single" w:sz="8" w:color="3C5896"/>
            </w:tcBorders>
            <w:gridSpan w:val="10"/>
          </w:tcPr>
          <w:p>
            <w:pPr>
              <w:spacing w:after="0"/>
              <w:rPr>
                <w:sz w:val="17"/>
                <w:szCs w:val="17"/>
                <w:color w:val="auto"/>
              </w:rPr>
            </w:pPr>
          </w:p>
        </w:tc>
        <w:tc>
          <w:tcPr>
            <w:tcW w:w="194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r>
      <w:tr>
        <w:trPr>
          <w:trHeight w:val="491"/>
        </w:trPr>
        <w:tc>
          <w:tcPr>
            <w:tcW w:w="900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22"/>
                <w:szCs w:val="22"/>
                <w:b w:val="1"/>
                <w:bCs w:val="1"/>
                <w:color w:val="3C5896"/>
              </w:rPr>
              <w:t>Important Information About Voting at the Annual Meeting</w:t>
            </w:r>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59">
              <w:r>
                <w:rPr>
                  <w:rFonts w:ascii="Arial" w:cs="Arial" w:eastAsia="Arial" w:hAnsi="Arial"/>
                  <w:sz w:val="18"/>
                  <w:szCs w:val="18"/>
                  <w:b w:val="1"/>
                  <w:bCs w:val="1"/>
                  <w:color w:val="3C5896"/>
                  <w:w w:val="89"/>
                </w:rPr>
                <w:t>56</w:t>
              </w:r>
            </w:hyperlink>
          </w:p>
        </w:tc>
      </w:tr>
      <w:tr>
        <w:trPr>
          <w:trHeight w:val="453"/>
        </w:trPr>
        <w:tc>
          <w:tcPr>
            <w:tcW w:w="9000" w:type="dxa"/>
            <w:vAlign w:val="bottom"/>
            <w:tcBorders>
              <w:top w:val="single" w:sz="8" w:color="auto"/>
            </w:tcBorders>
            <w:gridSpan w:val="18"/>
          </w:tcPr>
          <w:p>
            <w:pPr>
              <w:spacing w:after="0"/>
              <w:rPr>
                <w:sz w:val="20"/>
                <w:szCs w:val="20"/>
                <w:color w:val="auto"/>
              </w:rPr>
            </w:pPr>
            <w:r>
              <w:rPr>
                <w:rFonts w:ascii="Arial" w:cs="Arial" w:eastAsia="Arial" w:hAnsi="Arial"/>
                <w:sz w:val="22"/>
                <w:szCs w:val="22"/>
                <w:b w:val="1"/>
                <w:bCs w:val="1"/>
                <w:color w:val="3C5896"/>
              </w:rPr>
              <w:t>Other Information for Stockholders</w:t>
            </w:r>
          </w:p>
        </w:tc>
        <w:tc>
          <w:tcPr>
            <w:tcW w:w="200" w:type="dxa"/>
            <w:vAlign w:val="bottom"/>
            <w:tcBorders>
              <w:top w:val="single" w:sz="8" w:color="auto"/>
              <w:bottom w:val="single" w:sz="8" w:color="3C5896"/>
            </w:tcBorders>
          </w:tcPr>
          <w:p>
            <w:pPr>
              <w:jc w:val="right"/>
              <w:spacing w:after="0"/>
              <w:rPr>
                <w:rFonts w:ascii="Arial" w:cs="Arial" w:eastAsia="Arial" w:hAnsi="Arial"/>
                <w:sz w:val="18"/>
                <w:szCs w:val="18"/>
                <w:b w:val="1"/>
                <w:bCs w:val="1"/>
                <w:color w:val="3C5896"/>
                <w:w w:val="89"/>
              </w:rPr>
            </w:pPr>
            <w:hyperlink w:anchor="page61">
              <w:r>
                <w:rPr>
                  <w:rFonts w:ascii="Arial" w:cs="Arial" w:eastAsia="Arial" w:hAnsi="Arial"/>
                  <w:sz w:val="18"/>
                  <w:szCs w:val="18"/>
                  <w:b w:val="1"/>
                  <w:bCs w:val="1"/>
                  <w:color w:val="3C5896"/>
                  <w:w w:val="89"/>
                </w:rPr>
                <w:t>58</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top w:val="single" w:sz="8" w:color="3C5896"/>
              <w:bottom w:val="single" w:sz="8" w:color="auto"/>
            </w:tcBorders>
          </w:tcPr>
          <w:p>
            <w:pPr>
              <w:spacing w:after="0" w:line="20" w:lineRule="exact"/>
              <w:rPr>
                <w:sz w:val="1"/>
                <w:szCs w:val="1"/>
                <w:color w:val="auto"/>
              </w:rPr>
            </w:pPr>
          </w:p>
        </w:tc>
        <w:tc>
          <w:tcPr>
            <w:tcW w:w="2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58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3"/>
        </w:trPr>
        <w:tc>
          <w:tcPr>
            <w:tcW w:w="32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10"/>
            <w:shd w:val="clear" w:color="auto" w:fill="CCEEFF"/>
          </w:tcPr>
          <w:p>
            <w:pPr>
              <w:spacing w:after="0" w:line="203"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Stockholder Proposals for the 2022 Annual Meeting</w:t>
              </w:r>
            </w:hyperlink>
          </w:p>
        </w:tc>
        <w:tc>
          <w:tcPr>
            <w:tcW w:w="4580" w:type="dxa"/>
            <w:vAlign w:val="bottom"/>
            <w:tcBorders>
              <w:bottom w:val="single" w:sz="8" w:color="CCEEFF"/>
            </w:tcBorders>
            <w:gridSpan w:val="7"/>
            <w:shd w:val="clear" w:color="auto" w:fill="CCEEFF"/>
          </w:tcPr>
          <w:p>
            <w:pPr>
              <w:spacing w:after="0"/>
              <w:rPr>
                <w:sz w:val="17"/>
                <w:szCs w:val="17"/>
                <w:color w:val="auto"/>
              </w:rPr>
            </w:pPr>
          </w:p>
        </w:tc>
        <w:tc>
          <w:tcPr>
            <w:tcW w:w="200" w:type="dxa"/>
            <w:vAlign w:val="bottom"/>
            <w:tcBorders>
              <w:bottom w:val="single" w:sz="8" w:color="0000EE"/>
            </w:tcBorders>
            <w:shd w:val="clear" w:color="auto" w:fill="CCEEFF"/>
          </w:tcPr>
          <w:p>
            <w:pPr>
              <w:jc w:val="right"/>
              <w:spacing w:after="0" w:line="203"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10"/>
        </w:trPr>
        <w:tc>
          <w:tcPr>
            <w:tcW w:w="320" w:type="dxa"/>
            <w:vAlign w:val="bottom"/>
          </w:tcPr>
          <w:p>
            <w:pPr>
              <w:spacing w:after="0"/>
              <w:rPr>
                <w:sz w:val="18"/>
                <w:szCs w:val="18"/>
                <w:color w:val="auto"/>
              </w:rPr>
            </w:pPr>
          </w:p>
        </w:tc>
        <w:tc>
          <w:tcPr>
            <w:tcW w:w="8680" w:type="dxa"/>
            <w:vAlign w:val="bottom"/>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Householding of Proxy Materials</w:t>
              </w:r>
            </w:hyperlink>
          </w:p>
        </w:tc>
        <w:tc>
          <w:tcPr>
            <w:tcW w:w="200" w:type="dxa"/>
            <w:vAlign w:val="bottom"/>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0000EE"/>
            </w:tcBorders>
            <w:shd w:val="clear" w:color="auto" w:fill="CCEEFF"/>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Other Business</w:t>
              </w:r>
            </w:hyperlink>
          </w:p>
        </w:tc>
        <w:tc>
          <w:tcPr>
            <w:tcW w:w="13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6100" w:type="dxa"/>
            <w:vAlign w:val="bottom"/>
            <w:tcBorders>
              <w:bottom w:val="single" w:sz="8" w:color="CCEEFF"/>
            </w:tcBorders>
            <w:gridSpan w:val="10"/>
            <w:shd w:val="clear" w:color="auto" w:fill="CCEEFF"/>
          </w:tcPr>
          <w:p>
            <w:pPr>
              <w:spacing w:after="0"/>
              <w:rPr>
                <w:sz w:val="18"/>
                <w:szCs w:val="18"/>
                <w:color w:val="auto"/>
              </w:rPr>
            </w:pPr>
          </w:p>
        </w:tc>
        <w:tc>
          <w:tcPr>
            <w:tcW w:w="200" w:type="dxa"/>
            <w:vAlign w:val="bottom"/>
            <w:tcBorders>
              <w:top w:val="single" w:sz="8" w:color="0000EE"/>
              <w:bottom w:val="single" w:sz="8" w:color="0000EE"/>
            </w:tcBorders>
            <w:shd w:val="clear" w:color="auto" w:fill="CCEEFF"/>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9"/>
        </w:trPr>
        <w:tc>
          <w:tcPr>
            <w:tcW w:w="320" w:type="dxa"/>
            <w:vAlign w:val="bottom"/>
          </w:tcPr>
          <w:p>
            <w:pPr>
              <w:spacing w:after="0"/>
              <w:rPr>
                <w:sz w:val="18"/>
                <w:szCs w:val="18"/>
                <w:color w:val="auto"/>
              </w:rPr>
            </w:pPr>
          </w:p>
        </w:tc>
        <w:tc>
          <w:tcPr>
            <w:tcW w:w="23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About the Meeting and Voting</w:t>
              </w:r>
            </w:hyperlink>
          </w:p>
        </w:tc>
        <w:tc>
          <w:tcPr>
            <w:tcW w:w="6320" w:type="dxa"/>
            <w:vAlign w:val="bottom"/>
            <w:gridSpan w:val="1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504"/>
        </w:trPr>
        <w:tc>
          <w:tcPr>
            <w:tcW w:w="900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22"/>
                <w:szCs w:val="22"/>
                <w:b w:val="1"/>
                <w:bCs w:val="1"/>
                <w:color w:val="3C5896"/>
              </w:rPr>
              <w:t>Appendix A—Non-GAAP Financial Measures</w:t>
            </w:r>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66">
              <w:r>
                <w:rPr>
                  <w:rFonts w:ascii="Arial" w:cs="Arial" w:eastAsia="Arial" w:hAnsi="Arial"/>
                  <w:sz w:val="18"/>
                  <w:szCs w:val="18"/>
                  <w:b w:val="1"/>
                  <w:bCs w:val="1"/>
                  <w:color w:val="3C5896"/>
                  <w:w w:val="89"/>
                </w:rPr>
                <w:t>63</w:t>
              </w:r>
            </w:hyperlink>
          </w:p>
        </w:tc>
      </w:tr>
      <w:tr>
        <w:trPr>
          <w:trHeight w:val="447"/>
        </w:trPr>
        <w:tc>
          <w:tcPr>
            <w:tcW w:w="9000" w:type="dxa"/>
            <w:vAlign w:val="bottom"/>
            <w:tcBorders>
              <w:top w:val="single" w:sz="8" w:color="auto"/>
            </w:tcBorders>
            <w:gridSpan w:val="18"/>
          </w:tcPr>
          <w:p>
            <w:pPr>
              <w:spacing w:after="0"/>
              <w:rPr>
                <w:rFonts w:ascii="Arial" w:cs="Arial" w:eastAsia="Arial" w:hAnsi="Arial"/>
                <w:sz w:val="22"/>
                <w:szCs w:val="22"/>
                <w:b w:val="1"/>
                <w:bCs w:val="1"/>
                <w:color w:val="3C5896"/>
              </w:rPr>
            </w:pPr>
            <w:hyperlink w:anchor="page72">
              <w:r>
                <w:rPr>
                  <w:rFonts w:ascii="Arial" w:cs="Arial" w:eastAsia="Arial" w:hAnsi="Arial"/>
                  <w:sz w:val="22"/>
                  <w:szCs w:val="22"/>
                  <w:b w:val="1"/>
                  <w:bCs w:val="1"/>
                  <w:color w:val="3C5896"/>
                </w:rPr>
                <w:t>Appendix B—Proposed Amendments to the Certificate of Incorporation Eliminating</w:t>
              </w:r>
            </w:hyperlink>
          </w:p>
        </w:tc>
        <w:tc>
          <w:tcPr>
            <w:tcW w:w="200" w:type="dxa"/>
            <w:vAlign w:val="bottom"/>
            <w:tcBorders>
              <w:top w:val="single" w:sz="8" w:color="auto"/>
            </w:tcBorders>
          </w:tcPr>
          <w:p>
            <w:pPr>
              <w:spacing w:after="0"/>
              <w:rPr>
                <w:sz w:val="24"/>
                <w:szCs w:val="24"/>
                <w:color w:val="auto"/>
              </w:rPr>
            </w:pPr>
          </w:p>
        </w:tc>
      </w:tr>
      <w:tr>
        <w:trPr>
          <w:trHeight w:val="216"/>
        </w:trPr>
        <w:tc>
          <w:tcPr>
            <w:tcW w:w="8460" w:type="dxa"/>
            <w:vAlign w:val="bottom"/>
            <w:tcBorders>
              <w:top w:val="single" w:sz="8" w:color="3C5896"/>
            </w:tcBorders>
            <w:gridSpan w:val="17"/>
          </w:tcPr>
          <w:p>
            <w:pPr>
              <w:spacing w:after="0" w:line="183" w:lineRule="exact"/>
              <w:rPr>
                <w:rFonts w:ascii="Arial" w:cs="Arial" w:eastAsia="Arial" w:hAnsi="Arial"/>
                <w:sz w:val="21"/>
                <w:szCs w:val="21"/>
                <w:b w:val="1"/>
                <w:bCs w:val="1"/>
                <w:color w:val="3C5896"/>
              </w:rPr>
            </w:pPr>
            <w:hyperlink w:anchor="page72">
              <w:r>
                <w:rPr>
                  <w:rFonts w:ascii="Arial" w:cs="Arial" w:eastAsia="Arial" w:hAnsi="Arial"/>
                  <w:sz w:val="21"/>
                  <w:szCs w:val="21"/>
                  <w:b w:val="1"/>
                  <w:bCs w:val="1"/>
                  <w:color w:val="3C5896"/>
                </w:rPr>
                <w:t>Classified Board</w:t>
              </w:r>
            </w:hyperlink>
          </w:p>
        </w:tc>
        <w:tc>
          <w:tcPr>
            <w:tcW w:w="540" w:type="dxa"/>
            <w:vAlign w:val="bottom"/>
          </w:tcPr>
          <w:p>
            <w:pPr>
              <w:spacing w:after="0"/>
              <w:rPr>
                <w:sz w:val="18"/>
                <w:szCs w:val="18"/>
                <w:color w:val="auto"/>
              </w:rPr>
            </w:pPr>
          </w:p>
        </w:tc>
        <w:tc>
          <w:tcPr>
            <w:tcW w:w="200" w:type="dxa"/>
            <w:vAlign w:val="bottom"/>
            <w:tcBorders>
              <w:bottom w:val="single" w:sz="8" w:color="3C5896"/>
            </w:tcBorders>
          </w:tcPr>
          <w:p>
            <w:pPr>
              <w:jc w:val="right"/>
              <w:spacing w:after="0" w:line="182" w:lineRule="exact"/>
              <w:rPr>
                <w:rFonts w:ascii="Arial" w:cs="Arial" w:eastAsia="Arial" w:hAnsi="Arial"/>
                <w:sz w:val="18"/>
                <w:szCs w:val="18"/>
                <w:b w:val="1"/>
                <w:bCs w:val="1"/>
                <w:color w:val="3C5896"/>
                <w:w w:val="89"/>
              </w:rPr>
            </w:pPr>
            <w:hyperlink w:anchor="page72">
              <w:r>
                <w:rPr>
                  <w:rFonts w:ascii="Arial" w:cs="Arial" w:eastAsia="Arial" w:hAnsi="Arial"/>
                  <w:sz w:val="18"/>
                  <w:szCs w:val="18"/>
                  <w:b w:val="1"/>
                  <w:bCs w:val="1"/>
                  <w:color w:val="3C5896"/>
                  <w:w w:val="89"/>
                </w:rPr>
                <w:t>69</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33"/>
        </w:trPr>
        <w:tc>
          <w:tcPr>
            <w:tcW w:w="9000" w:type="dxa"/>
            <w:vAlign w:val="bottom"/>
            <w:gridSpan w:val="18"/>
            <w:shd w:val="clear" w:color="auto" w:fill="CCEEFF"/>
          </w:tcPr>
          <w:p>
            <w:pPr>
              <w:spacing w:after="0"/>
              <w:rPr>
                <w:rFonts w:ascii="Arial" w:cs="Arial" w:eastAsia="Arial" w:hAnsi="Arial"/>
                <w:sz w:val="22"/>
                <w:szCs w:val="22"/>
                <w:b w:val="1"/>
                <w:bCs w:val="1"/>
                <w:color w:val="3C5896"/>
              </w:rPr>
            </w:pPr>
            <w:hyperlink w:anchor="page74">
              <w:r>
                <w:rPr>
                  <w:rFonts w:ascii="Arial" w:cs="Arial" w:eastAsia="Arial" w:hAnsi="Arial"/>
                  <w:sz w:val="22"/>
                  <w:szCs w:val="22"/>
                  <w:b w:val="1"/>
                  <w:bCs w:val="1"/>
                  <w:color w:val="3C5896"/>
                </w:rPr>
                <w:t>Appendix C—Proposed Amendments to the Certificate of Incorporation Eliminating</w:t>
              </w:r>
            </w:hyperlink>
          </w:p>
        </w:tc>
        <w:tc>
          <w:tcPr>
            <w:tcW w:w="200" w:type="dxa"/>
            <w:vAlign w:val="bottom"/>
            <w:shd w:val="clear" w:color="auto" w:fill="CCEEFF"/>
          </w:tcPr>
          <w:p>
            <w:pPr>
              <w:spacing w:after="0"/>
              <w:rPr>
                <w:sz w:val="24"/>
                <w:szCs w:val="24"/>
                <w:color w:val="auto"/>
              </w:rPr>
            </w:pPr>
          </w:p>
        </w:tc>
      </w:tr>
      <w:tr>
        <w:trPr>
          <w:trHeight w:val="241"/>
        </w:trPr>
        <w:tc>
          <w:tcPr>
            <w:tcW w:w="8460" w:type="dxa"/>
            <w:vAlign w:val="bottom"/>
            <w:tcBorders>
              <w:top w:val="single" w:sz="8" w:color="3C5896"/>
              <w:bottom w:val="single" w:sz="8" w:color="CCEEFF"/>
            </w:tcBorders>
            <w:gridSpan w:val="17"/>
            <w:shd w:val="clear" w:color="auto" w:fill="CCEEFF"/>
          </w:tcPr>
          <w:p>
            <w:pPr>
              <w:spacing w:after="0" w:line="183" w:lineRule="exact"/>
              <w:rPr>
                <w:rFonts w:ascii="Arial" w:cs="Arial" w:eastAsia="Arial" w:hAnsi="Arial"/>
                <w:sz w:val="21"/>
                <w:szCs w:val="21"/>
                <w:b w:val="1"/>
                <w:bCs w:val="1"/>
                <w:color w:val="3C5896"/>
              </w:rPr>
            </w:pPr>
            <w:hyperlink w:anchor="page74">
              <w:r>
                <w:rPr>
                  <w:rFonts w:ascii="Arial" w:cs="Arial" w:eastAsia="Arial" w:hAnsi="Arial"/>
                  <w:sz w:val="21"/>
                  <w:szCs w:val="21"/>
                  <w:b w:val="1"/>
                  <w:bCs w:val="1"/>
                  <w:color w:val="3C5896"/>
                </w:rPr>
                <w:t>Supermajority Voting Standards and Other Obsolete Provisions</w:t>
              </w:r>
            </w:hyperlink>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3C5896"/>
            </w:tcBorders>
            <w:shd w:val="clear" w:color="auto" w:fill="CCEEFF"/>
          </w:tcPr>
          <w:p>
            <w:pPr>
              <w:jc w:val="right"/>
              <w:spacing w:after="0" w:line="182" w:lineRule="exact"/>
              <w:rPr>
                <w:rFonts w:ascii="Arial" w:cs="Arial" w:eastAsia="Arial" w:hAnsi="Arial"/>
                <w:sz w:val="18"/>
                <w:szCs w:val="18"/>
                <w:b w:val="1"/>
                <w:bCs w:val="1"/>
                <w:color w:val="3C5896"/>
                <w:w w:val="89"/>
              </w:rPr>
            </w:pPr>
            <w:hyperlink w:anchor="page74">
              <w:r>
                <w:rPr>
                  <w:rFonts w:ascii="Arial" w:cs="Arial" w:eastAsia="Arial" w:hAnsi="Arial"/>
                  <w:sz w:val="18"/>
                  <w:szCs w:val="18"/>
                  <w:b w:val="1"/>
                  <w:bCs w:val="1"/>
                  <w:color w:val="3C5896"/>
                  <w:w w:val="89"/>
                </w:rPr>
                <w:t>71</w:t>
              </w:r>
            </w:hyperlink>
          </w:p>
        </w:tc>
      </w:tr>
      <w:tr>
        <w:trPr>
          <w:trHeight w:val="20"/>
        </w:trPr>
        <w:tc>
          <w:tcPr>
            <w:tcW w:w="320" w:type="dxa"/>
            <w:vAlign w:val="bottom"/>
            <w:tcBorders>
              <w:top w:val="single" w:sz="8" w:color="3C5896"/>
            </w:tcBorders>
            <w:shd w:val="clear" w:color="auto" w:fill="000000"/>
          </w:tcPr>
          <w:p>
            <w:pPr>
              <w:spacing w:after="0" w:line="20" w:lineRule="exact"/>
              <w:rPr>
                <w:sz w:val="1"/>
                <w:szCs w:val="1"/>
                <w:color w:val="auto"/>
              </w:rPr>
            </w:pPr>
          </w:p>
        </w:tc>
        <w:tc>
          <w:tcPr>
            <w:tcW w:w="1240" w:type="dxa"/>
            <w:vAlign w:val="bottom"/>
            <w:tcBorders>
              <w:top w:val="single" w:sz="8" w:color="3C5896"/>
            </w:tcBorders>
            <w:shd w:val="clear" w:color="auto" w:fill="000000"/>
          </w:tcPr>
          <w:p>
            <w:pPr>
              <w:spacing w:after="0" w:line="20" w:lineRule="exact"/>
              <w:rPr>
                <w:sz w:val="1"/>
                <w:szCs w:val="1"/>
                <w:color w:val="auto"/>
              </w:rPr>
            </w:pPr>
          </w:p>
        </w:tc>
        <w:tc>
          <w:tcPr>
            <w:tcW w:w="120" w:type="dxa"/>
            <w:vAlign w:val="bottom"/>
            <w:tcBorders>
              <w:top w:val="single" w:sz="8" w:color="3C5896"/>
            </w:tcBorders>
            <w:shd w:val="clear" w:color="auto" w:fill="000000"/>
          </w:tcPr>
          <w:p>
            <w:pPr>
              <w:spacing w:after="0" w:line="20" w:lineRule="exact"/>
              <w:rPr>
                <w:sz w:val="1"/>
                <w:szCs w:val="1"/>
                <w:color w:val="auto"/>
              </w:rPr>
            </w:pPr>
          </w:p>
        </w:tc>
        <w:tc>
          <w:tcPr>
            <w:tcW w:w="860" w:type="dxa"/>
            <w:vAlign w:val="bottom"/>
            <w:tcBorders>
              <w:top w:val="single" w:sz="8" w:color="3C5896"/>
            </w:tcBorders>
            <w:shd w:val="clear" w:color="auto" w:fill="000000"/>
          </w:tcPr>
          <w:p>
            <w:pPr>
              <w:spacing w:after="0" w:line="20" w:lineRule="exact"/>
              <w:rPr>
                <w:sz w:val="1"/>
                <w:szCs w:val="1"/>
                <w:color w:val="auto"/>
              </w:rPr>
            </w:pPr>
          </w:p>
        </w:tc>
        <w:tc>
          <w:tcPr>
            <w:tcW w:w="140" w:type="dxa"/>
            <w:vAlign w:val="bottom"/>
            <w:tcBorders>
              <w:top w:val="single" w:sz="8" w:color="3C5896"/>
            </w:tcBorders>
            <w:shd w:val="clear" w:color="auto" w:fill="000000"/>
          </w:tcPr>
          <w:p>
            <w:pPr>
              <w:spacing w:after="0" w:line="20" w:lineRule="exact"/>
              <w:rPr>
                <w:sz w:val="1"/>
                <w:szCs w:val="1"/>
                <w:color w:val="auto"/>
              </w:rPr>
            </w:pPr>
          </w:p>
        </w:tc>
        <w:tc>
          <w:tcPr>
            <w:tcW w:w="60" w:type="dxa"/>
            <w:vAlign w:val="bottom"/>
            <w:tcBorders>
              <w:top w:val="single" w:sz="8" w:color="3C5896"/>
            </w:tcBorders>
            <w:shd w:val="clear" w:color="auto" w:fill="000000"/>
          </w:tcPr>
          <w:p>
            <w:pPr>
              <w:spacing w:after="0" w:line="20" w:lineRule="exact"/>
              <w:rPr>
                <w:sz w:val="1"/>
                <w:szCs w:val="1"/>
                <w:color w:val="auto"/>
              </w:rPr>
            </w:pPr>
          </w:p>
        </w:tc>
        <w:tc>
          <w:tcPr>
            <w:tcW w:w="140" w:type="dxa"/>
            <w:vAlign w:val="bottom"/>
            <w:tcBorders>
              <w:top w:val="single" w:sz="8" w:color="3C5896"/>
            </w:tcBorders>
            <w:shd w:val="clear" w:color="auto" w:fill="000000"/>
          </w:tcPr>
          <w:p>
            <w:pPr>
              <w:spacing w:after="0" w:line="20" w:lineRule="exact"/>
              <w:rPr>
                <w:sz w:val="1"/>
                <w:szCs w:val="1"/>
                <w:color w:val="auto"/>
              </w:rPr>
            </w:pPr>
          </w:p>
        </w:tc>
        <w:tc>
          <w:tcPr>
            <w:tcW w:w="20" w:type="dxa"/>
            <w:vAlign w:val="bottom"/>
            <w:tcBorders>
              <w:top w:val="single" w:sz="8" w:color="3C5896"/>
            </w:tcBorders>
            <w:shd w:val="clear" w:color="auto" w:fill="000000"/>
          </w:tcPr>
          <w:p>
            <w:pPr>
              <w:spacing w:after="0" w:line="20" w:lineRule="exact"/>
              <w:rPr>
                <w:sz w:val="1"/>
                <w:szCs w:val="1"/>
                <w:color w:val="auto"/>
              </w:rPr>
            </w:pPr>
          </w:p>
        </w:tc>
        <w:tc>
          <w:tcPr>
            <w:tcW w:w="80" w:type="dxa"/>
            <w:vAlign w:val="bottom"/>
            <w:tcBorders>
              <w:top w:val="single" w:sz="8" w:color="3C5896"/>
            </w:tcBorders>
            <w:shd w:val="clear" w:color="auto" w:fill="000000"/>
          </w:tcPr>
          <w:p>
            <w:pPr>
              <w:spacing w:after="0" w:line="20" w:lineRule="exact"/>
              <w:rPr>
                <w:sz w:val="1"/>
                <w:szCs w:val="1"/>
                <w:color w:val="auto"/>
              </w:rPr>
            </w:pPr>
          </w:p>
        </w:tc>
        <w:tc>
          <w:tcPr>
            <w:tcW w:w="580" w:type="dxa"/>
            <w:vAlign w:val="bottom"/>
            <w:tcBorders>
              <w:top w:val="single" w:sz="8" w:color="3C5896"/>
            </w:tcBorders>
            <w:shd w:val="clear" w:color="auto" w:fill="000000"/>
          </w:tcPr>
          <w:p>
            <w:pPr>
              <w:spacing w:after="0" w:line="20" w:lineRule="exact"/>
              <w:rPr>
                <w:sz w:val="1"/>
                <w:szCs w:val="1"/>
                <w:color w:val="auto"/>
              </w:rPr>
            </w:pPr>
          </w:p>
        </w:tc>
        <w:tc>
          <w:tcPr>
            <w:tcW w:w="860" w:type="dxa"/>
            <w:vAlign w:val="bottom"/>
            <w:tcBorders>
              <w:top w:val="single" w:sz="8" w:color="3C5896"/>
            </w:tcBorders>
            <w:shd w:val="clear" w:color="auto" w:fill="000000"/>
          </w:tcPr>
          <w:p>
            <w:pPr>
              <w:spacing w:after="0" w:line="20" w:lineRule="exact"/>
              <w:rPr>
                <w:sz w:val="1"/>
                <w:szCs w:val="1"/>
                <w:color w:val="auto"/>
              </w:rPr>
            </w:pPr>
          </w:p>
        </w:tc>
        <w:tc>
          <w:tcPr>
            <w:tcW w:w="120" w:type="dxa"/>
            <w:vAlign w:val="bottom"/>
            <w:tcBorders>
              <w:top w:val="single" w:sz="8" w:color="3C5896"/>
            </w:tcBorders>
            <w:shd w:val="clear" w:color="auto" w:fill="000000"/>
          </w:tcPr>
          <w:p>
            <w:pPr>
              <w:spacing w:after="0" w:line="20" w:lineRule="exact"/>
              <w:rPr>
                <w:sz w:val="1"/>
                <w:szCs w:val="1"/>
                <w:color w:val="auto"/>
              </w:rPr>
            </w:pPr>
          </w:p>
        </w:tc>
        <w:tc>
          <w:tcPr>
            <w:tcW w:w="180" w:type="dxa"/>
            <w:vAlign w:val="bottom"/>
            <w:tcBorders>
              <w:top w:val="single" w:sz="8" w:color="3C5896"/>
            </w:tcBorders>
            <w:shd w:val="clear" w:color="auto" w:fill="000000"/>
          </w:tcPr>
          <w:p>
            <w:pPr>
              <w:spacing w:after="0" w:line="20" w:lineRule="exact"/>
              <w:rPr>
                <w:sz w:val="1"/>
                <w:szCs w:val="1"/>
                <w:color w:val="auto"/>
              </w:rPr>
            </w:pPr>
          </w:p>
        </w:tc>
        <w:tc>
          <w:tcPr>
            <w:tcW w:w="1160" w:type="dxa"/>
            <w:vAlign w:val="bottom"/>
            <w:tcBorders>
              <w:top w:val="single" w:sz="8" w:color="3C5896"/>
            </w:tcBorders>
            <w:shd w:val="clear" w:color="auto" w:fill="000000"/>
          </w:tcPr>
          <w:p>
            <w:pPr>
              <w:spacing w:after="0" w:line="20" w:lineRule="exact"/>
              <w:rPr>
                <w:sz w:val="1"/>
                <w:szCs w:val="1"/>
                <w:color w:val="auto"/>
              </w:rPr>
            </w:pPr>
          </w:p>
        </w:tc>
        <w:tc>
          <w:tcPr>
            <w:tcW w:w="580" w:type="dxa"/>
            <w:vAlign w:val="bottom"/>
            <w:tcBorders>
              <w:top w:val="single" w:sz="8" w:color="3C5896"/>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40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This proxy statement includes links to websites, which are provided solely for convenience purposes. The information on these websites is not, and will not be deemed to be, a part of this proxy statement or incorporated into any other Company filings with the Securities and Exchange Commission (the “SEC”).</w:t>
      </w:r>
    </w:p>
    <w:p>
      <w:pPr>
        <w:spacing w:after="0" w:line="6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i w:val="1"/>
          <w:iCs w:val="1"/>
          <w:color w:val="auto"/>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below in the “Risk Factors Summary,” in Part I. Item 1A. “Risk Factors” in our Annual Report on Form 10-K for the year ended January 2, 2021 (the “2020 10-K”) and those described from time to time in our future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ii  </w:t>
      </w:r>
      <w:r>
        <w:rPr>
          <w:sz w:val="1"/>
          <w:szCs w:val="1"/>
          <w:color w:val="auto"/>
        </w:rPr>
        <w:drawing>
          <wp:inline distT="0" distB="0" distL="0" distR="0">
            <wp:extent cx="29972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FFFFFF"/>
        </w:rPr>
        <w:t>LETTER TO STOCKHOLDERS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Dear Stockholders:</w:t>
      </w:r>
    </w:p>
    <w:p>
      <w:pPr>
        <w:spacing w:after="0" w:line="140"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We are pleased to invite you to attend the National Vision Holdings, Inc. 2021 Annual Meeting of Stockholders on Tuesday, June 8, 2021, at 1:00 p.m., Eastern Time. Due to the continued concerns related to the coronavirus (COVID-19) pandemic, this year we will be holding a virtual Annual Meeting, as described further below.</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Year In Review</w:t>
      </w:r>
    </w:p>
    <w:p>
      <w:pPr>
        <w:spacing w:after="0" w:line="140" w:lineRule="exact"/>
        <w:rPr>
          <w:sz w:val="20"/>
          <w:szCs w:val="20"/>
          <w:color w:val="auto"/>
        </w:rPr>
      </w:pPr>
    </w:p>
    <w:p>
      <w:pPr>
        <w:jc w:val="both"/>
        <w:ind w:left="760" w:right="760"/>
        <w:spacing w:after="0" w:line="267" w:lineRule="auto"/>
        <w:rPr>
          <w:sz w:val="20"/>
          <w:szCs w:val="20"/>
          <w:color w:val="auto"/>
        </w:rPr>
      </w:pPr>
      <w:r>
        <w:rPr>
          <w:rFonts w:ascii="Arial" w:cs="Arial" w:eastAsia="Arial" w:hAnsi="Arial"/>
          <w:sz w:val="17"/>
          <w:szCs w:val="17"/>
          <w:color w:val="auto"/>
        </w:rPr>
        <w:t>2020 was a year like none other in our Company’s history—filled with uncertainty and unprecedented challenges on a global scale. National Vision has been resilient in difficult times, including economic crises, and we are proud of the actions we took in order to navigate the pandemic. Last March, as we realized the significance of COVID-19, we placed the highest priority on the health and safety of our associates, doctors, patients and customers as well as the local communities we operate in by temporarily closing our stores to the public in order to implement enhanced safety protocols. Our management team and our Board of Directors also acted swiftly to preserve cash, implement certain operational and cost-cutting initiatives, and proactively took steps to strengthen our liquidity position. Most importantly, our associates and doctors met every challenge that came their way in 2020 and we are grateful for their hard work and dedication. Despite the extraordinary circumstances in 2020, we delivered double-digit growth in the second half of the year, as well as an increase in our overall store count by 4.7%, ending the year with 1,205 stores. We believe 2020 was ultimately successful and we are well positioned to capitalize on future opportunities.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Our Commitment to Corporate Responsibility</w:t>
      </w:r>
    </w:p>
    <w:p>
      <w:pPr>
        <w:spacing w:after="0" w:line="140"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We have a strong mission-focused culture where we believe everyone deserves to see their best to live their best. We are striving to build upon this culture and approach environmental, social and governance (ESG) topics, which we refer to as Corporate Responsibility, from a broad perspective. In 2020, we published our first Impact Report, focusing on our philanthropic efforts, and we began the process of developing a formal Corporate Responsibility strategy, including conducting a materiality assessment to identify our priority areas of focus, along with gaps and opportunities for us to address. We are continuing our efforts by defining our internal Corporate Responsibility governance structure, including Board and executive officer oversight, and creating our strategic framework to manage our Corporate Responsibility efforts and reporting metrics. We look forward to reporting our continued progress on our website’s newly launched Corporate Responsibility page.</w:t>
      </w:r>
    </w:p>
    <w:p>
      <w:pPr>
        <w:spacing w:after="0" w:line="131"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Corporate Responsibility includes our commitment to responsible corporate governance. Our Board of Directors is comprised of a group of industry-leading experts with diverse genders, ethnicities, experiences and backgrounds, who oversee the Company’s strategy and drive long-term value for our stockholders. A majority of our eight independent directors identify as diverse, with four women and two directors of racial/ethnic diversity. We are proud that our Board reflects the diversity of our associates and customers in that way.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32"/>
          <w:szCs w:val="32"/>
          <w:color w:val="auto"/>
        </w:rPr>
        <w:t>Looking Ahead</w:t>
      </w:r>
    </w:p>
    <w:p>
      <w:pPr>
        <w:spacing w:after="0" w:line="127"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As we move into 2021, the safety and health of our associates, doctors, patients, and customers remains our highest priority as we continue to navigate the pandemic and provide reliable and quality low cost eye care and eyewear to our patients and customers. Despite the uncertainty created by the pandemic and the related volatility in the global economy, we remain focused on delivering value for you, our stockholders, over the long term.</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Our 2021 Annual Meeting:</w:t>
      </w:r>
    </w:p>
    <w:p>
      <w:pPr>
        <w:spacing w:after="0" w:line="127"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Whether you own a few shares or many, and whether or not you plan to attend the virtual Annual Meeting, your vote is important to us. We encourage you to review the proxy materials and submit your vote today. While this year’s meeting will be virtual, all stockholders will be afforded the same rights they would have had at a physical meeting. Detailed information concerning the Annual Meeting is set forth in the Notice of Annual Meeting of Stockholders, Notice of Internet Availability of Proxy Materials and proxy statement, which describe the business to be conducted at the meeting. Whether or not you plan to attend, it is important that your shares be represented and voted during the meeting. Instructions for voting your shares are set forth in the proxy statement as well as in the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225425</wp:posOffset>
            </wp:positionV>
            <wp:extent cx="2997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7440"/>
              <w:spacing w:after="0"/>
              <w:rPr>
                <w:sz w:val="20"/>
                <w:szCs w:val="20"/>
                <w:color w:val="auto"/>
              </w:rPr>
            </w:pPr>
            <w:r>
              <w:rPr>
                <w:rFonts w:ascii="Arial" w:cs="Arial" w:eastAsia="Arial" w:hAnsi="Arial"/>
                <w:sz w:val="16"/>
                <w:szCs w:val="16"/>
                <w:color w:val="auto"/>
              </w:rPr>
              <w:t>2021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r>
      <w:tr>
        <w:trPr>
          <w:trHeight w:val="432"/>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LETTER TO STOCKHOLDERS</w:t>
      </w:r>
    </w:p>
    <w:p>
      <w:pPr>
        <w:spacing w:after="0" w:line="24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Availability of Proxy Materials you received in the mail. The Notice of Internet Availability of Proxy Materials, the proxy statement, and the enclosed proxy card and annual report are first being sent to stockholders on or about April 30, 2021.</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126365</wp:posOffset>
            </wp:positionV>
            <wp:extent cx="4577715" cy="55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7715" cy="55689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Randolph Peeler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740" w:space="720"/>
            <w:col w:w="4500"/>
          </w:cols>
          <w:pgMar w:left="580" w:top="131" w:right="1359" w:bottom="1440" w:gutter="0" w:footer="0" w:header="0"/>
          <w:type w:val="continuous"/>
        </w:sectPr>
      </w:pPr>
    </w:p>
    <w:p>
      <w:pPr>
        <w:spacing w:after="0" w:line="3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April 30, 2021</w:t>
      </w:r>
    </w:p>
    <w:p>
      <w:pPr>
        <w:sectPr>
          <w:pgSz w:w="11900" w:h="16838" w:orient="portrait"/>
          <w:cols w:equalWidth="0" w:num="1">
            <w:col w:w="9960"/>
          </w:cols>
          <w:pgMar w:left="580" w:top="131"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  </w:t>
      </w:r>
      <w:r>
        <w:rPr>
          <w:sz w:val="1"/>
          <w:szCs w:val="1"/>
          <w:color w:val="auto"/>
        </w:rPr>
        <w:drawing>
          <wp:inline distT="0" distB="0" distL="0" distR="0">
            <wp:extent cx="299720" cy="2400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253"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22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6960" w:type="dxa"/>
            <w:vAlign w:val="bottom"/>
            <w:gridSpan w:val="2"/>
          </w:tcPr>
          <w:p>
            <w:pPr>
              <w:spacing w:after="0"/>
              <w:rPr>
                <w:sz w:val="20"/>
                <w:szCs w:val="20"/>
                <w:color w:val="auto"/>
              </w:rPr>
            </w:pPr>
            <w:r>
              <w:rPr>
                <w:rFonts w:ascii="Arial" w:cs="Arial" w:eastAsia="Arial" w:hAnsi="Arial"/>
                <w:sz w:val="18"/>
                <w:szCs w:val="18"/>
                <w:color w:val="auto"/>
              </w:rPr>
              <w:t>1:00 p.m., Eastern Time, on Tuesday, June 8, 2021</w:t>
            </w:r>
          </w:p>
        </w:tc>
      </w:tr>
      <w:tr>
        <w:trPr>
          <w:trHeight w:val="288"/>
        </w:trPr>
        <w:tc>
          <w:tcPr>
            <w:tcW w:w="2220" w:type="dxa"/>
            <w:vAlign w:val="bottom"/>
          </w:tcPr>
          <w:p>
            <w:pPr>
              <w:spacing w:after="0"/>
              <w:rPr>
                <w:sz w:val="20"/>
                <w:szCs w:val="20"/>
                <w:color w:val="auto"/>
              </w:rPr>
            </w:pPr>
            <w:r>
              <w:rPr>
                <w:rFonts w:ascii="Arial" w:cs="Arial" w:eastAsia="Arial" w:hAnsi="Arial"/>
                <w:sz w:val="18"/>
                <w:szCs w:val="18"/>
                <w:b w:val="1"/>
                <w:bCs w:val="1"/>
                <w:color w:val="auto"/>
              </w:rPr>
              <w:t>VIRTUAL MEETING</w:t>
            </w:r>
          </w:p>
        </w:tc>
        <w:tc>
          <w:tcPr>
            <w:tcW w:w="6960" w:type="dxa"/>
            <w:vAlign w:val="bottom"/>
            <w:gridSpan w:val="2"/>
          </w:tcPr>
          <w:p>
            <w:pPr>
              <w:spacing w:after="0"/>
              <w:rPr>
                <w:sz w:val="20"/>
                <w:szCs w:val="20"/>
                <w:color w:val="auto"/>
              </w:rPr>
            </w:pPr>
            <w:r>
              <w:rPr>
                <w:rFonts w:ascii="Arial" w:cs="Arial" w:eastAsia="Arial" w:hAnsi="Arial"/>
                <w:sz w:val="18"/>
                <w:szCs w:val="18"/>
                <w:color w:val="auto"/>
              </w:rPr>
              <w:t>The virtual Annual Meeting will be held exclusively online at</w:t>
            </w:r>
          </w:p>
        </w:tc>
      </w:tr>
      <w:tr>
        <w:trPr>
          <w:trHeight w:val="198"/>
        </w:trPr>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INFORMATION</w:t>
            </w:r>
          </w:p>
        </w:tc>
        <w:tc>
          <w:tcPr>
            <w:tcW w:w="6960" w:type="dxa"/>
            <w:vAlign w:val="bottom"/>
            <w:gridSpan w:val="2"/>
          </w:tcPr>
          <w:p>
            <w:pPr>
              <w:spacing w:after="0" w:line="198" w:lineRule="exact"/>
              <w:rPr>
                <w:sz w:val="20"/>
                <w:szCs w:val="20"/>
                <w:color w:val="auto"/>
              </w:rPr>
            </w:pPr>
            <w:r>
              <w:rPr>
                <w:rFonts w:ascii="Arial" w:cs="Arial" w:eastAsia="Arial" w:hAnsi="Arial"/>
                <w:sz w:val="18"/>
                <w:szCs w:val="18"/>
                <w:color w:val="auto"/>
                <w:w w:val="99"/>
              </w:rPr>
              <w:t>http://www.meetingcenter.io/208004347. You will be able to attend and participate in the</w:t>
            </w:r>
          </w:p>
        </w:tc>
      </w:tr>
      <w:tr>
        <w:trPr>
          <w:trHeight w:val="20"/>
        </w:trPr>
        <w:tc>
          <w:tcPr>
            <w:tcW w:w="22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36"/>
        </w:trPr>
        <w:tc>
          <w:tcPr>
            <w:tcW w:w="222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Annual Meeting online, vote your shares electronically and submit questions to be</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addressed during the meeting. There is no physical location for the meeting. To attend</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meeting, please visit the meeting website and enter your control number and then</w:t>
            </w:r>
          </w:p>
        </w:tc>
      </w:tr>
      <w:tr>
        <w:trPr>
          <w:trHeight w:val="217"/>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password EYE2021.</w:t>
            </w:r>
          </w:p>
        </w:tc>
      </w:tr>
      <w:tr>
        <w:trPr>
          <w:trHeight w:val="323"/>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9"/>
              </w:rPr>
              <w:t>We are excited to embrace the latest technology to provide expanded access, improved</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9"/>
              </w:rPr>
              <w:t>communication and cost savings for our stockholders and the Company. Thus, it is very</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important that you retain your Notice, proxy card and related materials, including your</w:t>
            </w:r>
          </w:p>
        </w:tc>
      </w:tr>
      <w:tr>
        <w:trPr>
          <w:trHeight w:val="217"/>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control number, through the date of the Annual Meeting.</w:t>
            </w:r>
          </w:p>
        </w:tc>
      </w:tr>
      <w:tr>
        <w:trPr>
          <w:trHeight w:val="337"/>
        </w:trPr>
        <w:tc>
          <w:tcPr>
            <w:tcW w:w="22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960" w:type="dxa"/>
            <w:vAlign w:val="bottom"/>
            <w:gridSpan w:val="2"/>
          </w:tcPr>
          <w:p>
            <w:pPr>
              <w:spacing w:after="0"/>
              <w:rPr>
                <w:sz w:val="20"/>
                <w:szCs w:val="20"/>
                <w:color w:val="auto"/>
              </w:rPr>
            </w:pPr>
            <w:r>
              <w:rPr>
                <w:rFonts w:ascii="Arial" w:cs="Arial" w:eastAsia="Arial" w:hAnsi="Arial"/>
                <w:sz w:val="18"/>
                <w:szCs w:val="18"/>
                <w:color w:val="auto"/>
              </w:rPr>
              <w:t>1.  To elect the Class I director nominees listed in the Proxy Statement.</w:t>
            </w:r>
          </w:p>
        </w:tc>
      </w:tr>
      <w:tr>
        <w:trPr>
          <w:trHeight w:val="310"/>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2.  To approve an amendment to the second amended and restated certificate of</w:t>
            </w:r>
          </w:p>
        </w:tc>
      </w:tr>
      <w:tr>
        <w:trPr>
          <w:trHeight w:val="217"/>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incorporation to eliminate the classified structure of the board of directors.</w:t>
            </w:r>
          </w:p>
        </w:tc>
      </w:tr>
      <w:tr>
        <w:trPr>
          <w:trHeight w:val="323"/>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3.  To approve an amendment to the second amended and restated certificate of</w:t>
            </w:r>
          </w:p>
        </w:tc>
      </w:tr>
      <w:tr>
        <w:trPr>
          <w:trHeight w:val="216"/>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incorporation to eliminate supermajority voting standards and other obsolete</w:t>
            </w:r>
          </w:p>
        </w:tc>
      </w:tr>
      <w:tr>
        <w:trPr>
          <w:trHeight w:val="217"/>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provisions.</w:t>
            </w:r>
          </w:p>
        </w:tc>
      </w:tr>
      <w:tr>
        <w:trPr>
          <w:trHeight w:val="323"/>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4.  To approve, in a non-binding advisory vote, the compensation paid to the named</w:t>
            </w:r>
          </w:p>
        </w:tc>
      </w:tr>
      <w:tr>
        <w:trPr>
          <w:trHeight w:val="217"/>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executive officers.</w:t>
            </w:r>
          </w:p>
        </w:tc>
      </w:tr>
      <w:tr>
        <w:trPr>
          <w:trHeight w:val="323"/>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5.  To ratify the appointment of Deloitte &amp; Touche LLP as our independent registered</w:t>
            </w:r>
          </w:p>
        </w:tc>
      </w:tr>
      <w:tr>
        <w:trPr>
          <w:trHeight w:val="217"/>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public accounting firm for fiscal 2021.</w:t>
            </w:r>
          </w:p>
        </w:tc>
      </w:tr>
      <w:tr>
        <w:trPr>
          <w:trHeight w:val="323"/>
        </w:trPr>
        <w:tc>
          <w:tcPr>
            <w:tcW w:w="22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6.  To consider such other business as may properly come before the Annual Meeting</w:t>
            </w:r>
          </w:p>
        </w:tc>
      </w:tr>
      <w:tr>
        <w:trPr>
          <w:trHeight w:val="217"/>
        </w:trPr>
        <w:tc>
          <w:tcPr>
            <w:tcW w:w="2220" w:type="dxa"/>
            <w:vAlign w:val="bottom"/>
          </w:tcPr>
          <w:p>
            <w:pPr>
              <w:spacing w:after="0"/>
              <w:rPr>
                <w:sz w:val="18"/>
                <w:szCs w:val="18"/>
                <w:color w:val="auto"/>
              </w:rPr>
            </w:pPr>
          </w:p>
        </w:tc>
        <w:tc>
          <w:tcPr>
            <w:tcW w:w="6960" w:type="dxa"/>
            <w:vAlign w:val="bottom"/>
            <w:gridSpan w:val="2"/>
          </w:tcPr>
          <w:p>
            <w:pPr>
              <w:ind w:left="360"/>
              <w:spacing w:after="0"/>
              <w:rPr>
                <w:sz w:val="20"/>
                <w:szCs w:val="20"/>
                <w:color w:val="auto"/>
              </w:rPr>
            </w:pPr>
            <w:r>
              <w:rPr>
                <w:rFonts w:ascii="Arial" w:cs="Arial" w:eastAsia="Arial" w:hAnsi="Arial"/>
                <w:sz w:val="18"/>
                <w:szCs w:val="18"/>
                <w:color w:val="auto"/>
              </w:rPr>
              <w:t>and any adjournments or postponements thereof.</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6960" w:type="dxa"/>
            <w:vAlign w:val="bottom"/>
            <w:gridSpan w:val="2"/>
          </w:tcPr>
          <w:p>
            <w:pPr>
              <w:spacing w:after="0"/>
              <w:rPr>
                <w:sz w:val="20"/>
                <w:szCs w:val="20"/>
                <w:color w:val="auto"/>
              </w:rPr>
            </w:pPr>
            <w:r>
              <w:rPr>
                <w:rFonts w:ascii="Arial" w:cs="Arial" w:eastAsia="Arial" w:hAnsi="Arial"/>
                <w:sz w:val="18"/>
                <w:szCs w:val="18"/>
                <w:color w:val="auto"/>
              </w:rPr>
              <w:t>You may vote at the Annual Meeting if you were a stockholder of record at the close of</w:t>
            </w:r>
          </w:p>
        </w:tc>
      </w:tr>
      <w:tr>
        <w:trPr>
          <w:trHeight w:val="217"/>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business on April 15, 2021.</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6960" w:type="dxa"/>
            <w:vAlign w:val="bottom"/>
            <w:gridSpan w:val="2"/>
          </w:tcPr>
          <w:p>
            <w:pPr>
              <w:spacing w:after="0"/>
              <w:rPr>
                <w:sz w:val="20"/>
                <w:szCs w:val="20"/>
                <w:color w:val="auto"/>
              </w:rPr>
            </w:pPr>
            <w:r>
              <w:rPr>
                <w:rFonts w:ascii="Arial" w:cs="Arial" w:eastAsia="Arial" w:hAnsi="Arial"/>
                <w:sz w:val="18"/>
                <w:szCs w:val="18"/>
                <w:color w:val="auto"/>
              </w:rPr>
              <w:t>You may vote your shares on the Internet, by telephone or by completing, signing and</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9"/>
              </w:rPr>
              <w:t>promptly returning a proxy card or you may attend the Annual Meeting online, vote your</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shares and submit questions during the live meeting by visiting</w:t>
            </w:r>
          </w:p>
        </w:tc>
      </w:tr>
      <w:tr>
        <w:trPr>
          <w:trHeight w:val="176"/>
        </w:trPr>
        <w:tc>
          <w:tcPr>
            <w:tcW w:w="2220" w:type="dxa"/>
            <w:vAlign w:val="bottom"/>
          </w:tcPr>
          <w:p>
            <w:pPr>
              <w:spacing w:after="0"/>
              <w:rPr>
                <w:sz w:val="15"/>
                <w:szCs w:val="15"/>
                <w:color w:val="auto"/>
              </w:rPr>
            </w:pPr>
          </w:p>
        </w:tc>
        <w:tc>
          <w:tcPr>
            <w:tcW w:w="6960" w:type="dxa"/>
            <w:vAlign w:val="bottom"/>
            <w:gridSpan w:val="2"/>
          </w:tcPr>
          <w:p>
            <w:pPr>
              <w:spacing w:after="0" w:line="176" w:lineRule="exact"/>
              <w:rPr>
                <w:sz w:val="20"/>
                <w:szCs w:val="20"/>
                <w:color w:val="auto"/>
              </w:rPr>
            </w:pPr>
            <w:r>
              <w:rPr>
                <w:rFonts w:ascii="Arial" w:cs="Arial" w:eastAsia="Arial" w:hAnsi="Arial"/>
                <w:sz w:val="18"/>
                <w:szCs w:val="18"/>
                <w:color w:val="auto"/>
              </w:rPr>
              <w:t>http://www.meetingcenter.io/208004347. Voting online, by telephone or by returning</w:t>
            </w:r>
          </w:p>
        </w:tc>
      </w:tr>
      <w:tr>
        <w:trPr>
          <w:trHeight w:val="20"/>
        </w:trPr>
        <w:tc>
          <w:tcPr>
            <w:tcW w:w="22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36"/>
        </w:trPr>
        <w:tc>
          <w:tcPr>
            <w:tcW w:w="222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your proxy card does not deprive you of your right to attend the Annual Meeting online.</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If you do attend the Annual Meeting online and wish to vote your shares online during</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the Annual Meeting, you may do so and such vote will supersede any prior vote</w:t>
            </w:r>
          </w:p>
        </w:tc>
      </w:tr>
      <w:tr>
        <w:trPr>
          <w:trHeight w:val="216"/>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recorded. Voting procedures are described on the following page and on the Notice of</w:t>
            </w:r>
          </w:p>
        </w:tc>
      </w:tr>
      <w:tr>
        <w:trPr>
          <w:trHeight w:val="217"/>
        </w:trPr>
        <w:tc>
          <w:tcPr>
            <w:tcW w:w="2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Internet Availability of Proxy Materials and the proxy card.</w:t>
            </w:r>
          </w:p>
        </w:tc>
      </w:tr>
      <w:tr>
        <w:trPr>
          <w:trHeight w:val="391"/>
        </w:trPr>
        <w:tc>
          <w:tcPr>
            <w:tcW w:w="2220" w:type="dxa"/>
            <w:vAlign w:val="bottom"/>
          </w:tcPr>
          <w:p>
            <w:pPr>
              <w:spacing w:after="0"/>
              <w:rPr>
                <w:sz w:val="24"/>
                <w:szCs w:val="24"/>
                <w:color w:val="auto"/>
              </w:rPr>
            </w:pPr>
          </w:p>
        </w:tc>
        <w:tc>
          <w:tcPr>
            <w:tcW w:w="6960" w:type="dxa"/>
            <w:vAlign w:val="bottom"/>
            <w:gridSpan w:val="2"/>
          </w:tcPr>
          <w:p>
            <w:pPr>
              <w:ind w:left="2460"/>
              <w:spacing w:after="0"/>
              <w:rPr>
                <w:sz w:val="20"/>
                <w:szCs w:val="20"/>
                <w:color w:val="auto"/>
              </w:rPr>
            </w:pPr>
            <w:r>
              <w:rPr>
                <w:rFonts w:ascii="Arial" w:cs="Arial" w:eastAsia="Arial" w:hAnsi="Arial"/>
                <w:sz w:val="18"/>
                <w:szCs w:val="18"/>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93980</wp:posOffset>
            </wp:positionV>
            <wp:extent cx="1440180" cy="625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Jared Brandman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74930</wp:posOffset>
            </wp:positionV>
            <wp:extent cx="5837555"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7555" cy="480060"/>
                    </a:xfrm>
                    <a:prstGeom prst="rect">
                      <a:avLst/>
                    </a:prstGeom>
                    <a:noFill/>
                  </pic:spPr>
                </pic:pic>
              </a:graphicData>
            </a:graphic>
          </wp:anchor>
        </w:drawing>
      </w:r>
    </w:p>
    <w:p>
      <w:pPr>
        <w:spacing w:after="0" w:line="157" w:lineRule="exact"/>
        <w:rPr>
          <w:sz w:val="20"/>
          <w:szCs w:val="20"/>
          <w:color w:val="auto"/>
        </w:rPr>
      </w:pPr>
    </w:p>
    <w:p>
      <w:pPr>
        <w:jc w:val="center"/>
        <w:spacing w:after="0" w:line="265" w:lineRule="auto"/>
        <w:rPr>
          <w:sz w:val="20"/>
          <w:szCs w:val="20"/>
          <w:color w:val="auto"/>
        </w:rPr>
      </w:pPr>
      <w:r>
        <w:rPr>
          <w:rFonts w:ascii="Arial" w:cs="Arial" w:eastAsia="Arial" w:hAnsi="Arial"/>
          <w:sz w:val="15"/>
          <w:szCs w:val="15"/>
          <w:b w:val="1"/>
          <w:bCs w:val="1"/>
          <w:i w:val="1"/>
          <w:iCs w:val="1"/>
          <w:color w:val="auto"/>
        </w:rPr>
        <w:t xml:space="preserve">Important Notice Regarding the Availability of Proxy Materials for the Stockholder Meeting to Be Held on Tuesday, June 8, 2021: This Proxy Statement and our Annual Report are available free of charge at </w:t>
      </w:r>
      <w:r>
        <w:rPr>
          <w:rFonts w:ascii="Arial" w:cs="Arial" w:eastAsia="Arial" w:hAnsi="Arial"/>
          <w:sz w:val="15"/>
          <w:szCs w:val="15"/>
          <w:b w:val="1"/>
          <w:bCs w:val="1"/>
          <w:i w:val="1"/>
          <w:iCs w:val="1"/>
          <w:u w:val="single" w:color="auto"/>
          <w:color w:val="auto"/>
        </w:rPr>
        <w:t>www.edocumentview.com/EYE</w:t>
      </w:r>
      <w:r>
        <w:rPr>
          <w:rFonts w:ascii="Arial" w:cs="Arial" w:eastAsia="Arial" w:hAnsi="Arial"/>
          <w:sz w:val="15"/>
          <w:szCs w:val="15"/>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302260</wp:posOffset>
            </wp:positionV>
            <wp:extent cx="2997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7440"/>
              <w:spacing w:after="0"/>
              <w:rPr>
                <w:sz w:val="20"/>
                <w:szCs w:val="20"/>
                <w:color w:val="auto"/>
              </w:rPr>
            </w:pPr>
            <w:r>
              <w:rPr>
                <w:rFonts w:ascii="Arial" w:cs="Arial" w:eastAsia="Arial" w:hAnsi="Arial"/>
                <w:sz w:val="16"/>
                <w:szCs w:val="16"/>
                <w:color w:val="auto"/>
              </w:rPr>
              <w:t>2021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3</w:t>
            </w:r>
          </w:p>
        </w:tc>
      </w:tr>
      <w:tr>
        <w:trPr>
          <w:trHeight w:val="431"/>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 SUMMARY</w:t>
      </w:r>
    </w:p>
    <w:p>
      <w:pPr>
        <w:spacing w:after="0" w:line="140"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We are providing this proxy statement to you in connection with the solicitation of proxies by the Board of Directors (the “Board of Directors” or the “Board”) of National Vision Holdings, Inc. (the “Company”) for the 2021 Annual Meeting of Stockholders (the “Annual Meeting”) and for any adjournment or postponement of the Annual Meeting. This summary highlights information contained elsewhere in this proxy statement. This summary does not contain all the information you should consider, and you should read the entire proxy statement carefully before voting.</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9"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284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Date &amp; Time</w:t>
            </w:r>
          </w:p>
        </w:tc>
        <w:tc>
          <w:tcPr>
            <w:tcW w:w="120" w:type="dxa"/>
            <w:vAlign w:val="bottom"/>
            <w:tcBorders>
              <w:top w:val="single" w:sz="8" w:color="3C5896"/>
            </w:tcBorders>
            <w:shd w:val="clear" w:color="auto" w:fill="3C5896"/>
          </w:tcPr>
          <w:p>
            <w:pPr>
              <w:spacing w:after="0"/>
              <w:rPr>
                <w:sz w:val="24"/>
                <w:szCs w:val="24"/>
                <w:color w:val="auto"/>
              </w:rPr>
            </w:pPr>
          </w:p>
        </w:tc>
        <w:tc>
          <w:tcPr>
            <w:tcW w:w="3280" w:type="dxa"/>
            <w:vAlign w:val="bottom"/>
            <w:tcBorders>
              <w:top w:val="single" w:sz="8" w:color="3C5896"/>
              <w:right w:val="single" w:sz="8" w:color="9EACCA"/>
            </w:tcBorders>
            <w:gridSpan w:val="2"/>
            <w:shd w:val="clear" w:color="auto" w:fill="3C5896"/>
          </w:tcPr>
          <w:p>
            <w:pPr>
              <w:jc w:val="center"/>
              <w:ind w:right="140"/>
              <w:spacing w:after="0"/>
              <w:rPr>
                <w:sz w:val="20"/>
                <w:szCs w:val="20"/>
                <w:color w:val="auto"/>
              </w:rPr>
            </w:pPr>
            <w:r>
              <w:rPr>
                <w:rFonts w:ascii="Arial" w:cs="Arial" w:eastAsia="Arial" w:hAnsi="Arial"/>
                <w:sz w:val="18"/>
                <w:szCs w:val="18"/>
                <w:b w:val="1"/>
                <w:bCs w:val="1"/>
                <w:color w:val="FFFFFF"/>
                <w:w w:val="98"/>
              </w:rPr>
              <w:t>Location</w:t>
            </w:r>
          </w:p>
        </w:tc>
        <w:tc>
          <w:tcPr>
            <w:tcW w:w="80" w:type="dxa"/>
            <w:vAlign w:val="bottom"/>
            <w:tcBorders>
              <w:top w:val="single" w:sz="8" w:color="3C5896"/>
            </w:tcBorders>
            <w:shd w:val="clear" w:color="auto" w:fill="3C5896"/>
          </w:tcPr>
          <w:p>
            <w:pPr>
              <w:spacing w:after="0"/>
              <w:rPr>
                <w:sz w:val="24"/>
                <w:szCs w:val="24"/>
                <w:color w:val="auto"/>
              </w:rPr>
            </w:pPr>
          </w:p>
        </w:tc>
        <w:tc>
          <w:tcPr>
            <w:tcW w:w="2820" w:type="dxa"/>
            <w:vAlign w:val="bottom"/>
            <w:tcBorders>
              <w:top w:val="single" w:sz="8" w:color="3C5896"/>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Record Date</w:t>
            </w:r>
          </w:p>
        </w:tc>
      </w:tr>
      <w:tr>
        <w:trPr>
          <w:trHeight w:val="229"/>
        </w:trPr>
        <w:tc>
          <w:tcPr>
            <w:tcW w:w="60" w:type="dxa"/>
            <w:vAlign w:val="bottom"/>
            <w:tcBorders>
              <w:left w:val="single" w:sz="8" w:color="3C5896"/>
            </w:tcBorders>
          </w:tcPr>
          <w:p>
            <w:pPr>
              <w:spacing w:after="0"/>
              <w:rPr>
                <w:sz w:val="19"/>
                <w:szCs w:val="19"/>
                <w:color w:val="auto"/>
              </w:rPr>
            </w:pPr>
          </w:p>
        </w:tc>
        <w:tc>
          <w:tcPr>
            <w:tcW w:w="2840" w:type="dxa"/>
            <w:vAlign w:val="bottom"/>
            <w:tcBorders>
              <w:right w:val="single" w:sz="8" w:color="9EACCA"/>
            </w:tcBorders>
          </w:tcPr>
          <w:p>
            <w:pPr>
              <w:ind w:left="820"/>
              <w:spacing w:after="0"/>
              <w:rPr>
                <w:sz w:val="20"/>
                <w:szCs w:val="20"/>
                <w:color w:val="auto"/>
              </w:rPr>
            </w:pPr>
            <w:r>
              <w:rPr>
                <w:rFonts w:ascii="Arial" w:cs="Arial" w:eastAsia="Arial" w:hAnsi="Arial"/>
                <w:sz w:val="18"/>
                <w:szCs w:val="18"/>
                <w:color w:val="auto"/>
              </w:rPr>
              <w:t>June 8, 2021</w:t>
            </w:r>
          </w:p>
        </w:tc>
        <w:tc>
          <w:tcPr>
            <w:tcW w:w="120" w:type="dxa"/>
            <w:vAlign w:val="bottom"/>
          </w:tcPr>
          <w:p>
            <w:pPr>
              <w:spacing w:after="0"/>
              <w:rPr>
                <w:sz w:val="19"/>
                <w:szCs w:val="19"/>
                <w:color w:val="auto"/>
              </w:rPr>
            </w:pPr>
          </w:p>
        </w:tc>
        <w:tc>
          <w:tcPr>
            <w:tcW w:w="3280" w:type="dxa"/>
            <w:vAlign w:val="bottom"/>
            <w:tcBorders>
              <w:right w:val="single" w:sz="8" w:color="9EACCA"/>
            </w:tcBorders>
            <w:gridSpan w:val="2"/>
          </w:tcPr>
          <w:p>
            <w:pPr>
              <w:jc w:val="center"/>
              <w:ind w:right="140"/>
              <w:spacing w:after="0"/>
              <w:rPr>
                <w:sz w:val="20"/>
                <w:szCs w:val="20"/>
                <w:color w:val="auto"/>
              </w:rPr>
            </w:pPr>
            <w:r>
              <w:rPr>
                <w:rFonts w:ascii="Arial" w:cs="Arial" w:eastAsia="Arial" w:hAnsi="Arial"/>
                <w:sz w:val="18"/>
                <w:szCs w:val="18"/>
                <w:color w:val="auto"/>
                <w:w w:val="99"/>
              </w:rPr>
              <w:t>The Annual Meeting will be held</w:t>
            </w:r>
          </w:p>
        </w:tc>
        <w:tc>
          <w:tcPr>
            <w:tcW w:w="80" w:type="dxa"/>
            <w:vAlign w:val="bottom"/>
          </w:tcPr>
          <w:p>
            <w:pPr>
              <w:spacing w:after="0"/>
              <w:rPr>
                <w:sz w:val="19"/>
                <w:szCs w:val="19"/>
                <w:color w:val="auto"/>
              </w:rPr>
            </w:pPr>
          </w:p>
        </w:tc>
        <w:tc>
          <w:tcPr>
            <w:tcW w:w="282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9"/>
              </w:rPr>
              <w:t>Record holders as of April 15,</w:t>
            </w:r>
          </w:p>
        </w:tc>
      </w:tr>
      <w:tr>
        <w:trPr>
          <w:trHeight w:val="216"/>
        </w:trPr>
        <w:tc>
          <w:tcPr>
            <w:tcW w:w="60" w:type="dxa"/>
            <w:vAlign w:val="bottom"/>
            <w:tcBorders>
              <w:left w:val="single" w:sz="8" w:color="3C5896"/>
            </w:tcBorders>
          </w:tcPr>
          <w:p>
            <w:pPr>
              <w:spacing w:after="0"/>
              <w:rPr>
                <w:sz w:val="18"/>
                <w:szCs w:val="18"/>
                <w:color w:val="auto"/>
              </w:rPr>
            </w:pPr>
          </w:p>
        </w:tc>
        <w:tc>
          <w:tcPr>
            <w:tcW w:w="2840" w:type="dxa"/>
            <w:vAlign w:val="bottom"/>
            <w:tcBorders>
              <w:right w:val="single" w:sz="8" w:color="9EACCA"/>
            </w:tcBorders>
          </w:tcPr>
          <w:p>
            <w:pPr>
              <w:jc w:val="center"/>
              <w:ind w:right="10"/>
              <w:spacing w:after="0"/>
              <w:rPr>
                <w:sz w:val="20"/>
                <w:szCs w:val="20"/>
                <w:color w:val="auto"/>
              </w:rPr>
            </w:pPr>
            <w:r>
              <w:rPr>
                <w:rFonts w:ascii="Arial" w:cs="Arial" w:eastAsia="Arial" w:hAnsi="Arial"/>
                <w:sz w:val="18"/>
                <w:szCs w:val="18"/>
                <w:color w:val="auto"/>
                <w:w w:val="98"/>
              </w:rPr>
              <w:t>1:00 p.m., Eastern Time</w:t>
            </w:r>
          </w:p>
        </w:tc>
        <w:tc>
          <w:tcPr>
            <w:tcW w:w="120" w:type="dxa"/>
            <w:vAlign w:val="bottom"/>
          </w:tcPr>
          <w:p>
            <w:pPr>
              <w:spacing w:after="0"/>
              <w:rPr>
                <w:sz w:val="18"/>
                <w:szCs w:val="18"/>
                <w:color w:val="auto"/>
              </w:rPr>
            </w:pPr>
          </w:p>
        </w:tc>
        <w:tc>
          <w:tcPr>
            <w:tcW w:w="3280" w:type="dxa"/>
            <w:vAlign w:val="bottom"/>
            <w:tcBorders>
              <w:right w:val="single" w:sz="8" w:color="9EACCA"/>
            </w:tcBorders>
            <w:gridSpan w:val="2"/>
          </w:tcPr>
          <w:p>
            <w:pPr>
              <w:ind w:left="760"/>
              <w:spacing w:after="0"/>
              <w:rPr>
                <w:sz w:val="20"/>
                <w:szCs w:val="20"/>
                <w:color w:val="auto"/>
              </w:rPr>
            </w:pPr>
            <w:r>
              <w:rPr>
                <w:rFonts w:ascii="Arial" w:cs="Arial" w:eastAsia="Arial" w:hAnsi="Arial"/>
                <w:sz w:val="18"/>
                <w:szCs w:val="18"/>
                <w:color w:val="auto"/>
              </w:rPr>
              <w:t>exclusively online at</w:t>
            </w:r>
          </w:p>
        </w:tc>
        <w:tc>
          <w:tcPr>
            <w:tcW w:w="80" w:type="dxa"/>
            <w:vAlign w:val="bottom"/>
          </w:tcPr>
          <w:p>
            <w:pPr>
              <w:spacing w:after="0"/>
              <w:rPr>
                <w:sz w:val="18"/>
                <w:szCs w:val="18"/>
                <w:color w:val="auto"/>
              </w:rPr>
            </w:pPr>
          </w:p>
        </w:tc>
        <w:tc>
          <w:tcPr>
            <w:tcW w:w="282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2021 are entitled to notice of, and</w:t>
            </w:r>
          </w:p>
        </w:tc>
      </w:tr>
      <w:tr>
        <w:trPr>
          <w:trHeight w:val="176"/>
        </w:trPr>
        <w:tc>
          <w:tcPr>
            <w:tcW w:w="60" w:type="dxa"/>
            <w:vAlign w:val="bottom"/>
            <w:tcBorders>
              <w:left w:val="single" w:sz="8" w:color="3C5896"/>
            </w:tcBorders>
          </w:tcPr>
          <w:p>
            <w:pPr>
              <w:spacing w:after="0"/>
              <w:rPr>
                <w:sz w:val="15"/>
                <w:szCs w:val="15"/>
                <w:color w:val="auto"/>
              </w:rPr>
            </w:pPr>
          </w:p>
        </w:tc>
        <w:tc>
          <w:tcPr>
            <w:tcW w:w="284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tcBorders>
              <w:right w:val="single" w:sz="8" w:color="9EACCA"/>
            </w:tcBorders>
            <w:gridSpan w:val="2"/>
          </w:tcPr>
          <w:p>
            <w:pPr>
              <w:jc w:val="center"/>
              <w:ind w:right="140"/>
              <w:spacing w:after="0" w:line="176" w:lineRule="exact"/>
              <w:rPr>
                <w:sz w:val="20"/>
                <w:szCs w:val="20"/>
                <w:color w:val="auto"/>
              </w:rPr>
            </w:pPr>
            <w:r>
              <w:rPr>
                <w:rFonts w:ascii="Arial" w:cs="Arial" w:eastAsia="Arial" w:hAnsi="Arial"/>
                <w:sz w:val="18"/>
                <w:szCs w:val="18"/>
                <w:color w:val="auto"/>
                <w:w w:val="98"/>
              </w:rPr>
              <w:t>http://www.meetingcenter.io/208004347</w:t>
            </w:r>
          </w:p>
        </w:tc>
        <w:tc>
          <w:tcPr>
            <w:tcW w:w="80" w:type="dxa"/>
            <w:vAlign w:val="bottom"/>
          </w:tcPr>
          <w:p>
            <w:pPr>
              <w:spacing w:after="0"/>
              <w:rPr>
                <w:sz w:val="15"/>
                <w:szCs w:val="15"/>
                <w:color w:val="auto"/>
              </w:rPr>
            </w:pPr>
          </w:p>
        </w:tc>
        <w:tc>
          <w:tcPr>
            <w:tcW w:w="2820" w:type="dxa"/>
            <w:vAlign w:val="bottom"/>
            <w:tcBorders>
              <w:right w:val="single" w:sz="8" w:color="3C5896"/>
            </w:tcBorders>
          </w:tcPr>
          <w:p>
            <w:pPr>
              <w:jc w:val="center"/>
              <w:spacing w:after="0" w:line="176" w:lineRule="exact"/>
              <w:rPr>
                <w:sz w:val="20"/>
                <w:szCs w:val="20"/>
                <w:color w:val="auto"/>
              </w:rPr>
            </w:pPr>
            <w:r>
              <w:rPr>
                <w:rFonts w:ascii="Arial" w:cs="Arial" w:eastAsia="Arial" w:hAnsi="Arial"/>
                <w:sz w:val="18"/>
                <w:szCs w:val="18"/>
                <w:color w:val="auto"/>
                <w:w w:val="99"/>
              </w:rPr>
              <w:t>to vote at, the Annual Meeting</w:t>
            </w:r>
          </w:p>
        </w:tc>
      </w:tr>
      <w:tr>
        <w:trPr>
          <w:trHeight w:val="88"/>
        </w:trPr>
        <w:tc>
          <w:tcPr>
            <w:tcW w:w="60" w:type="dxa"/>
            <w:vAlign w:val="bottom"/>
            <w:tcBorders>
              <w:left w:val="single" w:sz="8" w:color="3C5896"/>
              <w:bottom w:val="single" w:sz="8" w:color="3C5896"/>
            </w:tcBorders>
          </w:tcPr>
          <w:p>
            <w:pPr>
              <w:spacing w:after="0"/>
              <w:rPr>
                <w:sz w:val="7"/>
                <w:szCs w:val="7"/>
                <w:color w:val="auto"/>
              </w:rPr>
            </w:pPr>
          </w:p>
        </w:tc>
        <w:tc>
          <w:tcPr>
            <w:tcW w:w="2840" w:type="dxa"/>
            <w:vAlign w:val="bottom"/>
            <w:tcBorders>
              <w:bottom w:val="single" w:sz="8" w:color="3C5896"/>
              <w:right w:val="single" w:sz="8" w:color="9EACCA"/>
            </w:tcBorders>
          </w:tcPr>
          <w:p>
            <w:pPr>
              <w:spacing w:after="0"/>
              <w:rPr>
                <w:sz w:val="7"/>
                <w:szCs w:val="7"/>
                <w:color w:val="auto"/>
              </w:rPr>
            </w:pPr>
          </w:p>
        </w:tc>
        <w:tc>
          <w:tcPr>
            <w:tcW w:w="120" w:type="dxa"/>
            <w:vAlign w:val="bottom"/>
            <w:tcBorders>
              <w:bottom w:val="single" w:sz="8" w:color="3C5896"/>
            </w:tcBorders>
          </w:tcPr>
          <w:p>
            <w:pPr>
              <w:spacing w:after="0"/>
              <w:rPr>
                <w:sz w:val="7"/>
                <w:szCs w:val="7"/>
                <w:color w:val="auto"/>
              </w:rPr>
            </w:pPr>
          </w:p>
        </w:tc>
        <w:tc>
          <w:tcPr>
            <w:tcW w:w="3140" w:type="dxa"/>
            <w:vAlign w:val="bottom"/>
            <w:tcBorders>
              <w:top w:val="single" w:sz="8" w:color="auto"/>
              <w:bottom w:val="single" w:sz="8" w:color="3C5896"/>
            </w:tcBorders>
          </w:tcPr>
          <w:p>
            <w:pPr>
              <w:spacing w:after="0"/>
              <w:rPr>
                <w:sz w:val="7"/>
                <w:szCs w:val="7"/>
                <w:color w:val="auto"/>
              </w:rPr>
            </w:pPr>
          </w:p>
        </w:tc>
        <w:tc>
          <w:tcPr>
            <w:tcW w:w="140" w:type="dxa"/>
            <w:vAlign w:val="bottom"/>
            <w:tcBorders>
              <w:bottom w:val="single" w:sz="8" w:color="3C5896"/>
              <w:right w:val="single" w:sz="8" w:color="9EACCA"/>
            </w:tcBorders>
          </w:tcPr>
          <w:p>
            <w:pPr>
              <w:spacing w:after="0"/>
              <w:rPr>
                <w:sz w:val="7"/>
                <w:szCs w:val="7"/>
                <w:color w:val="auto"/>
              </w:rPr>
            </w:pPr>
          </w:p>
        </w:tc>
        <w:tc>
          <w:tcPr>
            <w:tcW w:w="80" w:type="dxa"/>
            <w:vAlign w:val="bottom"/>
            <w:tcBorders>
              <w:bottom w:val="single" w:sz="8" w:color="3C5896"/>
            </w:tcBorders>
          </w:tcPr>
          <w:p>
            <w:pPr>
              <w:spacing w:after="0"/>
              <w:rPr>
                <w:sz w:val="7"/>
                <w:szCs w:val="7"/>
                <w:color w:val="auto"/>
              </w:rPr>
            </w:pPr>
          </w:p>
        </w:tc>
        <w:tc>
          <w:tcPr>
            <w:tcW w:w="2820" w:type="dxa"/>
            <w:vAlign w:val="bottom"/>
            <w:tcBorders>
              <w:bottom w:val="single" w:sz="8" w:color="3C5896"/>
              <w:right w:val="single" w:sz="8" w:color="3C5896"/>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120015</wp:posOffset>
            </wp:positionV>
            <wp:extent cx="583755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394335"/>
                    </a:xfrm>
                    <a:prstGeom prst="rect">
                      <a:avLst/>
                    </a:prstGeom>
                    <a:noFill/>
                  </pic:spPr>
                </pic:pic>
              </a:graphicData>
            </a:graphic>
          </wp:anchor>
        </w:drawing>
      </w:r>
    </w:p>
    <w:p>
      <w:pPr>
        <w:spacing w:after="0" w:line="227" w:lineRule="exact"/>
        <w:rPr>
          <w:sz w:val="20"/>
          <w:szCs w:val="20"/>
          <w:color w:val="auto"/>
        </w:rPr>
      </w:pPr>
    </w:p>
    <w:p>
      <w:pPr>
        <w:ind w:left="880" w:right="280"/>
        <w:spacing w:after="0" w:line="287" w:lineRule="auto"/>
        <w:rPr>
          <w:sz w:val="20"/>
          <w:szCs w:val="20"/>
          <w:color w:val="auto"/>
        </w:rPr>
      </w:pPr>
      <w:r>
        <w:rPr>
          <w:rFonts w:ascii="Arial" w:cs="Arial" w:eastAsia="Arial" w:hAnsi="Arial"/>
          <w:sz w:val="18"/>
          <w:szCs w:val="18"/>
          <w:b w:val="1"/>
          <w:bCs w:val="1"/>
          <w:color w:val="auto"/>
        </w:rPr>
        <w:t>On or about April 30, 2021, we started mailing the Notice of Internet Availability of Proxy Materials to our stockholders.</w:t>
      </w:r>
    </w:p>
    <w:p>
      <w:pPr>
        <w:spacing w:after="0" w:line="38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7140" w:type="dxa"/>
            <w:vAlign w:val="bottom"/>
            <w:tcBorders>
              <w:top w:val="single" w:sz="8" w:color="3C5896"/>
              <w:right w:val="single" w:sz="8" w:color="9EACCA"/>
            </w:tcBorders>
            <w:vMerge w:val="restart"/>
            <w:shd w:val="clear" w:color="auto" w:fill="3C5896"/>
          </w:tcPr>
          <w:p>
            <w:pPr>
              <w:spacing w:after="0"/>
              <w:rPr>
                <w:sz w:val="20"/>
                <w:szCs w:val="20"/>
                <w:color w:val="auto"/>
              </w:rPr>
            </w:pPr>
            <w:r>
              <w:rPr>
                <w:rFonts w:ascii="Arial" w:cs="Arial" w:eastAsia="Arial" w:hAnsi="Arial"/>
                <w:sz w:val="18"/>
                <w:szCs w:val="18"/>
                <w:b w:val="1"/>
                <w:bCs w:val="1"/>
                <w:color w:val="FFFFFF"/>
              </w:rPr>
              <w:t>Company Proposals</w:t>
            </w:r>
          </w:p>
        </w:tc>
        <w:tc>
          <w:tcPr>
            <w:tcW w:w="100" w:type="dxa"/>
            <w:vAlign w:val="bottom"/>
            <w:tcBorders>
              <w:top w:val="single" w:sz="8" w:color="3C5896"/>
            </w:tcBorders>
            <w:shd w:val="clear" w:color="auto" w:fill="3C5896"/>
          </w:tcPr>
          <w:p>
            <w:pPr>
              <w:spacing w:after="0"/>
              <w:rPr>
                <w:sz w:val="17"/>
                <w:szCs w:val="17"/>
                <w:color w:val="auto"/>
              </w:rPr>
            </w:pPr>
          </w:p>
        </w:tc>
        <w:tc>
          <w:tcPr>
            <w:tcW w:w="1900" w:type="dxa"/>
            <w:vAlign w:val="bottom"/>
            <w:tcBorders>
              <w:top w:val="single" w:sz="8" w:color="3C5896"/>
              <w:right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Board</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7140" w:type="dxa"/>
            <w:vAlign w:val="bottom"/>
            <w:tcBorders>
              <w:right w:val="single" w:sz="8" w:color="9EACCA"/>
            </w:tcBorders>
            <w:vMerge w:val="continue"/>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900" w:type="dxa"/>
            <w:vAlign w:val="bottom"/>
            <w:tcBorders>
              <w:right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tcPr>
          <w:p>
            <w:pPr>
              <w:spacing w:after="0"/>
              <w:rPr>
                <w:sz w:val="21"/>
                <w:szCs w:val="21"/>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1: Elect Class I Directors of the Company</w:t>
            </w:r>
          </w:p>
        </w:tc>
        <w:tc>
          <w:tcPr>
            <w:tcW w:w="100" w:type="dxa"/>
            <w:vAlign w:val="bottom"/>
          </w:tcPr>
          <w:p>
            <w:pPr>
              <w:spacing w:after="0"/>
              <w:rPr>
                <w:sz w:val="21"/>
                <w:szCs w:val="21"/>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 EACH NOMINEE</w:t>
            </w:r>
          </w:p>
        </w:tc>
        <w:tc>
          <w:tcPr>
            <w:tcW w:w="0" w:type="dxa"/>
            <w:vAlign w:val="bottom"/>
          </w:tcPr>
          <w:p>
            <w:pPr>
              <w:spacing w:after="0"/>
              <w:rPr>
                <w:sz w:val="1"/>
                <w:szCs w:val="1"/>
                <w:color w:val="auto"/>
              </w:rPr>
            </w:pPr>
          </w:p>
        </w:tc>
      </w:tr>
      <w:tr>
        <w:trPr>
          <w:trHeight w:val="242"/>
        </w:trPr>
        <w:tc>
          <w:tcPr>
            <w:tcW w:w="60" w:type="dxa"/>
            <w:vAlign w:val="bottom"/>
            <w:tcBorders>
              <w:left w:val="single" w:sz="8" w:color="3C5896"/>
            </w:tcBorders>
            <w:shd w:val="clear" w:color="auto" w:fill="CCCCCC"/>
          </w:tcPr>
          <w:p>
            <w:pPr>
              <w:spacing w:after="0"/>
              <w:rPr>
                <w:sz w:val="21"/>
                <w:szCs w:val="21"/>
                <w:color w:val="auto"/>
              </w:rPr>
            </w:pPr>
          </w:p>
        </w:tc>
        <w:tc>
          <w:tcPr>
            <w:tcW w:w="71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Proposal 2: Approval of an Amendment to our Certificate of Incorporation to Eliminate</w:t>
            </w:r>
          </w:p>
        </w:tc>
        <w:tc>
          <w:tcPr>
            <w:tcW w:w="100" w:type="dxa"/>
            <w:vAlign w:val="bottom"/>
            <w:shd w:val="clear" w:color="auto" w:fill="CCCCCC"/>
          </w:tcPr>
          <w:p>
            <w:pPr>
              <w:spacing w:after="0"/>
              <w:rPr>
                <w:sz w:val="21"/>
                <w:szCs w:val="21"/>
                <w:color w:val="auto"/>
              </w:rPr>
            </w:pPr>
          </w:p>
        </w:tc>
        <w:tc>
          <w:tcPr>
            <w:tcW w:w="190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24"/>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714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the Classified Structure of the Board of Directors</w:t>
            </w:r>
          </w:p>
        </w:tc>
        <w:tc>
          <w:tcPr>
            <w:tcW w:w="100" w:type="dxa"/>
            <w:vAlign w:val="bottom"/>
            <w:tcBorders>
              <w:bottom w:val="single" w:sz="8" w:color="CCCCCC"/>
            </w:tcBorders>
            <w:shd w:val="clear" w:color="auto" w:fill="CCCCCC"/>
          </w:tcPr>
          <w:p>
            <w:pPr>
              <w:spacing w:after="0"/>
              <w:rPr>
                <w:sz w:val="19"/>
                <w:szCs w:val="19"/>
                <w:color w:val="auto"/>
              </w:rPr>
            </w:pPr>
          </w:p>
        </w:tc>
        <w:tc>
          <w:tcPr>
            <w:tcW w:w="190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tcPr>
          <w:p>
            <w:pPr>
              <w:spacing w:after="0"/>
              <w:rPr>
                <w:sz w:val="19"/>
                <w:szCs w:val="19"/>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3: Approval of an Amendment to our Certificate of Incorporation to Eliminate</w:t>
            </w:r>
          </w:p>
        </w:tc>
        <w:tc>
          <w:tcPr>
            <w:tcW w:w="100" w:type="dxa"/>
            <w:vAlign w:val="bottom"/>
          </w:tcPr>
          <w:p>
            <w:pPr>
              <w:spacing w:after="0"/>
              <w:rPr>
                <w:sz w:val="19"/>
                <w:szCs w:val="19"/>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17"/>
        </w:trPr>
        <w:tc>
          <w:tcPr>
            <w:tcW w:w="60" w:type="dxa"/>
            <w:vAlign w:val="bottom"/>
            <w:tcBorders>
              <w:left w:val="single" w:sz="8" w:color="3C5896"/>
            </w:tcBorders>
          </w:tcPr>
          <w:p>
            <w:pPr>
              <w:spacing w:after="0"/>
              <w:rPr>
                <w:sz w:val="18"/>
                <w:szCs w:val="18"/>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Supermajority Voting Standards and Other Obsolete Provisions</w:t>
            </w:r>
          </w:p>
        </w:tc>
        <w:tc>
          <w:tcPr>
            <w:tcW w:w="100" w:type="dxa"/>
            <w:vAlign w:val="bottom"/>
          </w:tcPr>
          <w:p>
            <w:pPr>
              <w:spacing w:after="0"/>
              <w:rPr>
                <w:sz w:val="18"/>
                <w:szCs w:val="18"/>
                <w:color w:val="auto"/>
              </w:rPr>
            </w:pPr>
          </w:p>
        </w:tc>
        <w:tc>
          <w:tcPr>
            <w:tcW w:w="190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3C5896"/>
            </w:tcBorders>
          </w:tcPr>
          <w:p>
            <w:pPr>
              <w:spacing w:after="0"/>
              <w:rPr>
                <w:sz w:val="2"/>
                <w:szCs w:val="2"/>
                <w:color w:val="auto"/>
              </w:rPr>
            </w:pPr>
          </w:p>
        </w:tc>
        <w:tc>
          <w:tcPr>
            <w:tcW w:w="7140" w:type="dxa"/>
            <w:vAlign w:val="bottom"/>
            <w:tcBorders>
              <w:right w:val="single" w:sz="8" w:color="9EACCA"/>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tcBorders>
              <w:left w:val="single" w:sz="8" w:color="3C5896"/>
            </w:tcBorders>
            <w:shd w:val="clear" w:color="auto" w:fill="CCCCCC"/>
          </w:tcPr>
          <w:p>
            <w:pPr>
              <w:spacing w:after="0"/>
              <w:rPr>
                <w:sz w:val="22"/>
                <w:szCs w:val="22"/>
                <w:color w:val="auto"/>
              </w:rPr>
            </w:pPr>
          </w:p>
        </w:tc>
        <w:tc>
          <w:tcPr>
            <w:tcW w:w="71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Proposal 4: Non-Binding Advisory Vote to Approve Our Executive Compensation</w:t>
            </w:r>
          </w:p>
        </w:tc>
        <w:tc>
          <w:tcPr>
            <w:tcW w:w="100" w:type="dxa"/>
            <w:vAlign w:val="bottom"/>
            <w:shd w:val="clear" w:color="auto" w:fill="CCCCCC"/>
          </w:tcPr>
          <w:p>
            <w:pPr>
              <w:spacing w:after="0"/>
              <w:rPr>
                <w:sz w:val="22"/>
                <w:szCs w:val="22"/>
                <w:color w:val="auto"/>
              </w:rPr>
            </w:pPr>
          </w:p>
        </w:tc>
        <w:tc>
          <w:tcPr>
            <w:tcW w:w="190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5: Ratification of Deloitte &amp; Touche LLP as Our Independent Auditor for 2021</w:t>
            </w:r>
          </w:p>
        </w:tc>
        <w:tc>
          <w:tcPr>
            <w:tcW w:w="100" w:type="dxa"/>
            <w:vAlign w:val="bottom"/>
          </w:tcPr>
          <w:p>
            <w:pPr>
              <w:spacing w:after="0"/>
              <w:rPr>
                <w:sz w:val="24"/>
                <w:szCs w:val="24"/>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714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90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5" w:lineRule="exact"/>
        <w:rPr>
          <w:sz w:val="20"/>
          <w:szCs w:val="20"/>
          <w:color w:val="auto"/>
        </w:rPr>
      </w:pPr>
    </w:p>
    <w:p>
      <w:pPr>
        <w:jc w:val="both"/>
        <w:ind w:left="7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If at the close of business on April 15, 2021, you were a stockholder of record or held shares through a broker or bank, you may vote your shares by proxy at the Annual Meeting. You may vote your shares over the Internet, by telephone or by mail, or you may vote online during the Annual Meeting. See full instructions under the Important Information About Voting at the Annual Meeting section of this proxy statement on page </w:t>
      </w:r>
      <w:hyperlink w:anchor="page59">
        <w:r>
          <w:rPr>
            <w:rFonts w:ascii="Arial" w:cs="Arial" w:eastAsia="Arial" w:hAnsi="Arial"/>
            <w:sz w:val="18"/>
            <w:szCs w:val="18"/>
            <w:u w:val="single" w:color="auto"/>
            <w:color w:val="0000EE"/>
          </w:rPr>
          <w:t>56</w:t>
        </w:r>
      </w:hyperlink>
      <w:r>
        <w:rPr>
          <w:rFonts w:ascii="Arial" w:cs="Arial" w:eastAsia="Arial" w:hAnsi="Arial"/>
          <w:sz w:val="18"/>
          <w:szCs w:val="18"/>
          <w:color w:val="auto"/>
        </w:rPr>
        <w:t>.</w:t>
      </w:r>
    </w:p>
    <w:p>
      <w:pPr>
        <w:spacing w:after="0" w:line="74"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7, 2021 to be counted. If you hold shares through a broker, bank or other nominee, please refer to information from your bank, broker or nominee for voting instructions.</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2020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Response</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2020 was a challenging year with the outbreak of the COVID-19 global pandemic and the resulting impact on economic activity and businesses. Even with a year of unprecedented business challenges, we are proud of how we have navigated and continue to navigate through the pandemic. With a safety-first approach in mind, our Board and management team took certain financial and operational actions, as outlined below, to prudently manage the business while positioning the Company to be able to safely continue to provide low cost eye care and eyewear, a medical necessity, to our patients and customers.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29972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157480</wp:posOffset>
            </wp:positionV>
            <wp:extent cx="583755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OUR COVID-19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28575</wp:posOffset>
            </wp:positionV>
            <wp:extent cx="5837555" cy="3909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7555" cy="390906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5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Operational</w:t>
      </w:r>
    </w:p>
    <w:p>
      <w:pPr>
        <w:spacing w:after="0" w:line="99" w:lineRule="exact"/>
        <w:rPr>
          <w:sz w:val="20"/>
          <w:szCs w:val="20"/>
          <w:color w:val="auto"/>
        </w:rPr>
      </w:pPr>
    </w:p>
    <w:p>
      <w:pPr>
        <w:ind w:left="1000" w:right="20" w:hanging="170"/>
        <w:spacing w:after="0" w:line="269" w:lineRule="auto"/>
        <w:tabs>
          <w:tab w:leader="none" w:pos="1000" w:val="left"/>
        </w:tabs>
        <w:numPr>
          <w:ilvl w:val="0"/>
          <w:numId w:val="4"/>
        </w:numPr>
        <w:rPr>
          <w:rFonts w:ascii="MS PGothic" w:cs="MS PGothic" w:eastAsia="MS PGothic" w:hAnsi="MS PGothic"/>
          <w:sz w:val="17"/>
          <w:szCs w:val="17"/>
          <w:color w:val="3C5896"/>
        </w:rPr>
      </w:pPr>
      <w:r>
        <w:rPr>
          <w:rFonts w:ascii="Arial" w:cs="Arial" w:eastAsia="Arial" w:hAnsi="Arial"/>
          <w:sz w:val="17"/>
          <w:szCs w:val="17"/>
          <w:color w:val="auto"/>
        </w:rPr>
        <w:t>Temporarily closed stores to the public in part of 2020 to implement enhanced safety measures, including a temporary furlough of a significant portion of our associates during April and May 2020</w:t>
      </w:r>
    </w:p>
    <w:p>
      <w:pPr>
        <w:spacing w:after="0" w:line="72" w:lineRule="exact"/>
        <w:rPr>
          <w:rFonts w:ascii="MS PGothic" w:cs="MS PGothic" w:eastAsia="MS PGothic" w:hAnsi="MS PGothic"/>
          <w:sz w:val="17"/>
          <w:szCs w:val="17"/>
          <w:color w:val="3C5896"/>
        </w:rPr>
      </w:pPr>
    </w:p>
    <w:p>
      <w:pPr>
        <w:ind w:left="1000" w:right="60" w:hanging="170"/>
        <w:spacing w:after="0" w:line="273" w:lineRule="auto"/>
        <w:tabs>
          <w:tab w:leader="none" w:pos="1000" w:val="left"/>
        </w:tabs>
        <w:numPr>
          <w:ilvl w:val="0"/>
          <w:numId w:val="4"/>
        </w:numPr>
        <w:rPr>
          <w:rFonts w:ascii="MS PGothic" w:cs="MS PGothic" w:eastAsia="MS PGothic" w:hAnsi="MS PGothic"/>
          <w:sz w:val="17"/>
          <w:szCs w:val="17"/>
          <w:color w:val="3C5896"/>
        </w:rPr>
      </w:pPr>
      <w:r>
        <w:rPr>
          <w:rFonts w:ascii="Arial" w:cs="Arial" w:eastAsia="Arial" w:hAnsi="Arial"/>
          <w:sz w:val="17"/>
          <w:szCs w:val="17"/>
          <w:color w:val="auto"/>
        </w:rPr>
        <w:t>Worked with a base of vendors and landlords to extend payment terms and modify existing contracts</w:t>
      </w:r>
    </w:p>
    <w:p>
      <w:pPr>
        <w:spacing w:after="0" w:line="55" w:lineRule="exact"/>
        <w:rPr>
          <w:rFonts w:ascii="MS PGothic" w:cs="MS PGothic" w:eastAsia="MS PGothic" w:hAnsi="MS PGothic"/>
          <w:sz w:val="17"/>
          <w:szCs w:val="17"/>
          <w:color w:val="3C5896"/>
        </w:rPr>
      </w:pPr>
    </w:p>
    <w:p>
      <w:pPr>
        <w:ind w:left="1000" w:hanging="170"/>
        <w:spacing w:after="0" w:line="278" w:lineRule="auto"/>
        <w:tabs>
          <w:tab w:leader="none" w:pos="1000" w:val="left"/>
        </w:tabs>
        <w:numPr>
          <w:ilvl w:val="0"/>
          <w:numId w:val="4"/>
        </w:numPr>
        <w:rPr>
          <w:rFonts w:ascii="MS PGothic" w:cs="MS PGothic" w:eastAsia="MS PGothic" w:hAnsi="MS PGothic"/>
          <w:sz w:val="17"/>
          <w:szCs w:val="17"/>
          <w:color w:val="3C5896"/>
        </w:rPr>
      </w:pPr>
      <w:r>
        <w:rPr>
          <w:rFonts w:ascii="Arial" w:cs="Arial" w:eastAsia="Arial" w:hAnsi="Arial"/>
          <w:sz w:val="17"/>
          <w:szCs w:val="17"/>
          <w:color w:val="auto"/>
        </w:rPr>
        <w:t>Temporarily paused new store openings until the second quarter of 2020</w:t>
      </w:r>
    </w:p>
    <w:p>
      <w:pPr>
        <w:spacing w:after="0" w:line="63" w:lineRule="exact"/>
        <w:rPr>
          <w:rFonts w:ascii="MS PGothic" w:cs="MS PGothic" w:eastAsia="MS PGothic" w:hAnsi="MS PGothic"/>
          <w:sz w:val="17"/>
          <w:szCs w:val="17"/>
          <w:color w:val="3C5896"/>
        </w:rPr>
      </w:pPr>
    </w:p>
    <w:p>
      <w:pPr>
        <w:ind w:left="1000" w:right="280" w:hanging="170"/>
        <w:spacing w:after="0" w:line="291" w:lineRule="auto"/>
        <w:tabs>
          <w:tab w:leader="none" w:pos="1000" w:val="left"/>
        </w:tabs>
        <w:numPr>
          <w:ilvl w:val="0"/>
          <w:numId w:val="4"/>
        </w:numPr>
        <w:rPr>
          <w:rFonts w:ascii="MS PGothic" w:cs="MS PGothic" w:eastAsia="MS PGothic" w:hAnsi="MS PGothic"/>
          <w:sz w:val="17"/>
          <w:szCs w:val="17"/>
          <w:color w:val="3C5896"/>
        </w:rPr>
      </w:pPr>
      <w:r>
        <w:rPr>
          <w:rFonts w:ascii="Arial" w:cs="Arial" w:eastAsia="Arial" w:hAnsi="Arial"/>
          <w:sz w:val="17"/>
          <w:szCs w:val="17"/>
          <w:color w:val="auto"/>
        </w:rPr>
        <w:t>Reduced near term marketing spend</w:t>
      </w:r>
    </w:p>
    <w:p>
      <w:pPr>
        <w:spacing w:after="0" w:line="52" w:lineRule="exact"/>
        <w:rPr>
          <w:rFonts w:ascii="MS PGothic" w:cs="MS PGothic" w:eastAsia="MS PGothic" w:hAnsi="MS PGothic"/>
          <w:sz w:val="17"/>
          <w:szCs w:val="17"/>
          <w:color w:val="3C5896"/>
        </w:rPr>
      </w:pPr>
    </w:p>
    <w:p>
      <w:pPr>
        <w:ind w:left="1000" w:right="180" w:hanging="170"/>
        <w:spacing w:after="0" w:line="271" w:lineRule="auto"/>
        <w:tabs>
          <w:tab w:leader="none" w:pos="1000" w:val="left"/>
        </w:tabs>
        <w:numPr>
          <w:ilvl w:val="0"/>
          <w:numId w:val="4"/>
        </w:numPr>
        <w:rPr>
          <w:rFonts w:ascii="MS PGothic" w:cs="MS PGothic" w:eastAsia="MS PGothic" w:hAnsi="MS PGothic"/>
          <w:sz w:val="17"/>
          <w:szCs w:val="17"/>
          <w:color w:val="3C5896"/>
        </w:rPr>
      </w:pPr>
      <w:r>
        <w:rPr>
          <w:rFonts w:ascii="Arial" w:cs="Arial" w:eastAsia="Arial" w:hAnsi="Arial"/>
          <w:sz w:val="17"/>
          <w:szCs w:val="17"/>
          <w:color w:val="auto"/>
        </w:rPr>
        <w:t>Implemented enhanced safety protocols that allowed us to reopen our stores and continue servicing our patients and customers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left="-38"/>
        <w:spacing w:after="0"/>
        <w:rPr>
          <w:sz w:val="20"/>
          <w:szCs w:val="20"/>
          <w:color w:val="auto"/>
        </w:rPr>
      </w:pPr>
      <w:r>
        <w:rPr>
          <w:rFonts w:ascii="Arial" w:cs="Arial" w:eastAsia="Arial" w:hAnsi="Arial"/>
          <w:sz w:val="18"/>
          <w:szCs w:val="18"/>
          <w:b w:val="1"/>
          <w:bCs w:val="1"/>
          <w:color w:val="FFFFFF"/>
        </w:rPr>
        <w:t>Liquidity</w:t>
      </w:r>
    </w:p>
    <w:p>
      <w:pPr>
        <w:spacing w:after="0" w:line="99" w:lineRule="exact"/>
        <w:rPr>
          <w:sz w:val="20"/>
          <w:szCs w:val="20"/>
          <w:color w:val="auto"/>
        </w:rPr>
      </w:pPr>
    </w:p>
    <w:p>
      <w:pPr>
        <w:ind w:left="179" w:hanging="179"/>
        <w:spacing w:after="0"/>
        <w:tabs>
          <w:tab w:leader="none" w:pos="179"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Borrowed remaining</w:t>
      </w:r>
    </w:p>
    <w:p>
      <w:pPr>
        <w:spacing w:after="0" w:line="20" w:lineRule="exact"/>
        <w:rPr>
          <w:rFonts w:ascii="MS PGothic" w:cs="MS PGothic" w:eastAsia="MS PGothic" w:hAnsi="MS PGothic"/>
          <w:sz w:val="17"/>
          <w:szCs w:val="17"/>
          <w:color w:val="3C5896"/>
        </w:rPr>
      </w:pPr>
    </w:p>
    <w:p>
      <w:pPr>
        <w:ind w:left="179"/>
        <w:spacing w:after="0" w:line="254" w:lineRule="auto"/>
        <w:rPr>
          <w:rFonts w:ascii="MS PGothic" w:cs="MS PGothic" w:eastAsia="MS PGothic" w:hAnsi="MS PGothic"/>
          <w:sz w:val="17"/>
          <w:szCs w:val="17"/>
          <w:color w:val="3C5896"/>
        </w:rPr>
      </w:pPr>
      <w:r>
        <w:rPr>
          <w:rFonts w:ascii="Arial" w:cs="Arial" w:eastAsia="Arial" w:hAnsi="Arial"/>
          <w:sz w:val="18"/>
          <w:szCs w:val="18"/>
          <w:color w:val="auto"/>
        </w:rPr>
        <w:t>$146.3 million under revolving credit facility in March 2020 and fully repaid revolving credit facility in May 2020</w:t>
      </w:r>
    </w:p>
    <w:p>
      <w:pPr>
        <w:spacing w:after="0" w:line="82" w:lineRule="exact"/>
        <w:rPr>
          <w:rFonts w:ascii="MS PGothic" w:cs="MS PGothic" w:eastAsia="MS PGothic" w:hAnsi="MS PGothic"/>
          <w:sz w:val="17"/>
          <w:szCs w:val="17"/>
          <w:color w:val="3C5896"/>
        </w:rPr>
      </w:pPr>
    </w:p>
    <w:p>
      <w:pPr>
        <w:ind w:left="179" w:right="40" w:hanging="179"/>
        <w:spacing w:after="0" w:line="268" w:lineRule="auto"/>
        <w:tabs>
          <w:tab w:leader="none" w:pos="179"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Entered into credit agreement amendment in May 2020 to prevent the effects of the pandemic, including the temporary closure of stores, from creating uncertainty in financial covenant compliance and allowing focus on prudent management of business</w:t>
      </w:r>
    </w:p>
    <w:p>
      <w:pPr>
        <w:spacing w:after="0" w:line="278" w:lineRule="exact"/>
        <w:rPr>
          <w:rFonts w:ascii="MS PGothic" w:cs="MS PGothic" w:eastAsia="MS PGothic" w:hAnsi="MS PGothic"/>
          <w:sz w:val="17"/>
          <w:szCs w:val="17"/>
          <w:color w:val="3C5896"/>
        </w:rPr>
      </w:pPr>
    </w:p>
    <w:p>
      <w:pPr>
        <w:ind w:left="179" w:right="540" w:hanging="179"/>
        <w:spacing w:after="0" w:line="265" w:lineRule="auto"/>
        <w:tabs>
          <w:tab w:leader="none" w:pos="179"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Completed the issuance of $402.5 million of 2.50% convertible senior notes in</w:t>
      </w:r>
    </w:p>
    <w:p>
      <w:pPr>
        <w:ind w:left="179"/>
        <w:spacing w:after="0" w:line="278" w:lineRule="auto"/>
        <w:rPr>
          <w:rFonts w:ascii="MS PGothic" w:cs="MS PGothic" w:eastAsia="MS PGothic" w:hAnsi="MS PGothic"/>
          <w:sz w:val="17"/>
          <w:szCs w:val="17"/>
          <w:color w:val="3C5896"/>
        </w:rPr>
      </w:pPr>
      <w:r>
        <w:rPr>
          <w:rFonts w:ascii="Arial" w:cs="Arial" w:eastAsia="Arial" w:hAnsi="Arial"/>
          <w:sz w:val="17"/>
          <w:szCs w:val="17"/>
          <w:color w:val="auto"/>
        </w:rPr>
        <w:t>May 2020 and used net proceeds to partially repay term loan and fully repay revolving credit facility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21"/>
        <w:spacing w:after="0"/>
        <w:rPr>
          <w:sz w:val="20"/>
          <w:szCs w:val="20"/>
          <w:color w:val="auto"/>
        </w:rPr>
      </w:pPr>
      <w:r>
        <w:rPr>
          <w:rFonts w:ascii="Arial" w:cs="Arial" w:eastAsia="Arial" w:hAnsi="Arial"/>
          <w:sz w:val="18"/>
          <w:szCs w:val="18"/>
          <w:b w:val="1"/>
          <w:bCs w:val="1"/>
          <w:color w:val="FFFFFF"/>
        </w:rPr>
        <w:t>Compensation</w:t>
      </w:r>
    </w:p>
    <w:p>
      <w:pPr>
        <w:spacing w:after="0" w:line="99" w:lineRule="exact"/>
        <w:rPr>
          <w:sz w:val="20"/>
          <w:szCs w:val="20"/>
          <w:color w:val="auto"/>
        </w:rPr>
      </w:pPr>
    </w:p>
    <w:p>
      <w:pPr>
        <w:ind w:left="181" w:right="880" w:hanging="181"/>
        <w:spacing w:after="0" w:line="251" w:lineRule="auto"/>
        <w:tabs>
          <w:tab w:leader="none" w:pos="181" w:val="left"/>
        </w:tabs>
        <w:numPr>
          <w:ilvl w:val="0"/>
          <w:numId w:val="6"/>
        </w:numPr>
        <w:rPr>
          <w:rFonts w:ascii="MS PGothic" w:cs="MS PGothic" w:eastAsia="MS PGothic" w:hAnsi="MS PGothic"/>
          <w:sz w:val="18"/>
          <w:szCs w:val="18"/>
          <w:color w:val="3C5896"/>
        </w:rPr>
      </w:pPr>
      <w:r>
        <w:rPr>
          <w:rFonts w:ascii="Arial" w:cs="Arial" w:eastAsia="Arial" w:hAnsi="Arial"/>
          <w:sz w:val="18"/>
          <w:szCs w:val="18"/>
          <w:color w:val="auto"/>
        </w:rPr>
        <w:t>Reduced compensation across the organization until the second quarter of 2020, including a voluntary salary reduction by the CEO to $1, voluntary 30% salary reductions by the other executive officers and a voluntary election by the Board to forego their cash compensation for the second quarter, with the CEO returning to full base salary only after all non-executive employees were back to 100% compensation</w:t>
      </w:r>
    </w:p>
    <w:p>
      <w:pPr>
        <w:spacing w:after="0" w:line="88" w:lineRule="exact"/>
        <w:rPr>
          <w:rFonts w:ascii="MS PGothic" w:cs="MS PGothic" w:eastAsia="MS PGothic" w:hAnsi="MS PGothic"/>
          <w:sz w:val="18"/>
          <w:szCs w:val="18"/>
          <w:color w:val="3C5896"/>
        </w:rPr>
      </w:pPr>
    </w:p>
    <w:p>
      <w:pPr>
        <w:ind w:left="181" w:right="1040" w:hanging="181"/>
        <w:spacing w:after="0" w:line="278" w:lineRule="auto"/>
        <w:tabs>
          <w:tab w:leader="none" w:pos="181" w:val="left"/>
        </w:tabs>
        <w:numPr>
          <w:ilvl w:val="0"/>
          <w:numId w:val="6"/>
        </w:numPr>
        <w:rPr>
          <w:rFonts w:ascii="MS PGothic" w:cs="MS PGothic" w:eastAsia="MS PGothic" w:hAnsi="MS PGothic"/>
          <w:sz w:val="17"/>
          <w:szCs w:val="17"/>
          <w:color w:val="3C5896"/>
        </w:rPr>
      </w:pPr>
      <w:r>
        <w:rPr>
          <w:rFonts w:ascii="Arial" w:cs="Arial" w:eastAsia="Arial" w:hAnsi="Arial"/>
          <w:sz w:val="17"/>
          <w:szCs w:val="17"/>
          <w:color w:val="auto"/>
        </w:rPr>
        <w:t>Granted one-time appreciation bonuses to customer-facing associates in third quarter 2020</w:t>
      </w:r>
    </w:p>
    <w:p>
      <w:pPr>
        <w:spacing w:after="0" w:line="49" w:lineRule="exact"/>
        <w:rPr>
          <w:rFonts w:ascii="MS PGothic" w:cs="MS PGothic" w:eastAsia="MS PGothic" w:hAnsi="MS PGothic"/>
          <w:sz w:val="17"/>
          <w:szCs w:val="17"/>
          <w:color w:val="3C5896"/>
        </w:rPr>
      </w:pPr>
    </w:p>
    <w:p>
      <w:pPr>
        <w:ind w:left="181" w:right="1180" w:hanging="181"/>
        <w:spacing w:after="0" w:line="261" w:lineRule="auto"/>
        <w:tabs>
          <w:tab w:leader="none" w:pos="181" w:val="left"/>
        </w:tabs>
        <w:numPr>
          <w:ilvl w:val="0"/>
          <w:numId w:val="6"/>
        </w:numPr>
        <w:rPr>
          <w:rFonts w:ascii="MS PGothic" w:cs="MS PGothic" w:eastAsia="MS PGothic" w:hAnsi="MS PGothic"/>
          <w:sz w:val="18"/>
          <w:szCs w:val="18"/>
          <w:color w:val="3C5896"/>
        </w:rPr>
      </w:pPr>
      <w:r>
        <w:rPr>
          <w:rFonts w:ascii="Arial" w:cs="Arial" w:eastAsia="Arial" w:hAnsi="Arial"/>
          <w:sz w:val="18"/>
          <w:szCs w:val="18"/>
          <w:color w:val="auto"/>
        </w:rPr>
        <w:t>Granted additional holidays in fourth quarter 2020</w:t>
      </w:r>
    </w:p>
    <w:p>
      <w:pPr>
        <w:spacing w:after="0" w:line="76" w:lineRule="exact"/>
        <w:rPr>
          <w:rFonts w:ascii="MS PGothic" w:cs="MS PGothic" w:eastAsia="MS PGothic" w:hAnsi="MS PGothic"/>
          <w:sz w:val="18"/>
          <w:szCs w:val="18"/>
          <w:color w:val="3C5896"/>
        </w:rPr>
      </w:pPr>
    </w:p>
    <w:p>
      <w:pPr>
        <w:ind w:left="181" w:right="1260" w:hanging="181"/>
        <w:spacing w:after="0" w:line="256" w:lineRule="auto"/>
        <w:tabs>
          <w:tab w:leader="none" w:pos="181" w:val="left"/>
        </w:tabs>
        <w:numPr>
          <w:ilvl w:val="0"/>
          <w:numId w:val="6"/>
        </w:numPr>
        <w:rPr>
          <w:rFonts w:ascii="MS PGothic" w:cs="MS PGothic" w:eastAsia="MS PGothic" w:hAnsi="MS PGothic"/>
          <w:sz w:val="18"/>
          <w:szCs w:val="18"/>
          <w:color w:val="3C5896"/>
        </w:rPr>
      </w:pPr>
      <w:r>
        <w:rPr>
          <w:rFonts w:ascii="Arial" w:cs="Arial" w:eastAsia="Arial" w:hAnsi="Arial"/>
          <w:sz w:val="18"/>
          <w:szCs w:val="18"/>
          <w:color w:val="auto"/>
        </w:rPr>
        <w:t>Continued to pay benefits for associates furloughed in response to pandemic</w:t>
      </w:r>
    </w:p>
    <w:p>
      <w:pPr>
        <w:spacing w:after="0" w:line="80" w:lineRule="exact"/>
        <w:rPr>
          <w:rFonts w:ascii="MS PGothic" w:cs="MS PGothic" w:eastAsia="MS PGothic" w:hAnsi="MS PGothic"/>
          <w:sz w:val="18"/>
          <w:szCs w:val="18"/>
          <w:color w:val="3C5896"/>
        </w:rPr>
      </w:pPr>
    </w:p>
    <w:p>
      <w:pPr>
        <w:ind w:left="181" w:right="1140" w:hanging="181"/>
        <w:spacing w:after="0" w:line="254" w:lineRule="auto"/>
        <w:tabs>
          <w:tab w:leader="none" w:pos="181" w:val="left"/>
        </w:tabs>
        <w:numPr>
          <w:ilvl w:val="0"/>
          <w:numId w:val="6"/>
        </w:numPr>
        <w:rPr>
          <w:rFonts w:ascii="MS PGothic" w:cs="MS PGothic" w:eastAsia="MS PGothic" w:hAnsi="MS PGothic"/>
          <w:sz w:val="18"/>
          <w:szCs w:val="18"/>
          <w:color w:val="3C5896"/>
        </w:rPr>
      </w:pPr>
      <w:r>
        <w:rPr>
          <w:rFonts w:ascii="Arial" w:cs="Arial" w:eastAsia="Arial" w:hAnsi="Arial"/>
          <w:sz w:val="18"/>
          <w:szCs w:val="18"/>
          <w:color w:val="auto"/>
        </w:rPr>
        <w:t>Paid short-term incentive cash bonuses at target level for associates to reward their dedication and resiliency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3756025</wp:posOffset>
            </wp:positionV>
            <wp:extent cx="2997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60" w:space="261"/>
            <w:col w:w="2839" w:space="239"/>
            <w:col w:w="3721"/>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7440"/>
              <w:spacing w:after="0"/>
              <w:rPr>
                <w:sz w:val="20"/>
                <w:szCs w:val="20"/>
                <w:color w:val="auto"/>
              </w:rPr>
            </w:pPr>
            <w:r>
              <w:rPr>
                <w:rFonts w:ascii="Arial" w:cs="Arial" w:eastAsia="Arial" w:hAnsi="Arial"/>
                <w:sz w:val="16"/>
                <w:szCs w:val="16"/>
                <w:color w:val="auto"/>
              </w:rPr>
              <w:t>2021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5</w:t>
            </w:r>
          </w:p>
        </w:tc>
      </w:tr>
      <w:tr>
        <w:trPr>
          <w:trHeight w:val="431"/>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Financial Highlights</w:t>
      </w:r>
    </w:p>
    <w:p>
      <w:pPr>
        <w:spacing w:after="0" w:line="20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Despite the extraordinary circumstances of this year, we believe fiscal 2020 was ultimately successful and believe we are well positioned to capitalize on future opportunities for the Company. In fiscal 2020, our financial and operational highlights included:</w:t>
      </w:r>
    </w:p>
    <w:p>
      <w:pPr>
        <w:spacing w:after="0" w:line="121" w:lineRule="exact"/>
        <w:rPr>
          <w:sz w:val="20"/>
          <w:szCs w:val="20"/>
          <w:color w:val="auto"/>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Net income increased 10.6% to $36.3 million</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12.4% to $218.3 million</w:t>
      </w:r>
    </w:p>
    <w:p>
      <w:pPr>
        <w:spacing w:after="0" w:line="52"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17.4% to $134.1 million</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Overall store count grew 4.7%, and fiscal 2020 ended with 1,205 stores</w:t>
      </w:r>
    </w:p>
    <w:p>
      <w:pPr>
        <w:spacing w:after="0" w:line="130" w:lineRule="exact"/>
        <w:rPr>
          <w:rFonts w:ascii="Arial" w:cs="Arial" w:eastAsia="Arial" w:hAnsi="Arial"/>
          <w:sz w:val="18"/>
          <w:szCs w:val="18"/>
          <w:color w:val="3C5896"/>
        </w:rPr>
      </w:pPr>
    </w:p>
    <w:p>
      <w:pPr>
        <w:jc w:val="both"/>
        <w:ind w:left="1340" w:hanging="218"/>
        <w:spacing w:after="0" w:line="213" w:lineRule="auto"/>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Total comparable store sales growth for the seven months ended January 2, 2021 (after we began gradually re-opening stores to the public) was 13.1%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seven months ended January 2, 2021 was 12.6%</w:t>
      </w:r>
    </w:p>
    <w:p>
      <w:pPr>
        <w:spacing w:after="0" w:line="109"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Record operating cash flows increased from $165.1 million in 2019 to $235.0 million in 2020</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Diluted EPS increased 9.1% to $0.44;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21.9% to $0.91</w:t>
      </w:r>
    </w:p>
    <w:p>
      <w:pPr>
        <w:spacing w:after="0" w:line="92" w:lineRule="exact"/>
        <w:rPr>
          <w:rFonts w:ascii="Arial" w:cs="Arial" w:eastAsia="Arial" w:hAnsi="Arial"/>
          <w:sz w:val="18"/>
          <w:szCs w:val="18"/>
          <w:color w:val="3C5896"/>
        </w:rPr>
      </w:pPr>
    </w:p>
    <w:p>
      <w:pPr>
        <w:ind w:left="1340" w:hanging="218"/>
        <w:spacing w:after="0"/>
        <w:tabs>
          <w:tab w:leader="none" w:pos="134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Our cash balance was $373.9 million as of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92075</wp:posOffset>
            </wp:positionV>
            <wp:extent cx="5220335" cy="3146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033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60" w:firstLine="2"/>
        <w:spacing w:after="0" w:line="226" w:lineRule="auto"/>
        <w:tabs>
          <w:tab w:leader="none" w:pos="977"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EBTDA, Adjusted Operating Income, Adjusted Comparable Store Sales Growth and Adjusted Diluted EPS to the most directly comparable GAAP measures, see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299720" cy="2400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GOVERNANCE AND 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16" w:lineRule="exact"/>
        <w:rPr>
          <w:sz w:val="20"/>
          <w:szCs w:val="20"/>
          <w:color w:val="auto"/>
        </w:rPr>
      </w:pPr>
    </w:p>
    <w:p>
      <w:pPr>
        <w:ind w:left="940" w:hanging="178"/>
        <w:spacing w:after="0"/>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Independent, non-executive Chair of the Board</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All independent directors, except our CEO</w:t>
      </w:r>
    </w:p>
    <w:p>
      <w:pPr>
        <w:spacing w:after="0" w:line="115"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100% independent Board committees</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7 new independent directors since 2014</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6 experienced current and former CEOs/CFOs</w:t>
      </w:r>
    </w:p>
    <w:p>
      <w:pPr>
        <w:spacing w:after="0" w:line="115" w:lineRule="exact"/>
        <w:rPr>
          <w:rFonts w:ascii="MS PGothic" w:cs="MS PGothic" w:eastAsia="MS PGothic" w:hAnsi="MS PGothic"/>
          <w:sz w:val="17"/>
          <w:szCs w:val="17"/>
          <w:color w:val="auto"/>
          <w:shd w:val="clear" w:color="auto" w:fill="3C5896"/>
        </w:rPr>
      </w:pPr>
    </w:p>
    <w:p>
      <w:pPr>
        <w:ind w:left="940" w:right="300" w:hanging="178"/>
        <w:spacing w:after="0" w:line="285" w:lineRule="auto"/>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5 diverse directors, including 2 directors of racial/ethnic diversity</w:t>
      </w:r>
    </w:p>
    <w:p>
      <w:pPr>
        <w:spacing w:after="0" w:line="35" w:lineRule="exact"/>
        <w:rPr>
          <w:rFonts w:ascii="MS PGothic" w:cs="MS PGothic" w:eastAsia="MS PGothic" w:hAnsi="MS PGothic"/>
          <w:sz w:val="17"/>
          <w:szCs w:val="17"/>
          <w:color w:val="auto"/>
          <w:shd w:val="clear" w:color="auto" w:fill="3C5896"/>
        </w:rPr>
      </w:pPr>
    </w:p>
    <w:p>
      <w:pPr>
        <w:ind w:left="940" w:right="380" w:hanging="178"/>
        <w:spacing w:after="0" w:line="285" w:lineRule="auto"/>
        <w:tabs>
          <w:tab w:leader="none" w:pos="940" w:val="left"/>
        </w:tabs>
        <w:numPr>
          <w:ilvl w:val="0"/>
          <w:numId w:val="9"/>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Regular Board executive sessions without management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80" w:right="1060" w:hanging="180"/>
        <w:spacing w:after="0" w:line="285" w:lineRule="auto"/>
        <w:tabs>
          <w:tab w:leader="none" w:pos="18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Robust director and executive stock ownership guidelines</w:t>
      </w:r>
    </w:p>
    <w:p>
      <w:pPr>
        <w:spacing w:after="0" w:line="35" w:lineRule="exact"/>
        <w:rPr>
          <w:rFonts w:ascii="MS PGothic" w:cs="MS PGothic" w:eastAsia="MS PGothic" w:hAnsi="MS PGothic"/>
          <w:sz w:val="17"/>
          <w:szCs w:val="17"/>
          <w:color w:val="auto"/>
          <w:shd w:val="clear" w:color="auto" w:fill="3C5896"/>
        </w:rPr>
      </w:pPr>
    </w:p>
    <w:p>
      <w:pPr>
        <w:ind w:left="180" w:hanging="180"/>
        <w:spacing w:after="0"/>
        <w:tabs>
          <w:tab w:leader="none" w:pos="18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Anti-hedging policy</w:t>
      </w:r>
    </w:p>
    <w:p>
      <w:pPr>
        <w:spacing w:after="0" w:line="115" w:lineRule="exact"/>
        <w:rPr>
          <w:rFonts w:ascii="MS PGothic" w:cs="MS PGothic" w:eastAsia="MS PGothic" w:hAnsi="MS PGothic"/>
          <w:sz w:val="17"/>
          <w:szCs w:val="17"/>
          <w:color w:val="auto"/>
          <w:shd w:val="clear" w:color="auto" w:fill="3C5896"/>
        </w:rPr>
      </w:pPr>
    </w:p>
    <w:p>
      <w:pPr>
        <w:ind w:left="180" w:hanging="180"/>
        <w:spacing w:after="0"/>
        <w:tabs>
          <w:tab w:leader="none" w:pos="18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Strong stockholder engagement program</w:t>
      </w:r>
    </w:p>
    <w:p>
      <w:pPr>
        <w:spacing w:after="0" w:line="101" w:lineRule="exact"/>
        <w:rPr>
          <w:rFonts w:ascii="MS PGothic" w:cs="MS PGothic" w:eastAsia="MS PGothic" w:hAnsi="MS PGothic"/>
          <w:sz w:val="17"/>
          <w:szCs w:val="17"/>
          <w:color w:val="auto"/>
          <w:shd w:val="clear" w:color="auto" w:fill="3C5896"/>
        </w:rPr>
      </w:pPr>
    </w:p>
    <w:p>
      <w:pPr>
        <w:ind w:left="180" w:right="1540" w:hanging="180"/>
        <w:spacing w:after="0" w:line="285" w:lineRule="auto"/>
        <w:tabs>
          <w:tab w:leader="none" w:pos="18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Formal disclosure committee for financial reporting purposes</w:t>
      </w:r>
    </w:p>
    <w:p>
      <w:pPr>
        <w:spacing w:after="0" w:line="35" w:lineRule="exact"/>
        <w:rPr>
          <w:rFonts w:ascii="MS PGothic" w:cs="MS PGothic" w:eastAsia="MS PGothic" w:hAnsi="MS PGothic"/>
          <w:sz w:val="17"/>
          <w:szCs w:val="17"/>
          <w:color w:val="auto"/>
          <w:shd w:val="clear" w:color="auto" w:fill="3C5896"/>
        </w:rPr>
      </w:pPr>
    </w:p>
    <w:p>
      <w:pPr>
        <w:ind w:left="180" w:right="1560" w:hanging="180"/>
        <w:spacing w:after="0" w:line="285" w:lineRule="auto"/>
        <w:tabs>
          <w:tab w:leader="none" w:pos="18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Annual robust Board and Committee self-assessments</w:t>
      </w:r>
    </w:p>
    <w:p>
      <w:pPr>
        <w:spacing w:after="0" w:line="543" w:lineRule="exact"/>
        <w:rPr>
          <w:sz w:val="20"/>
          <w:szCs w:val="20"/>
          <w:color w:val="auto"/>
        </w:rPr>
      </w:pPr>
    </w:p>
    <w:p>
      <w:pPr>
        <w:sectPr>
          <w:pgSz w:w="11900" w:h="16838" w:orient="portrait"/>
          <w:cols w:equalWidth="0" w:num="2">
            <w:col w:w="4900" w:space="560"/>
            <w:col w:w="5260"/>
          </w:cols>
          <w:pgMar w:left="580" w:top="132" w:right="599" w:bottom="1440" w:gutter="0" w:footer="0" w:header="0"/>
          <w:type w:val="continuous"/>
        </w:sectPr>
      </w:pPr>
    </w:p>
    <w:p>
      <w:pPr>
        <w:ind w:left="760" w:right="7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Set forth below is a snapshot of our current National Vision Board, their independence, diversity and skills/ qualifications. See Proposal 1 beginning on page </w:t>
      </w:r>
      <w:hyperlink w:anchor="page14">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details on the election of our Class I directors.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CURRENT NATIONAL VISION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2" w:lineRule="exact"/>
        <w:rPr>
          <w:sz w:val="20"/>
          <w:szCs w:val="20"/>
          <w:color w:val="auto"/>
        </w:rPr>
      </w:pPr>
    </w:p>
    <w:tbl>
      <w:tblPr>
        <w:tblLayout w:type="fixed"/>
        <w:tblInd w:w="770" w:type="dxa"/>
        <w:tblCellMar>
          <w:top w:w="0" w:type="dxa"/>
          <w:left w:w="0" w:type="dxa"/>
          <w:bottom w:w="0" w:type="dxa"/>
          <w:right w:w="0" w:type="dxa"/>
        </w:tblCellMar>
      </w:tblPr>
      <w:tr>
        <w:trPr>
          <w:trHeight w:val="324"/>
        </w:trPr>
        <w:tc>
          <w:tcPr>
            <w:tcW w:w="1820" w:type="dxa"/>
            <w:vAlign w:val="bottom"/>
            <w:tcBorders>
              <w:top w:val="single" w:sz="8" w:color="3C5896"/>
              <w:left w:val="single" w:sz="8" w:color="3C5896"/>
              <w:right w:val="single" w:sz="8" w:color="9EACCA"/>
            </w:tcBorders>
            <w:vMerge w:val="restart"/>
            <w:shd w:val="clear" w:color="auto" w:fill="3C5896"/>
          </w:tcPr>
          <w:p>
            <w:pPr>
              <w:ind w:left="500"/>
              <w:spacing w:after="0"/>
              <w:rPr>
                <w:sz w:val="20"/>
                <w:szCs w:val="20"/>
                <w:color w:val="auto"/>
              </w:rPr>
            </w:pPr>
            <w:r>
              <w:rPr>
                <w:rFonts w:ascii="Arial" w:cs="Arial" w:eastAsia="Arial" w:hAnsi="Arial"/>
                <w:sz w:val="18"/>
                <w:szCs w:val="18"/>
                <w:b w:val="1"/>
                <w:bCs w:val="1"/>
                <w:color w:val="FFFFFF"/>
              </w:rPr>
              <w:t>Directors</w:t>
            </w:r>
          </w:p>
        </w:tc>
        <w:tc>
          <w:tcPr>
            <w:tcW w:w="80" w:type="dxa"/>
            <w:vAlign w:val="bottom"/>
            <w:tcBorders>
              <w:top w:val="single" w:sz="8" w:color="3C5896"/>
            </w:tcBorders>
            <w:shd w:val="clear" w:color="auto" w:fill="3C5896"/>
          </w:tcPr>
          <w:p>
            <w:pPr>
              <w:spacing w:after="0"/>
              <w:rPr>
                <w:sz w:val="24"/>
                <w:szCs w:val="24"/>
                <w:color w:val="auto"/>
              </w:rPr>
            </w:pPr>
          </w:p>
        </w:tc>
        <w:tc>
          <w:tcPr>
            <w:tcW w:w="64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Age</w:t>
            </w:r>
          </w:p>
        </w:tc>
        <w:tc>
          <w:tcPr>
            <w:tcW w:w="60" w:type="dxa"/>
            <w:vAlign w:val="bottom"/>
            <w:tcBorders>
              <w:top w:val="single" w:sz="8" w:color="3C5896"/>
            </w:tcBorders>
            <w:shd w:val="clear" w:color="auto" w:fill="3C5896"/>
          </w:tcPr>
          <w:p>
            <w:pPr>
              <w:spacing w:after="0"/>
              <w:rPr>
                <w:sz w:val="24"/>
                <w:szCs w:val="24"/>
                <w:color w:val="auto"/>
              </w:rPr>
            </w:pPr>
          </w:p>
        </w:tc>
        <w:tc>
          <w:tcPr>
            <w:tcW w:w="840" w:type="dxa"/>
            <w:vAlign w:val="bottom"/>
            <w:tcBorders>
              <w:top w:val="single" w:sz="8" w:color="3C5896"/>
              <w:right w:val="single" w:sz="8" w:color="9EACCA"/>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Director</w:t>
            </w:r>
          </w:p>
        </w:tc>
        <w:tc>
          <w:tcPr>
            <w:tcW w:w="80" w:type="dxa"/>
            <w:vAlign w:val="bottom"/>
            <w:tcBorders>
              <w:top w:val="single" w:sz="8" w:color="3C5896"/>
            </w:tcBorders>
            <w:shd w:val="clear" w:color="auto" w:fill="3C5896"/>
          </w:tcPr>
          <w:p>
            <w:pPr>
              <w:spacing w:after="0"/>
              <w:rPr>
                <w:sz w:val="24"/>
                <w:szCs w:val="24"/>
                <w:color w:val="auto"/>
              </w:rPr>
            </w:pPr>
          </w:p>
        </w:tc>
        <w:tc>
          <w:tcPr>
            <w:tcW w:w="2660" w:type="dxa"/>
            <w:vAlign w:val="bottom"/>
            <w:tcBorders>
              <w:top w:val="single" w:sz="8" w:color="3C5896"/>
              <w:right w:val="single" w:sz="8" w:color="9EACCA"/>
            </w:tcBorders>
            <w:vMerge w:val="restart"/>
            <w:shd w:val="clear" w:color="auto" w:fill="3C5896"/>
          </w:tcPr>
          <w:p>
            <w:pPr>
              <w:ind w:left="800"/>
              <w:spacing w:after="0"/>
              <w:rPr>
                <w:sz w:val="20"/>
                <w:szCs w:val="20"/>
                <w:color w:val="auto"/>
              </w:rPr>
            </w:pPr>
            <w:r>
              <w:rPr>
                <w:rFonts w:ascii="Arial" w:cs="Arial" w:eastAsia="Arial" w:hAnsi="Arial"/>
                <w:sz w:val="18"/>
                <w:szCs w:val="18"/>
                <w:b w:val="1"/>
                <w:bCs w:val="1"/>
                <w:color w:val="FFFFFF"/>
              </w:rPr>
              <w:t>Occupation</w:t>
            </w:r>
          </w:p>
        </w:tc>
        <w:tc>
          <w:tcPr>
            <w:tcW w:w="80" w:type="dxa"/>
            <w:vAlign w:val="bottom"/>
            <w:tcBorders>
              <w:top w:val="single" w:sz="8" w:color="3C5896"/>
            </w:tcBorders>
            <w:shd w:val="clear" w:color="auto" w:fill="3C5896"/>
          </w:tcPr>
          <w:p>
            <w:pPr>
              <w:spacing w:after="0"/>
              <w:rPr>
                <w:sz w:val="24"/>
                <w:szCs w:val="24"/>
                <w:color w:val="auto"/>
              </w:rPr>
            </w:pPr>
          </w:p>
        </w:tc>
        <w:tc>
          <w:tcPr>
            <w:tcW w:w="840" w:type="dxa"/>
            <w:vAlign w:val="bottom"/>
            <w:tcBorders>
              <w:top w:val="single" w:sz="8" w:color="3C5896"/>
              <w:right w:val="single" w:sz="8" w:color="9EACCA"/>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Director</w:t>
            </w:r>
          </w:p>
        </w:tc>
        <w:tc>
          <w:tcPr>
            <w:tcW w:w="80" w:type="dxa"/>
            <w:vAlign w:val="bottom"/>
            <w:tcBorders>
              <w:top w:val="single" w:sz="8" w:color="3C5896"/>
            </w:tcBorders>
            <w:shd w:val="clear" w:color="auto" w:fill="3C5896"/>
          </w:tcPr>
          <w:p>
            <w:pPr>
              <w:spacing w:after="0"/>
              <w:rPr>
                <w:sz w:val="24"/>
                <w:szCs w:val="24"/>
                <w:color w:val="auto"/>
              </w:rPr>
            </w:pPr>
          </w:p>
        </w:tc>
        <w:tc>
          <w:tcPr>
            <w:tcW w:w="2020" w:type="dxa"/>
            <w:vAlign w:val="bottom"/>
            <w:tcBorders>
              <w:top w:val="single" w:sz="8" w:color="3C5896"/>
              <w:right w:val="single" w:sz="8" w:color="3C5896"/>
            </w:tcBorders>
            <w:shd w:val="clear" w:color="auto" w:fill="3C5896"/>
          </w:tcPr>
          <w:p>
            <w:pPr>
              <w:ind w:left="500"/>
              <w:spacing w:after="0"/>
              <w:rPr>
                <w:sz w:val="20"/>
                <w:szCs w:val="20"/>
                <w:color w:val="auto"/>
              </w:rPr>
            </w:pPr>
            <w:r>
              <w:rPr>
                <w:rFonts w:ascii="Arial" w:cs="Arial" w:eastAsia="Arial" w:hAnsi="Arial"/>
                <w:sz w:val="18"/>
                <w:szCs w:val="18"/>
                <w:b w:val="1"/>
                <w:bCs w:val="1"/>
                <w:color w:val="FFFFFF"/>
              </w:rPr>
              <w:t>Committee</w:t>
            </w:r>
          </w:p>
        </w:tc>
        <w:tc>
          <w:tcPr>
            <w:tcW w:w="0" w:type="dxa"/>
            <w:vAlign w:val="bottom"/>
          </w:tcPr>
          <w:p>
            <w:pPr>
              <w:spacing w:after="0"/>
              <w:rPr>
                <w:sz w:val="1"/>
                <w:szCs w:val="1"/>
                <w:color w:val="auto"/>
              </w:rPr>
            </w:pPr>
          </w:p>
        </w:tc>
      </w:tr>
      <w:tr>
        <w:trPr>
          <w:trHeight w:val="243"/>
        </w:trPr>
        <w:tc>
          <w:tcPr>
            <w:tcW w:w="1820" w:type="dxa"/>
            <w:vAlign w:val="bottom"/>
            <w:tcBorders>
              <w:left w:val="single" w:sz="8" w:color="3C5896"/>
              <w:right w:val="single" w:sz="8" w:color="9EACCA"/>
            </w:tcBorders>
            <w:vMerge w:val="continue"/>
            <w:shd w:val="clear" w:color="auto" w:fill="3C5896"/>
          </w:tcPr>
          <w:p>
            <w:pPr>
              <w:spacing w:after="0"/>
              <w:rPr>
                <w:sz w:val="21"/>
                <w:szCs w:val="21"/>
                <w:color w:val="auto"/>
              </w:rPr>
            </w:pPr>
          </w:p>
        </w:tc>
        <w:tc>
          <w:tcPr>
            <w:tcW w:w="80" w:type="dxa"/>
            <w:vAlign w:val="bottom"/>
            <w:shd w:val="clear" w:color="auto" w:fill="3C5896"/>
          </w:tcPr>
          <w:p>
            <w:pPr>
              <w:spacing w:after="0"/>
              <w:rPr>
                <w:sz w:val="21"/>
                <w:szCs w:val="21"/>
                <w:color w:val="auto"/>
              </w:rPr>
            </w:pPr>
          </w:p>
        </w:tc>
        <w:tc>
          <w:tcPr>
            <w:tcW w:w="640" w:type="dxa"/>
            <w:vAlign w:val="bottom"/>
            <w:tcBorders>
              <w:right w:val="single" w:sz="8" w:color="9EACCA"/>
            </w:tcBorders>
            <w:vMerge w:val="continue"/>
            <w:shd w:val="clear" w:color="auto" w:fill="3C5896"/>
          </w:tcPr>
          <w:p>
            <w:pPr>
              <w:spacing w:after="0"/>
              <w:rPr>
                <w:sz w:val="21"/>
                <w:szCs w:val="21"/>
                <w:color w:val="auto"/>
              </w:rPr>
            </w:pPr>
          </w:p>
        </w:tc>
        <w:tc>
          <w:tcPr>
            <w:tcW w:w="60" w:type="dxa"/>
            <w:vAlign w:val="bottom"/>
            <w:shd w:val="clear" w:color="auto" w:fill="3C5896"/>
          </w:tcPr>
          <w:p>
            <w:pPr>
              <w:spacing w:after="0"/>
              <w:rPr>
                <w:sz w:val="21"/>
                <w:szCs w:val="21"/>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80" w:type="dxa"/>
            <w:vAlign w:val="bottom"/>
            <w:shd w:val="clear" w:color="auto" w:fill="3C5896"/>
          </w:tcPr>
          <w:p>
            <w:pPr>
              <w:spacing w:after="0"/>
              <w:rPr>
                <w:sz w:val="21"/>
                <w:szCs w:val="21"/>
                <w:color w:val="auto"/>
              </w:rPr>
            </w:pPr>
          </w:p>
        </w:tc>
        <w:tc>
          <w:tcPr>
            <w:tcW w:w="2660" w:type="dxa"/>
            <w:vAlign w:val="bottom"/>
            <w:tcBorders>
              <w:right w:val="single" w:sz="8" w:color="9EACCA"/>
            </w:tcBorders>
            <w:vMerge w:val="continue"/>
            <w:shd w:val="clear" w:color="auto" w:fill="3C5896"/>
          </w:tcPr>
          <w:p>
            <w:pPr>
              <w:spacing w:after="0"/>
              <w:rPr>
                <w:sz w:val="21"/>
                <w:szCs w:val="21"/>
                <w:color w:val="auto"/>
              </w:rPr>
            </w:pPr>
          </w:p>
        </w:tc>
        <w:tc>
          <w:tcPr>
            <w:tcW w:w="80" w:type="dxa"/>
            <w:vAlign w:val="bottom"/>
            <w:shd w:val="clear" w:color="auto" w:fill="3C5896"/>
          </w:tcPr>
          <w:p>
            <w:pPr>
              <w:spacing w:after="0"/>
              <w:rPr>
                <w:sz w:val="21"/>
                <w:szCs w:val="21"/>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Class</w:t>
            </w:r>
          </w:p>
        </w:tc>
        <w:tc>
          <w:tcPr>
            <w:tcW w:w="80" w:type="dxa"/>
            <w:vAlign w:val="bottom"/>
            <w:shd w:val="clear" w:color="auto" w:fill="3C5896"/>
          </w:tcPr>
          <w:p>
            <w:pPr>
              <w:spacing w:after="0"/>
              <w:rPr>
                <w:sz w:val="21"/>
                <w:szCs w:val="21"/>
                <w:color w:val="auto"/>
              </w:rPr>
            </w:pPr>
          </w:p>
        </w:tc>
        <w:tc>
          <w:tcPr>
            <w:tcW w:w="2020" w:type="dxa"/>
            <w:vAlign w:val="bottom"/>
            <w:tcBorders>
              <w:right w:val="single" w:sz="8" w:color="3C5896"/>
            </w:tcBorders>
            <w:shd w:val="clear" w:color="auto" w:fill="3C5896"/>
          </w:tcPr>
          <w:p>
            <w:pPr>
              <w:ind w:left="460"/>
              <w:spacing w:after="0"/>
              <w:rPr>
                <w:sz w:val="20"/>
                <w:szCs w:val="20"/>
                <w:color w:val="auto"/>
              </w:rPr>
            </w:pPr>
            <w:r>
              <w:rPr>
                <w:rFonts w:ascii="Arial" w:cs="Arial" w:eastAsia="Arial" w:hAnsi="Arial"/>
                <w:sz w:val="18"/>
                <w:szCs w:val="18"/>
                <w:b w:val="1"/>
                <w:bCs w:val="1"/>
                <w:color w:val="FFFFFF"/>
              </w:rPr>
              <w:t>Membership</w:t>
            </w: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L. Reade Fahs*</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60</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Chief Executive Officer, National</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20" w:type="dxa"/>
            <w:vAlign w:val="bottom"/>
            <w:tcBorders>
              <w:left w:val="single" w:sz="8" w:color="3C5896"/>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9EACCA"/>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Vision</w:t>
            </w:r>
          </w:p>
        </w:tc>
        <w:tc>
          <w:tcPr>
            <w:tcW w:w="8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D. Randolph Peeler**</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56</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CCCC"/>
          </w:tcPr>
          <w:p>
            <w:pPr>
              <w:spacing w:after="0"/>
              <w:rPr>
                <w:sz w:val="17"/>
                <w:szCs w:val="17"/>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Managing Director, Berkshire</w:t>
            </w:r>
          </w:p>
        </w:tc>
        <w:tc>
          <w:tcPr>
            <w:tcW w:w="80" w:type="dxa"/>
            <w:vAlign w:val="bottom"/>
            <w:shd w:val="clear" w:color="auto" w:fill="CCCCCC"/>
          </w:tcPr>
          <w:p>
            <w:pPr>
              <w:spacing w:after="0"/>
              <w:rPr>
                <w:sz w:val="17"/>
                <w:szCs w:val="17"/>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shd w:val="clear" w:color="auto" w:fill="CCCCCC"/>
          </w:tcPr>
          <w:p>
            <w:pPr>
              <w:spacing w:after="0"/>
              <w:rPr>
                <w:sz w:val="17"/>
                <w:szCs w:val="17"/>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195"/>
        </w:trPr>
        <w:tc>
          <w:tcPr>
            <w:tcW w:w="1820" w:type="dxa"/>
            <w:vAlign w:val="bottom"/>
            <w:tcBorders>
              <w:left w:val="single" w:sz="8" w:color="3C5896"/>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640" w:type="dxa"/>
            <w:vAlign w:val="bottom"/>
            <w:tcBorders>
              <w:right w:val="single" w:sz="8" w:color="9EACCA"/>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Partners LLC</w:t>
            </w:r>
          </w:p>
        </w:tc>
        <w:tc>
          <w:tcPr>
            <w:tcW w:w="8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256"/>
        </w:trPr>
        <w:tc>
          <w:tcPr>
            <w:tcW w:w="1820" w:type="dxa"/>
            <w:vAlign w:val="bottom"/>
            <w:tcBorders>
              <w:left w:val="single" w:sz="8" w:color="3C5896"/>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640" w:type="dxa"/>
            <w:vAlign w:val="bottom"/>
            <w:tcBorders>
              <w:bottom w:val="single" w:sz="8" w:color="CCCCCC"/>
              <w:right w:val="single" w:sz="8" w:color="9EACCA"/>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84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266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84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2020" w:type="dxa"/>
            <w:vAlign w:val="bottom"/>
            <w:tcBorders>
              <w:bottom w:val="single" w:sz="8" w:color="CCCCCC"/>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Jose Armario</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62</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CEO, Bojangles’, Inc.</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204"/>
        </w:trPr>
        <w:tc>
          <w:tcPr>
            <w:tcW w:w="1820" w:type="dxa"/>
            <w:vAlign w:val="bottom"/>
            <w:tcBorders>
              <w:left w:val="single" w:sz="8" w:color="3C5896"/>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9EACCA"/>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20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Heather Cianfrocco</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47</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CCCC"/>
          </w:tcPr>
          <w:p>
            <w:pPr>
              <w:spacing w:after="0"/>
              <w:rPr>
                <w:sz w:val="17"/>
                <w:szCs w:val="17"/>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CEO, OptumRX at UnitedHealth</w:t>
            </w:r>
          </w:p>
        </w:tc>
        <w:tc>
          <w:tcPr>
            <w:tcW w:w="80" w:type="dxa"/>
            <w:vAlign w:val="bottom"/>
            <w:shd w:val="clear" w:color="auto" w:fill="CCCCCC"/>
          </w:tcPr>
          <w:p>
            <w:pPr>
              <w:spacing w:after="0"/>
              <w:rPr>
                <w:sz w:val="17"/>
                <w:szCs w:val="17"/>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shd w:val="clear" w:color="auto" w:fill="CCCCCC"/>
          </w:tcPr>
          <w:p>
            <w:pPr>
              <w:spacing w:after="0"/>
              <w:rPr>
                <w:sz w:val="17"/>
                <w:szCs w:val="17"/>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14"/>
        </w:trPr>
        <w:tc>
          <w:tcPr>
            <w:tcW w:w="1820" w:type="dxa"/>
            <w:vAlign w:val="bottom"/>
            <w:tcBorders>
              <w:left w:val="single" w:sz="8" w:color="3C5896"/>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Group</w:t>
            </w:r>
          </w:p>
        </w:tc>
        <w:tc>
          <w:tcPr>
            <w:tcW w:w="8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2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Virginia Hepner</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63</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Retired CEO, The Woodruff Arts</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195"/>
        </w:trPr>
        <w:tc>
          <w:tcPr>
            <w:tcW w:w="1820" w:type="dxa"/>
            <w:vAlign w:val="bottom"/>
            <w:tcBorders>
              <w:left w:val="single" w:sz="8" w:color="3C5896"/>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9EACCA"/>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Center</w:t>
            </w:r>
          </w:p>
        </w:tc>
        <w:tc>
          <w:tcPr>
            <w:tcW w:w="80" w:type="dxa"/>
            <w:vAlign w:val="bottom"/>
          </w:tcPr>
          <w:p>
            <w:pPr>
              <w:spacing w:after="0"/>
              <w:rPr>
                <w:sz w:val="16"/>
                <w:szCs w:val="16"/>
                <w:color w:val="auto"/>
              </w:rPr>
            </w:pPr>
          </w:p>
        </w:tc>
        <w:tc>
          <w:tcPr>
            <w:tcW w:w="840" w:type="dxa"/>
            <w:vAlign w:val="bottom"/>
            <w:tcBorders>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right w:val="single" w:sz="8" w:color="3C5896"/>
            </w:tcBorders>
            <w:vMerge w:val="restart"/>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54"/>
        </w:trPr>
        <w:tc>
          <w:tcPr>
            <w:tcW w:w="1820" w:type="dxa"/>
            <w:vAlign w:val="bottom"/>
            <w:tcBorders>
              <w:left w:val="single" w:sz="8" w:color="3C5896"/>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right w:val="single" w:sz="8" w:color="9EACCA"/>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66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Borders>
              <w:right w:val="single" w:sz="8" w:color="3C589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3C5896"/>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30"/>
        </w:trPr>
        <w:tc>
          <w:tcPr>
            <w:tcW w:w="1820" w:type="dxa"/>
            <w:vAlign w:val="bottom"/>
            <w:tcBorders>
              <w:left w:val="single" w:sz="8" w:color="3C5896"/>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47"/>
        </w:trPr>
        <w:tc>
          <w:tcPr>
            <w:tcW w:w="1820" w:type="dxa"/>
            <w:vAlign w:val="bottom"/>
            <w:tcBorders>
              <w:left w:val="single" w:sz="8" w:color="3C5896"/>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right w:val="single" w:sz="8" w:color="9EACCA"/>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66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Borders>
              <w:right w:val="single" w:sz="8" w:color="3C5896"/>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Susan S. Johnson</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55</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CCCC"/>
          </w:tcPr>
          <w:p>
            <w:pPr>
              <w:spacing w:after="0"/>
              <w:rPr>
                <w:sz w:val="16"/>
                <w:szCs w:val="16"/>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Chief Marketing Officer, Prudential</w:t>
            </w:r>
          </w:p>
        </w:tc>
        <w:tc>
          <w:tcPr>
            <w:tcW w:w="8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shd w:val="clear" w:color="auto" w:fill="CCCCCC"/>
          </w:tcPr>
          <w:p>
            <w:pPr>
              <w:spacing w:after="0"/>
              <w:rPr>
                <w:sz w:val="16"/>
                <w:szCs w:val="16"/>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14"/>
        </w:trPr>
        <w:tc>
          <w:tcPr>
            <w:tcW w:w="1820" w:type="dxa"/>
            <w:vAlign w:val="bottom"/>
            <w:tcBorders>
              <w:left w:val="single" w:sz="8" w:color="3C5896"/>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Financial, Inc.</w:t>
            </w:r>
          </w:p>
        </w:tc>
        <w:tc>
          <w:tcPr>
            <w:tcW w:w="8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2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Naomi Kelman</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62</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0"/>
                <w:szCs w:val="20"/>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Former President and CEO, Willow</w:t>
            </w:r>
          </w:p>
        </w:tc>
        <w:tc>
          <w:tcPr>
            <w:tcW w:w="80" w:type="dxa"/>
            <w:vAlign w:val="bottom"/>
          </w:tcPr>
          <w:p>
            <w:pPr>
              <w:spacing w:after="0"/>
              <w:rPr>
                <w:sz w:val="20"/>
                <w:szCs w:val="20"/>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tcPr>
          <w:p>
            <w:pPr>
              <w:spacing w:after="0"/>
              <w:rPr>
                <w:sz w:val="20"/>
                <w:szCs w:val="20"/>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20"/>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Thomas V. Taylor, Jr.</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55</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2018</w:t>
            </w:r>
          </w:p>
        </w:tc>
        <w:tc>
          <w:tcPr>
            <w:tcW w:w="80" w:type="dxa"/>
            <w:vAlign w:val="bottom"/>
            <w:shd w:val="clear" w:color="auto" w:fill="CCCCCC"/>
          </w:tcPr>
          <w:p>
            <w:pPr>
              <w:spacing w:after="0"/>
              <w:rPr>
                <w:sz w:val="19"/>
                <w:szCs w:val="19"/>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CEO, Floor &amp; Decor</w:t>
            </w:r>
          </w:p>
        </w:tc>
        <w:tc>
          <w:tcPr>
            <w:tcW w:w="80" w:type="dxa"/>
            <w:vAlign w:val="bottom"/>
            <w:shd w:val="clear" w:color="auto" w:fill="CCCCCC"/>
          </w:tcPr>
          <w:p>
            <w:pPr>
              <w:spacing w:after="0"/>
              <w:rPr>
                <w:sz w:val="19"/>
                <w:szCs w:val="19"/>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shd w:val="clear" w:color="auto" w:fill="CCCCCC"/>
          </w:tcPr>
          <w:p>
            <w:pPr>
              <w:spacing w:after="0"/>
              <w:rPr>
                <w:sz w:val="19"/>
                <w:szCs w:val="19"/>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43"/>
        </w:trPr>
        <w:tc>
          <w:tcPr>
            <w:tcW w:w="1820" w:type="dxa"/>
            <w:vAlign w:val="bottom"/>
            <w:tcBorders>
              <w:left w:val="single" w:sz="8" w:color="3C5896"/>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640" w:type="dxa"/>
            <w:vAlign w:val="bottom"/>
            <w:tcBorders>
              <w:bottom w:val="single" w:sz="8" w:color="CCCCCC"/>
              <w:right w:val="single" w:sz="8" w:color="9EACCA"/>
            </w:tcBorders>
            <w:shd w:val="clear" w:color="auto" w:fill="CCCCCC"/>
          </w:tcPr>
          <w:p>
            <w:pPr>
              <w:spacing w:after="0"/>
              <w:rPr>
                <w:sz w:val="21"/>
                <w:szCs w:val="21"/>
                <w:color w:val="auto"/>
              </w:rPr>
            </w:pPr>
          </w:p>
        </w:tc>
        <w:tc>
          <w:tcPr>
            <w:tcW w:w="60" w:type="dxa"/>
            <w:vAlign w:val="bottom"/>
            <w:tcBorders>
              <w:bottom w:val="single" w:sz="8" w:color="CCCCCC"/>
            </w:tcBorders>
            <w:shd w:val="clear" w:color="auto" w:fill="CCCCCC"/>
          </w:tcPr>
          <w:p>
            <w:pPr>
              <w:spacing w:after="0"/>
              <w:rPr>
                <w:sz w:val="21"/>
                <w:szCs w:val="21"/>
                <w:color w:val="auto"/>
              </w:rPr>
            </w:pPr>
          </w:p>
        </w:tc>
        <w:tc>
          <w:tcPr>
            <w:tcW w:w="8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266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8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2020" w:type="dxa"/>
            <w:vAlign w:val="bottom"/>
            <w:tcBorders>
              <w:bottom w:val="single" w:sz="8" w:color="CCCCCC"/>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70"/>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David M. Tehle</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64</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23"/>
                <w:szCs w:val="23"/>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Retired CFO, Dollar General</w:t>
            </w:r>
          </w:p>
        </w:tc>
        <w:tc>
          <w:tcPr>
            <w:tcW w:w="80" w:type="dxa"/>
            <w:vAlign w:val="bottom"/>
          </w:tcPr>
          <w:p>
            <w:pPr>
              <w:spacing w:after="0"/>
              <w:rPr>
                <w:sz w:val="23"/>
                <w:szCs w:val="23"/>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tcPr>
          <w:p>
            <w:pPr>
              <w:spacing w:after="0"/>
              <w:rPr>
                <w:sz w:val="23"/>
                <w:szCs w:val="23"/>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 (Chair)</w:t>
            </w:r>
          </w:p>
        </w:tc>
        <w:tc>
          <w:tcPr>
            <w:tcW w:w="0" w:type="dxa"/>
            <w:vAlign w:val="bottom"/>
          </w:tcPr>
          <w:p>
            <w:pPr>
              <w:spacing w:after="0"/>
              <w:rPr>
                <w:sz w:val="1"/>
                <w:szCs w:val="1"/>
                <w:color w:val="auto"/>
              </w:rPr>
            </w:pPr>
          </w:p>
        </w:tc>
      </w:tr>
      <w:tr>
        <w:trPr>
          <w:trHeight w:val="20"/>
        </w:trPr>
        <w:tc>
          <w:tcPr>
            <w:tcW w:w="18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6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266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202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60"/>
        <w:spacing w:after="0"/>
        <w:tabs>
          <w:tab w:leader="none" w:pos="920" w:val="left"/>
        </w:tabs>
        <w:rPr>
          <w:sz w:val="20"/>
          <w:szCs w:val="20"/>
          <w:color w:val="auto"/>
        </w:rPr>
      </w:pPr>
      <w:r>
        <w:rPr>
          <w:rFonts w:ascii="Arial" w:cs="Arial" w:eastAsia="Arial" w:hAnsi="Arial"/>
          <w:sz w:val="14"/>
          <w:szCs w:val="14"/>
          <w:color w:val="auto"/>
        </w:rPr>
        <w:t>*</w:t>
        <w:tab/>
        <w:t>All directors are independent, except for Mr. Fahs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Mr. Peeler serves as the independent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1746250</wp:posOffset>
            </wp:positionV>
            <wp:extent cx="2997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7440"/>
              <w:spacing w:after="0"/>
              <w:rPr>
                <w:sz w:val="20"/>
                <w:szCs w:val="20"/>
                <w:color w:val="auto"/>
              </w:rPr>
            </w:pPr>
            <w:r>
              <w:rPr>
                <w:rFonts w:ascii="Arial" w:cs="Arial" w:eastAsia="Arial" w:hAnsi="Arial"/>
                <w:sz w:val="16"/>
                <w:szCs w:val="16"/>
                <w:color w:val="auto"/>
              </w:rPr>
              <w:t>2021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r>
      <w:tr>
        <w:trPr>
          <w:trHeight w:val="431"/>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157480</wp:posOffset>
            </wp:positionV>
            <wp:extent cx="5829300" cy="4260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PHILANTHROPY &amp; CORPORATE RESPONSIBILITY;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spacing w:after="0" w:line="234" w:lineRule="auto"/>
        <w:rPr>
          <w:sz w:val="20"/>
          <w:szCs w:val="20"/>
          <w:color w:val="auto"/>
        </w:rPr>
      </w:pPr>
      <w:r>
        <w:rPr>
          <w:rFonts w:ascii="Arial" w:cs="Arial" w:eastAsia="Arial" w:hAnsi="Arial"/>
          <w:sz w:val="18"/>
          <w:szCs w:val="18"/>
          <w:color w:val="auto"/>
        </w:rPr>
        <w:t>In August 2020, we published our first-ever philanthropic Impact Report detailing how the Company is transforming the lives of people in the United States and around the world. Our Impact Report focused on the Company’s impact through 2019 in the core areas of (1) helping children in need in the United States, (2) global giving and</w:t>
      </w:r>
    </w:p>
    <w:p>
      <w:pPr>
        <w:spacing w:after="0" w:line="2" w:lineRule="exact"/>
        <w:rPr>
          <w:sz w:val="20"/>
          <w:szCs w:val="20"/>
          <w:color w:val="auto"/>
        </w:rPr>
      </w:pPr>
    </w:p>
    <w:p>
      <w:pPr>
        <w:ind w:left="760" w:firstLine="2"/>
        <w:spacing w:after="0" w:line="246" w:lineRule="auto"/>
        <w:tabs>
          <w:tab w:leader="none" w:pos="10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partnering to make an impact, and also highlighted the Company’s commitment to providing help during the pandemic.</w:t>
      </w:r>
    </w:p>
    <w:p>
      <w:pPr>
        <w:spacing w:after="0" w:line="8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In addition to our ongoing philanthropic efforts, we are focused on a commitment to balancing the social, economic, human capital management and environmental aspects of our business and to developing additional disclosure to highlight our aspirations and achievements in these areas. In 2020, we began our formal Corporate Responsibility journey and completed a materiality assessment on the core pillars at the heart of our operations and goals.</w:t>
      </w:r>
    </w:p>
    <w:p>
      <w:pPr>
        <w:spacing w:after="0" w:line="97"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97" w:lineRule="exact"/>
        <w:rPr>
          <w:sz w:val="20"/>
          <w:szCs w:val="20"/>
          <w:color w:val="auto"/>
        </w:rPr>
      </w:pPr>
    </w:p>
    <w:p>
      <w:pPr>
        <w:jc w:val="both"/>
        <w:ind w:left="7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Philanthropy and Corporate Responsibility and Human Capital Management on pages </w:t>
      </w:r>
      <w:hyperlink w:anchor="page23">
        <w:r>
          <w:rPr>
            <w:rFonts w:ascii="Arial" w:cs="Arial" w:eastAsia="Arial" w:hAnsi="Arial"/>
            <w:sz w:val="18"/>
            <w:szCs w:val="18"/>
            <w:u w:val="single" w:color="auto"/>
            <w:color w:val="0000EE"/>
          </w:rPr>
          <w:t>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4">
        <w:r>
          <w:rPr>
            <w:rFonts w:ascii="Arial" w:cs="Arial" w:eastAsia="Arial" w:hAnsi="Arial"/>
            <w:sz w:val="18"/>
            <w:szCs w:val="18"/>
            <w:u w:val="single" w:color="auto"/>
            <w:color w:val="0000EE"/>
          </w:rPr>
          <w:t>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details.</w:t>
      </w:r>
    </w:p>
    <w:p>
      <w:pPr>
        <w:spacing w:after="0" w:line="234" w:lineRule="exact"/>
        <w:rPr>
          <w:sz w:val="20"/>
          <w:szCs w:val="20"/>
          <w:color w:val="auto"/>
        </w:rPr>
      </w:pPr>
    </w:p>
    <w:p>
      <w:pPr>
        <w:ind w:left="760" w:right="540"/>
        <w:spacing w:after="0" w:line="261" w:lineRule="auto"/>
        <w:rPr>
          <w:sz w:val="20"/>
          <w:szCs w:val="20"/>
          <w:color w:val="auto"/>
        </w:rPr>
      </w:pPr>
      <w:r>
        <w:rPr>
          <w:rFonts w:ascii="Arial" w:cs="Arial" w:eastAsia="Arial" w:hAnsi="Arial"/>
          <w:sz w:val="22"/>
          <w:szCs w:val="22"/>
          <w:b w:val="1"/>
          <w:bCs w:val="1"/>
          <w:color w:val="3C5896"/>
        </w:rPr>
        <w:t>PROPOSAL TO AMEND OUR CERTIFICATE OF INCORPORATION TO ELIMINATE THE CLASSIFIED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63"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Second Amended and Restated Certificate of Incorporation (the “certificate of incorporation”) currently provides for a classified Board of Directors divided into three classes, with approximately one-third of our directors standing for</w:t>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299720" cy="2317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720" cy="231775"/>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47" w:lineRule="exact"/>
        <w:rPr>
          <w:sz w:val="20"/>
          <w:szCs w:val="20"/>
          <w:color w:val="auto"/>
        </w:rPr>
      </w:pPr>
    </w:p>
    <w:p>
      <w:pPr>
        <w:jc w:val="both"/>
        <w:ind w:left="760" w:right="7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election each year. At last year’s annual meeting, the Board announced its commitment to submit for stockholder vote at the 2021 annual meeting a management proposal to amend our certificate of incorporation to eliminate the classified structure of the Board. After careful consideration, the Board has approved amendments to the certificate of incorporation to phase out the three-year staggered terms of our directors and transition to the annual election of all of our directors, subject to approval by stockholders. If the proposed amendments to the certificate of incorporation are approved by the stockholders, beginning at the Company’s 2022 annual meeting, directors standing for election will be elected to one-year terms. By the 2024 annual meeting, the Board will be completely declassified and all directors will stand for election annually. See Proposal 2 beginning on page </w:t>
      </w:r>
      <w:hyperlink w:anchor="page27">
        <w:r>
          <w:rPr>
            <w:rFonts w:ascii="Arial" w:cs="Arial" w:eastAsia="Arial" w:hAnsi="Arial"/>
            <w:sz w:val="18"/>
            <w:szCs w:val="18"/>
            <w:u w:val="single" w:color="auto"/>
            <w:color w:val="0000EE"/>
          </w:rPr>
          <w:t>24</w:t>
        </w:r>
      </w:hyperlink>
      <w:r>
        <w:rPr>
          <w:rFonts w:ascii="Arial" w:cs="Arial" w:eastAsia="Arial" w:hAnsi="Arial"/>
          <w:sz w:val="18"/>
          <w:szCs w:val="18"/>
          <w:color w:val="auto"/>
        </w:rPr>
        <w:t>.</w:t>
      </w:r>
    </w:p>
    <w:p>
      <w:pPr>
        <w:spacing w:after="0" w:line="284" w:lineRule="exact"/>
        <w:rPr>
          <w:sz w:val="20"/>
          <w:szCs w:val="20"/>
          <w:color w:val="auto"/>
        </w:rPr>
      </w:pPr>
    </w:p>
    <w:p>
      <w:pPr>
        <w:ind w:left="760" w:right="1780"/>
        <w:spacing w:after="0" w:line="285" w:lineRule="auto"/>
        <w:rPr>
          <w:sz w:val="20"/>
          <w:szCs w:val="20"/>
          <w:color w:val="auto"/>
        </w:rPr>
      </w:pPr>
      <w:r>
        <w:rPr>
          <w:rFonts w:ascii="Arial" w:cs="Arial" w:eastAsia="Arial" w:hAnsi="Arial"/>
          <w:sz w:val="21"/>
          <w:szCs w:val="21"/>
          <w:b w:val="1"/>
          <w:bCs w:val="1"/>
          <w:color w:val="3C5896"/>
        </w:rPr>
        <w:t>PROPOSAL TO AMEND OUR CERTIFICATE OF INCORPORATION TO ELIMINATE SUPERMAJORITY VOTING STANDARDS AND OTHER OBSOLETE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5837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40" w:lineRule="exact"/>
        <w:rPr>
          <w:sz w:val="20"/>
          <w:szCs w:val="20"/>
          <w:color w:val="auto"/>
        </w:rPr>
      </w:pPr>
    </w:p>
    <w:p>
      <w:pPr>
        <w:jc w:val="both"/>
        <w:ind w:left="760" w:right="760"/>
        <w:spacing w:after="0" w:line="250" w:lineRule="auto"/>
        <w:rPr>
          <w:sz w:val="20"/>
          <w:szCs w:val="20"/>
          <w:color w:val="auto"/>
        </w:rPr>
      </w:pPr>
      <w:r>
        <w:rPr>
          <w:rFonts w:ascii="Arial" w:cs="Arial" w:eastAsia="Arial" w:hAnsi="Arial"/>
          <w:sz w:val="18"/>
          <w:szCs w:val="18"/>
          <w:color w:val="auto"/>
        </w:rPr>
        <w:t>Our certificate of incorporation currently provides for supermajority voting standards for (1) any amendment to our certificate of incorporation related to: amendments to the certificate of incorporation or bylaws, the removal of directors, director liability, the ability for stockholders to act by written consent, completion and corporate opportunities and business combinations, (2) any amendment to our bylaws, (3) the removal of directors, and</w:t>
      </w:r>
    </w:p>
    <w:p>
      <w:pPr>
        <w:spacing w:after="0" w:line="2" w:lineRule="exact"/>
        <w:rPr>
          <w:sz w:val="20"/>
          <w:szCs w:val="20"/>
          <w:color w:val="auto"/>
        </w:rPr>
      </w:pPr>
    </w:p>
    <w:p>
      <w:pPr>
        <w:jc w:val="both"/>
        <w:ind w:left="760" w:right="760" w:firstLine="2"/>
        <w:spacing w:after="0" w:line="251" w:lineRule="auto"/>
        <w:tabs>
          <w:tab w:leader="none" w:pos="10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certain business combinations with interested stockholders. At last year’s annual meeting, the Board set forth its commitment to submit for stockholder vote at the 2021 annual meeting a management proposal to amend our certificate of incorporation to eliminate these supermajority voting standards. Our certificate of incorporation also includes certain obsolete provisions relating to the prior equity ownership of our former equity sponsors. After careful consideration, the Board has approved amendments to the certificate of incorporation to eliminate these supermajority voting standards and obsolete provisions, subject to approval by stockholders. If the proposed amendments to the certificate of incorporation are approved by the stockholders, these supermajority voting provisions and obsolete provisions would be eliminated immediately upon filing of an amendment to the certificate of incorporation (which the Company intends to do promptly following the Annual Meeting). See Proposal 3 beginning on page </w:t>
      </w:r>
      <w:hyperlink w:anchor="page29">
        <w:r>
          <w:rPr>
            <w:rFonts w:ascii="Arial" w:cs="Arial" w:eastAsia="Arial" w:hAnsi="Arial"/>
            <w:sz w:val="18"/>
            <w:szCs w:val="18"/>
            <w:u w:val="single" w:color="auto"/>
            <w:color w:val="0000EE"/>
          </w:rPr>
          <w:t>26</w:t>
        </w:r>
      </w:hyperlink>
      <w:r>
        <w:rPr>
          <w:rFonts w:ascii="Arial" w:cs="Arial" w:eastAsia="Arial" w:hAnsi="Arial"/>
          <w:sz w:val="18"/>
          <w:szCs w:val="18"/>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We strive to create an executive compensation program that strikes the right balance of pay for performance with an overarching goal to motivate our leaders to contribute to the achievement of our financial goals and focus on long-term value for our stockholders without taking undue risk. Our executive compensation program has three main components: (1) base salary; (2) annual cash incentive compensation; and (3) long-term incentive awards. Each component is designed to be consistent with the Company’s compensation philosophy.</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and governance practices that support these principles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92075</wp:posOffset>
            </wp:positionV>
            <wp:extent cx="5837555" cy="2871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7555" cy="287147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85" w:lineRule="exact"/>
        <w:rPr>
          <w:sz w:val="20"/>
          <w:szCs w:val="20"/>
          <w:color w:val="auto"/>
        </w:rPr>
      </w:pPr>
    </w:p>
    <w:p>
      <w:pPr>
        <w:ind w:left="1180" w:hanging="184"/>
        <w:spacing w:after="0"/>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76" w:lineRule="exact"/>
        <w:rPr>
          <w:rFonts w:ascii="MS PGothic" w:cs="MS PGothic" w:eastAsia="MS PGothic" w:hAnsi="MS PGothic"/>
          <w:sz w:val="18"/>
          <w:szCs w:val="18"/>
          <w:color w:val="3C5896"/>
        </w:rPr>
      </w:pPr>
    </w:p>
    <w:p>
      <w:pPr>
        <w:ind w:left="1180" w:right="600" w:hanging="184"/>
        <w:spacing w:after="0" w:line="261" w:lineRule="auto"/>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named executive officers (“NEOs”)</w:t>
      </w:r>
    </w:p>
    <w:p>
      <w:pPr>
        <w:spacing w:after="0" w:line="76" w:lineRule="exact"/>
        <w:rPr>
          <w:rFonts w:ascii="MS PGothic" w:cs="MS PGothic" w:eastAsia="MS PGothic" w:hAnsi="MS PGothic"/>
          <w:sz w:val="18"/>
          <w:szCs w:val="18"/>
          <w:color w:val="3C5896"/>
        </w:rPr>
      </w:pPr>
    </w:p>
    <w:p>
      <w:pPr>
        <w:ind w:left="1180" w:right="420" w:hanging="184"/>
        <w:spacing w:after="0" w:line="278" w:lineRule="auto"/>
        <w:tabs>
          <w:tab w:leader="none" w:pos="1180" w:val="left"/>
        </w:tabs>
        <w:numPr>
          <w:ilvl w:val="0"/>
          <w:numId w:val="13"/>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6" w:lineRule="exact"/>
        <w:rPr>
          <w:rFonts w:ascii="MS PGothic" w:cs="MS PGothic" w:eastAsia="MS PGothic" w:hAnsi="MS PGothic"/>
          <w:sz w:val="17"/>
          <w:szCs w:val="17"/>
          <w:color w:val="3C5896"/>
        </w:rPr>
      </w:pPr>
    </w:p>
    <w:p>
      <w:pPr>
        <w:ind w:left="1180" w:hanging="184"/>
        <w:spacing w:after="0"/>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76" w:lineRule="exact"/>
        <w:rPr>
          <w:rFonts w:ascii="MS PGothic" w:cs="MS PGothic" w:eastAsia="MS PGothic" w:hAnsi="MS PGothic"/>
          <w:sz w:val="18"/>
          <w:szCs w:val="18"/>
          <w:color w:val="3C5896"/>
        </w:rPr>
      </w:pPr>
    </w:p>
    <w:p>
      <w:pPr>
        <w:ind w:left="1180" w:hanging="184"/>
        <w:spacing w:after="0" w:line="261" w:lineRule="auto"/>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49"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76" w:lineRule="exact"/>
        <w:rPr>
          <w:rFonts w:ascii="MS PGothic" w:cs="MS PGothic" w:eastAsia="MS PGothic" w:hAnsi="MS PGothic"/>
          <w:sz w:val="18"/>
          <w:szCs w:val="18"/>
          <w:color w:val="3C5896"/>
        </w:rPr>
      </w:pPr>
    </w:p>
    <w:p>
      <w:pPr>
        <w:ind w:left="1180" w:right="320" w:hanging="184"/>
        <w:spacing w:after="0" w:line="261" w:lineRule="auto"/>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Maintain an established stockholder engagement program</w:t>
      </w:r>
    </w:p>
    <w:p>
      <w:pPr>
        <w:spacing w:after="0" w:line="63"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13"/>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99" w:lineRule="exact"/>
        <w:rPr>
          <w:sz w:val="20"/>
          <w:szCs w:val="20"/>
          <w:color w:val="auto"/>
        </w:rPr>
      </w:pPr>
    </w:p>
    <w:p>
      <w:pPr>
        <w:ind w:left="360" w:right="1220" w:hanging="185"/>
        <w:spacing w:after="0" w:line="261"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 in Control</w:t>
      </w:r>
    </w:p>
    <w:p>
      <w:pPr>
        <w:spacing w:after="0" w:line="76" w:lineRule="exact"/>
        <w:rPr>
          <w:rFonts w:ascii="MS PGothic" w:cs="MS PGothic" w:eastAsia="MS PGothic" w:hAnsi="MS PGothic"/>
          <w:sz w:val="18"/>
          <w:szCs w:val="18"/>
          <w:color w:val="auto"/>
        </w:rPr>
      </w:pPr>
    </w:p>
    <w:p>
      <w:pPr>
        <w:ind w:left="360" w:right="900" w:hanging="185"/>
        <w:spacing w:after="0" w:line="261"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1580" w:hanging="185"/>
        <w:spacing w:after="0" w:line="261"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62" w:lineRule="exact"/>
        <w:rPr>
          <w:rFonts w:ascii="MS PGothic" w:cs="MS PGothic" w:eastAsia="MS PGothic" w:hAnsi="MS PGothic"/>
          <w:sz w:val="18"/>
          <w:szCs w:val="18"/>
          <w:color w:val="auto"/>
        </w:rPr>
      </w:pPr>
    </w:p>
    <w:p>
      <w:pPr>
        <w:ind w:left="360" w:right="980" w:hanging="185"/>
        <w:spacing w:after="0" w:line="254"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stockholder approval</w:t>
      </w:r>
    </w:p>
    <w:p>
      <w:pPr>
        <w:spacing w:after="0" w:line="82" w:lineRule="exact"/>
        <w:rPr>
          <w:rFonts w:ascii="MS PGothic" w:cs="MS PGothic" w:eastAsia="MS PGothic" w:hAnsi="MS PGothic"/>
          <w:sz w:val="18"/>
          <w:szCs w:val="18"/>
          <w:color w:val="auto"/>
        </w:rPr>
      </w:pPr>
    </w:p>
    <w:p>
      <w:pPr>
        <w:ind w:left="360" w:right="1480" w:hanging="185"/>
        <w:spacing w:after="0" w:line="261"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1052195</wp:posOffset>
            </wp:positionV>
            <wp:extent cx="29972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6360" w:space="280"/>
            <w:col w:w="4080"/>
          </w:cols>
          <w:pgMar w:left="580" w:top="132" w:right="599" w:bottom="1440" w:gutter="0" w:footer="0" w:header="0"/>
          <w:type w:val="continuous"/>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Pr>
          <w:p>
            <w:pPr>
              <w:ind w:left="7440"/>
              <w:spacing w:after="0"/>
              <w:rPr>
                <w:sz w:val="20"/>
                <w:szCs w:val="20"/>
                <w:color w:val="auto"/>
              </w:rPr>
            </w:pPr>
            <w:r>
              <w:rPr>
                <w:rFonts w:ascii="Arial" w:cs="Arial" w:eastAsia="Arial" w:hAnsi="Arial"/>
                <w:sz w:val="16"/>
                <w:szCs w:val="16"/>
                <w:color w:val="auto"/>
              </w:rPr>
              <w:t>2021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9</w:t>
            </w:r>
          </w:p>
        </w:tc>
      </w:tr>
      <w:tr>
        <w:trPr>
          <w:trHeight w:val="431"/>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47" w:lineRule="exact"/>
        <w:rPr>
          <w:sz w:val="20"/>
          <w:szCs w:val="20"/>
          <w:color w:val="auto"/>
        </w:rPr>
      </w:pPr>
    </w:p>
    <w:p>
      <w:pPr>
        <w:jc w:val="both"/>
        <w:ind w:left="7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discussion on pages </w:t>
      </w:r>
      <w:hyperlink w:anchor="page33">
        <w:r>
          <w:rPr>
            <w:rFonts w:ascii="Arial" w:cs="Arial" w:eastAsia="Arial" w:hAnsi="Arial"/>
            <w:sz w:val="18"/>
            <w:szCs w:val="18"/>
            <w:u w:val="single" w:color="auto"/>
            <w:color w:val="0000EE"/>
          </w:rPr>
          <w:t>30</w:t>
        </w:r>
      </w:hyperlink>
      <w:r>
        <w:rPr>
          <w:rFonts w:ascii="Arial" w:cs="Arial" w:eastAsia="Arial" w:hAnsi="Arial"/>
          <w:sz w:val="18"/>
          <w:szCs w:val="18"/>
          <w:color w:val="auto"/>
        </w:rPr>
        <w:t>–</w:t>
      </w:r>
      <w:hyperlink w:anchor="page43">
        <w:r>
          <w:rPr>
            <w:rFonts w:ascii="Arial" w:cs="Arial" w:eastAsia="Arial" w:hAnsi="Arial"/>
            <w:sz w:val="18"/>
            <w:szCs w:val="18"/>
            <w:u w:val="single" w:color="auto"/>
            <w:color w:val="0000EE"/>
          </w:rPr>
          <w:t>40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more fully describes the design and evolution of our executive compensation program, including the Company’s performance for fiscal 2020 and its connection to executive officer compensation as well as certain changes to the Company’s metrics for fiscal 2021. See Proposal 4 beginning on page </w:t>
      </w:r>
      <w:hyperlink w:anchor="page32">
        <w:r>
          <w:rPr>
            <w:rFonts w:ascii="Arial" w:cs="Arial" w:eastAsia="Arial" w:hAnsi="Arial"/>
            <w:sz w:val="18"/>
            <w:szCs w:val="18"/>
            <w:u w:val="single" w:color="auto"/>
            <w:color w:val="0000EE"/>
          </w:rPr>
          <w:t>29</w:t>
        </w:r>
      </w:hyperlink>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ind w:left="760" w:right="1480"/>
        <w:spacing w:after="0" w:line="261" w:lineRule="auto"/>
        <w:rPr>
          <w:sz w:val="20"/>
          <w:szCs w:val="20"/>
          <w:color w:val="auto"/>
        </w:rPr>
      </w:pPr>
      <w:r>
        <w:rPr>
          <w:rFonts w:ascii="Arial" w:cs="Arial" w:eastAsia="Arial" w:hAnsi="Arial"/>
          <w:sz w:val="22"/>
          <w:szCs w:val="22"/>
          <w:b w:val="1"/>
          <w:bCs w:val="1"/>
          <w:color w:val="3C5896"/>
        </w:rPr>
        <w:t>RATIFICATION OF APPOINTMENT OF INDEPENDENT REGISTERED PUBLIC ACCOUNTING FIRM</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63" w:lineRule="exact"/>
        <w:rPr>
          <w:rFonts w:ascii="Arial" w:cs="Arial" w:eastAsia="Arial" w:hAnsi="Arial"/>
          <w:sz w:val="18"/>
          <w:szCs w:val="18"/>
          <w:color w:val="auto"/>
        </w:rPr>
      </w:pPr>
    </w:p>
    <w:p>
      <w:pPr>
        <w:jc w:val="both"/>
        <w:ind w:left="7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audit committee of the Board has selected Deloitte &amp; Touche LLP as our independent registered public accounting firm for fiscal 2021. Each year the audit committee evaluates the qualifications and performance of the Company’s independent registered public accountants and determines whether to re-engage the current independent registered public accountants. Based on this evaluation, the audit committee believes the continued retention of Deloitte &amp; Touche LLP is in the best interests of the Company and its stockholders. See Proposal 5 beginning on page </w:t>
      </w:r>
      <w:hyperlink w:anchor="page57">
        <w:r>
          <w:rPr>
            <w:rFonts w:ascii="Arial" w:cs="Arial" w:eastAsia="Arial" w:hAnsi="Arial"/>
            <w:sz w:val="18"/>
            <w:szCs w:val="18"/>
            <w:u w:val="single" w:color="auto"/>
            <w:color w:val="0000EE"/>
          </w:rPr>
          <w:t>54</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sz w:val="1"/>
          <w:szCs w:val="1"/>
          <w:color w:val="auto"/>
        </w:rPr>
        <w:drawing>
          <wp:inline distT="0" distB="0" distL="0" distR="0">
            <wp:extent cx="299720" cy="24003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106680</wp:posOffset>
            </wp:positionV>
            <wp:extent cx="5837555" cy="132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1320165"/>
                    </a:xfrm>
                    <a:prstGeom prst="rect">
                      <a:avLst/>
                    </a:prstGeom>
                    <a:noFill/>
                  </pic:spPr>
                </pic:pic>
              </a:graphicData>
            </a:graphic>
          </wp:anchor>
        </w:drawing>
      </w:r>
    </w:p>
    <w:p>
      <w:pPr>
        <w:spacing w:after="0" w:line="206" w:lineRule="exact"/>
        <w:rPr>
          <w:sz w:val="20"/>
          <w:szCs w:val="20"/>
          <w:color w:val="auto"/>
        </w:rPr>
      </w:pPr>
    </w:p>
    <w:p>
      <w:pPr>
        <w:jc w:val="both"/>
        <w:ind w:left="880" w:right="140"/>
        <w:spacing w:after="0" w:line="27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elect each of the Class I director nominees named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to hold office until the 2024 annual meeting and until their respective successors are elected and qualified.</w:t>
      </w:r>
    </w:p>
    <w:p>
      <w:pPr>
        <w:spacing w:after="0" w:line="1" w:lineRule="exact"/>
        <w:rPr>
          <w:sz w:val="20"/>
          <w:szCs w:val="20"/>
          <w:color w:val="auto"/>
        </w:rPr>
      </w:pPr>
    </w:p>
    <w:p>
      <w:pPr>
        <w:ind w:left="880" w:right="140"/>
        <w:spacing w:after="0" w:line="276"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election of each Class I</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The nominating and corporate governance committee evaluated and recommended the director nominees in accordance with its charter and our Corporate Governance Guidelines.</w:t>
      </w:r>
    </w:p>
    <w:p>
      <w:pPr>
        <w:spacing w:after="0" w:line="15" w:lineRule="exact"/>
        <w:rPr>
          <w:sz w:val="20"/>
          <w:szCs w:val="20"/>
          <w:color w:val="auto"/>
        </w:rPr>
      </w:pPr>
    </w:p>
    <w:p>
      <w:pPr>
        <w:ind w:left="880" w:right="220"/>
        <w:spacing w:after="0" w:line="30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elected, a director must receive more FOR votes than the number of votes AGAINST that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w:t>
      </w:r>
    </w:p>
    <w:p>
      <w:pPr>
        <w:spacing w:after="0" w:line="215"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Board of Directors oversees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nine directors, eight of whom are independent.</w:t>
      </w:r>
    </w:p>
    <w:p>
      <w:pPr>
        <w:spacing w:after="0" w:line="82"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Our certificate of incorporation currently provides for a classified Board, with three directors currently in Class I (Mr. Fahs, Ms. Johnson and Ms. Kelman), three directors currently in Class II (Messrs. Armario and Peeler and Ms. Cianfrocco), and three directors currently in Class III (Messrs. Tehle and Taylor and Ms. Hepner). One class of directors stands for election at each of our annual meetings of stockholders, with directors elected to serve for staggered three-year terms. Upon the recommendation of our nominating and corporate governance committee, our Board is submitting for stockholder vote at the Annual Meeting a management proposal to amend our certificate of incorporation to eliminate the classified structure of the Board. See Proposal 2 below for more details.</w:t>
      </w:r>
    </w:p>
    <w:p>
      <w:pPr>
        <w:spacing w:after="0" w:line="72"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terms of our three current Class I directors expire on the date of the Annual Meeting, subject to the election and qualification of their successors. Upon the recommendation of the nominating and corporate governance committee, the Board has nominated L. Reade Fahs, Susan S. Johnson and Naomi Kelman for election as Class I directors for a three-year term expiring in 2024.</w:t>
      </w:r>
    </w:p>
    <w:p>
      <w:pPr>
        <w:spacing w:after="0" w:line="82"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L. Reade Fahs, Susan S. Johnson and Naomi Kelman. We have no reason to believe that Mr. Fahs, Ms. Johnson and Ms. Kelman will be unable or unwilling to serve if elected. If Mr. Fahs, Ms. Johnson and Ms. Kelman cease to be candidates for election by the time of the Annual Meeting (a contingency which the Board does not expect to occur), such proxies may be voted by the proxyholders in accordance with the 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1"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Set forth below is certain information regarding each director nominee. Beneficial ownership of equity securities of each director nominee is shown under “Ownership of Our Securities” later in this proxy statement.</w:t>
      </w:r>
    </w:p>
    <w:p>
      <w:pPr>
        <w:spacing w:after="0" w:line="23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-139065</wp:posOffset>
            </wp:positionV>
            <wp:extent cx="5803265" cy="12433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03265" cy="1243330"/>
                    </a:xfrm>
                    <a:prstGeom prst="rect">
                      <a:avLst/>
                    </a:prstGeom>
                    <a:noFill/>
                  </pic:spPr>
                </pic:pic>
              </a:graphicData>
            </a:graphic>
          </wp:anchor>
        </w:drawing>
      </w:r>
    </w:p>
    <w:p>
      <w:pPr>
        <w:spacing w:after="0" w:line="57"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a long term Board member of RestoringVision. Mr. Fahs also serves on the boards of RestoringVision, Ditto Technologies, Inc., Affordable Care, Inc. and Atlanta’s Alliance Theatre. Mr. Fahs holds a B.A. degree in English Literature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37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2"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Susan Somersille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7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86120" cy="127762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October 2020</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3" w:lineRule="auto"/>
        <w:rPr>
          <w:sz w:val="20"/>
          <w:szCs w:val="20"/>
          <w:color w:val="auto"/>
        </w:rPr>
      </w:pPr>
      <w:r>
        <w:rPr>
          <w:rFonts w:ascii="Arial" w:cs="Arial" w:eastAsia="Arial" w:hAnsi="Arial"/>
          <w:sz w:val="14"/>
          <w:szCs w:val="14"/>
          <w:color w:val="auto"/>
        </w:rPr>
        <w:t>Ms. Johnson is the Chief Marketing Officer for Prudential Financial, Inc. From 2014 to 2020, Ms. Johnson previously served as Executive Vice President and Chief Marketing Officer of Truist Financial, the bank holding company formed in 2019 following the merger of SunTrust Bank and BB&amp;T. Ms. Johnson began her career as an engineer at Apple before taking on a series of high-profile global marketing leadership roles at organizations including NCR Corporation and Nokia. She served as the Vice President of Global Marketing at NCR Corp. from 2012 to 2014 and the Global Head of Operator Marketing at Nokia from 2007 to 2012. Ms. Johnson is a member of the board of directors of Constellation Brands, a leading beverage alcohol company, serving on its compensation committee. She also serves as a board member of United Way U.S.A., Operation Hope and CHRIS 180. Ms. Johnson has a bachelor’s degree in engineering sciences from Harvard University and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58375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26"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Naomi Kelman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9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6120" cy="12941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2020</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Ms. Kelman is the former President and Chief Executive Officer of Willow, a revolutionary new women’s health company, having served in that role from 2014 to 2019. From 2011 to 2012, Ms. Kelman served as the Global Division Head of Novartis OTC. Prior to that, Ms. Kelman served in a number of executive roles during her time at Johnson &amp; Johnson from 2000 to 2011, including as President of Vistakon Americas (Acuvue contact lenses) from 2004 to 2009 and as President of LifeScan (OneTouch diabetes monitor) from 2009 to 2011. Before joining J&amp;J, Ms. Kelman worked at Clairol, where she worked on a broad range of CPG personal care categories and was based in Europe for five years. Ms. Kelman started her career in finance at American Express. Ms. Kelman is a member of the board of directors of Kids Care Dental &amp; Orthodontics, Mirvie and Brilliant. Ms. Kelman has a Bachelor of Arts degree and an M.B.A.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117475</wp:posOffset>
            </wp:positionV>
            <wp:extent cx="58375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sz w:val="1"/>
          <w:szCs w:val="1"/>
          <w:color w:val="auto"/>
        </w:rPr>
        <w:drawing>
          <wp:inline distT="0" distB="0" distL="0" distR="0">
            <wp:extent cx="299720" cy="24003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8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Our Securities” later in this proxy statement.</w:t>
      </w:r>
    </w:p>
    <w:p>
      <w:pPr>
        <w:spacing w:after="0" w:line="278"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3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2018</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Mr. Taylor has served as Floor &amp; Decor’s Chief Executive Officer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8255</wp:posOffset>
            </wp:positionV>
            <wp:extent cx="58375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5"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2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5010" cy="1242695"/>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January 2018</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right="20"/>
        <w:spacing w:after="0" w:line="263" w:lineRule="auto"/>
        <w:rPr>
          <w:sz w:val="20"/>
          <w:szCs w:val="20"/>
          <w:color w:val="auto"/>
        </w:rPr>
      </w:pPr>
      <w:r>
        <w:rPr>
          <w:rFonts w:ascii="Arial" w:cs="Arial" w:eastAsia="Arial" w:hAnsi="Arial"/>
          <w:sz w:val="14"/>
          <w:szCs w:val="14"/>
          <w:color w:val="auto"/>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Cadence Bancorporation since January 2019, serving as chair of its audit committee, and had served as a director of State Bank Financial Corporation which merged with Cadence on January 1, 2019, serving on its audit committee and independent director committee, and as a director of its subsidiary bank, State Bank and Trust Company, from 2010 to 2019. Additionally, Ms. Hepner has been a member of the board of directors of Oxford Industries, Inc. since 2016, serving on its nominating, compensation and governance committee. Ms. Hepner holds a bachelor’s degree in finance from The Wharton School of The University of Pennsylvania and attended the J.L. Kellogg Graduate Business School of Management at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375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33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2017</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US Foods Holding Corp. in 2016, and serves on the audit and compensation committees. From 2016 until 2019, he was a member of the board of directors of Genesco, Inc. and he also served on the audit committee. Mr. Tehle holds a B.S. from the University of Wisconsin-Oshkosh and an M.B.A. from the University of Michigan’s Ross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375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8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-139065</wp:posOffset>
            </wp:positionV>
            <wp:extent cx="5803265" cy="12433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03265"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March 2014</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spacing w:after="0" w:line="264" w:lineRule="auto"/>
        <w:rPr>
          <w:sz w:val="20"/>
          <w:szCs w:val="20"/>
          <w:color w:val="auto"/>
        </w:rPr>
      </w:pPr>
      <w:r>
        <w:rPr>
          <w:rFonts w:ascii="Arial" w:cs="Arial" w:eastAsia="Arial" w:hAnsi="Arial"/>
          <w:sz w:val="14"/>
          <w:szCs w:val="14"/>
          <w:color w:val="auto"/>
        </w:rPr>
        <w:t>Mr. Peeler joined Berkshire Partners LLC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Husky International, Inc., Lightower Fiber Networks and Curriculum Associates, LLC. Mr. Peeler has an A.B. from Duke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8255</wp:posOffset>
            </wp:positionV>
            <wp:extent cx="58375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5"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Heather Cianfrocco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9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86120" cy="12941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2019</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47</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spacing w:after="0" w:line="263" w:lineRule="auto"/>
        <w:rPr>
          <w:sz w:val="20"/>
          <w:szCs w:val="20"/>
          <w:color w:val="auto"/>
        </w:rPr>
      </w:pPr>
      <w:r>
        <w:rPr>
          <w:rFonts w:ascii="Arial" w:cs="Arial" w:eastAsia="Arial" w:hAnsi="Arial"/>
          <w:sz w:val="14"/>
          <w:szCs w:val="14"/>
          <w:color w:val="auto"/>
        </w:rPr>
        <w:t>Ms. Cianfrocco is the Chief Executive Officer, OptumRX at UnitedHealth Group and has served in that role since April 2021. Ms. Cianfrocco previously served as the Chief Executive Officer of OptumHealth Services from July 2020 until April 2021 and as the Chief Executive Officer of UnitedHealthcare Community &amp; State from February 2018 until July 2020. From July 2017 until February 2018, Ms. Cianfrocco served as Senior Vice President of Health Advancement and Clinical Transformation for UnitedHealthcare Medicare &amp; Retirement.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Throughout her time with UnitedHealthcare, she has held other leadership positions within Community &amp; State in legal, compliance, operations, and contracting. Before joining UnitedHealthcare, Ms. Cianfrocco worked in private legal practices in Pittsburgh, Pennsylvania where she concentrated on corporate and securities law, representing health care entities in mergers and acquisitions. Ms. Cianfrocco has a Bachelor of Arts degree from Pennsylvania State University, a Juris Doctorate from Duquesne University School of Law, and a Masters in Health Care Delivery Science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-1270</wp:posOffset>
            </wp:positionV>
            <wp:extent cx="58375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22"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Jose Armario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7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6120" cy="1276985"/>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February 2021</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spacing w:after="0" w:line="263" w:lineRule="auto"/>
        <w:rPr>
          <w:sz w:val="20"/>
          <w:szCs w:val="20"/>
          <w:color w:val="auto"/>
        </w:rPr>
      </w:pPr>
      <w:r>
        <w:rPr>
          <w:rFonts w:ascii="Arial" w:cs="Arial" w:eastAsia="Arial" w:hAnsi="Arial"/>
          <w:sz w:val="14"/>
          <w:szCs w:val="14"/>
          <w:color w:val="auto"/>
        </w:rPr>
        <w:t>Mr. Armario is the Chief Executive Officer and President of Bojangles’, Inc., a restaurant operator and franchisor, and has served in this role since January 2019. From January 2016 until January 2019, Mr. Armario was the founder and Chief Executive Officer of Armario Enterprises, LLC and PowerC, LLC. He retired as Executive Vice President of Worldwide Supply Chain, Development, and Franchising of McDonald’s Corporation in October 2015, after having held that position since August 2011. Mr. Armario has over 38 years of experience turning around key markets and geographies. Currently, Mr. Armario serves as a director at Bojangles’, Inc. and as a director for Golden State Foods and The Greg Olsen Foundation. He is also a member of the President’s Council of the University of Miami. He earned his Associate of Arts degree in Business Administration from Miami-Dade Community College. He holds a Master of Science degree in Management from the University of Miami and a CEO Perspective Course completion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120015</wp:posOffset>
            </wp:positionV>
            <wp:extent cx="58375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sz w:val="1"/>
          <w:szCs w:val="1"/>
          <w:color w:val="auto"/>
        </w:rPr>
        <w:drawing>
          <wp:inline distT="0" distB="0" distL="0" distR="0">
            <wp:extent cx="299720" cy="24003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primary responsibility of our Board is to oversee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our Board has delegated certain authority to its standing committees—the audit committee, the nominating and corporate governance committee and the compensation committee. The duties and responsibilities of these standing committees are described below under “Board Committees and Meetings.”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We believe the Company benefits from having a strong and independent Board. Under our Corporate Governance Guidelines and the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p>
    <w:p>
      <w:pPr>
        <w:spacing w:after="0" w:line="96" w:lineRule="exact"/>
        <w:rPr>
          <w:sz w:val="20"/>
          <w:szCs w:val="20"/>
          <w:color w:val="auto"/>
        </w:rPr>
      </w:pPr>
    </w:p>
    <w:p>
      <w:pPr>
        <w:jc w:val="both"/>
        <w:ind w:left="760" w:right="20"/>
        <w:spacing w:after="0" w:line="256"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Nasdaq Listing Rules. Our Corporate Governance Guidelines require the Board to review the independence of all directors at least annually.</w:t>
      </w:r>
    </w:p>
    <w:p>
      <w:pPr>
        <w:spacing w:after="0" w:line="9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Board has affirmatively determined that all of the directors and nominees for director, except Mr. Fahs, are independent under the guidelines for director independence set forth in the Corporate Governance Guidelines and under all applicable Nasdaq guidelines. Mr. Fahs is not considered an independent director because of his employment as Chief Executive Officer of the Company. All members of the audit committee, compensation committee and nominating and corporate governance committee are independent.</w:t>
      </w:r>
    </w:p>
    <w:p>
      <w:pPr>
        <w:spacing w:after="0" w:line="9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At the Annual Meeting, we are submitting a management proposal for approval to eliminate the classified structure of the Board and allow for the annual election of our directors. If approved, we would amend our certificate of incorporation to eliminate the three classes of directors and provide for the annual election of directors beginning at the 2022 annual meeting of stockholders. By the 2024 annual meeting of stockholders, the Board would be completely declassified and all directors would stand for election annually. See “Proposal 2—Amendment to the Certificate of Incorporation to Eliminate the Classified Structure of the Board of Directors” below for more details on the elimination the classified Board structure.</w:t>
      </w:r>
    </w:p>
    <w:p>
      <w:pPr>
        <w:spacing w:after="0" w:line="99"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Prior to the effectiveness of the proposal described above, at each annual meeting, the successors to directors whose terms then expire will be elected to serve from the time of election and qualification until the third annual meeting following their election. Our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other outside commitments and ability to work collegially with the other members of the Board of Directors.</w:t>
      </w:r>
    </w:p>
    <w:p>
      <w:pPr>
        <w:spacing w:after="0" w:line="361"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Qualifications, Skills and Experiences of our Directors</w:t>
      </w:r>
    </w:p>
    <w:p>
      <w:pPr>
        <w:spacing w:after="0" w:line="139" w:lineRule="exact"/>
        <w:rPr>
          <w:sz w:val="20"/>
          <w:szCs w:val="20"/>
          <w:color w:val="auto"/>
        </w:rPr>
      </w:pPr>
    </w:p>
    <w:p>
      <w:pPr>
        <w:jc w:val="both"/>
        <w:ind w:left="760"/>
        <w:spacing w:after="0" w:line="278" w:lineRule="auto"/>
        <w:rPr>
          <w:sz w:val="20"/>
          <w:szCs w:val="20"/>
          <w:color w:val="auto"/>
        </w:rPr>
      </w:pPr>
      <w:r>
        <w:rPr>
          <w:rFonts w:ascii="Arial" w:cs="Arial" w:eastAsia="Arial" w:hAnsi="Arial"/>
          <w:sz w:val="17"/>
          <w:szCs w:val="17"/>
          <w:color w:val="auto"/>
        </w:rPr>
        <w:t>In addition, although the Board considers and fully appreciates the value of a diversity of viewpoints, background and experiences (including age, race and ethnicity) as important to the selection of directors to enhance the Board’s cognitive diversity and quality of dialogue in the Boardroom, the Board does not have a formal diversity policy.</w:t>
      </w:r>
    </w:p>
    <w:p>
      <w:pPr>
        <w:spacing w:after="0" w:line="7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The nominating and corporate governance committee believes that the current members of the Board provide a demonstrated executive leadership ability and are representative of diverse backgrounds.</w:t>
      </w:r>
    </w:p>
    <w:p>
      <w:pPr>
        <w:spacing w:after="0" w:line="9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and address areas where additional expertise or skills may be needed,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 as key qualifications, attributes or skills to provide Board oversight of the Company’s business operations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88265</wp:posOffset>
            </wp:positionV>
            <wp:extent cx="5829300" cy="4260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 deems appropriate. The nominating and corporate governance committee may also retain a third-party search firm to assist in the identification of possible candidates for election to the Board of Directors. The nominating and corporate governance committee will consider director candidates recommended by stockholders on the same basis as recommendations from other sources. Any recommendation submitted to the Secretary of the Company should be in writing and should include any supporting material the</w:t>
      </w:r>
    </w:p>
    <w:p>
      <w:pPr>
        <w:spacing w:after="0" w:line="32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sz w:val="1"/>
          <w:szCs w:val="1"/>
          <w:color w:val="auto"/>
        </w:rPr>
        <w:drawing>
          <wp:inline distT="0" distB="0" distL="0" distR="0">
            <wp:extent cx="299720" cy="2400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4" w:lineRule="exact"/>
        <w:rPr>
          <w:sz w:val="20"/>
          <w:szCs w:val="20"/>
          <w:color w:val="auto"/>
        </w:rPr>
      </w:pPr>
    </w:p>
    <w:p>
      <w:pPr>
        <w:jc w:val="both"/>
        <w:ind w:left="760"/>
        <w:spacing w:after="0" w:line="222" w:lineRule="auto"/>
        <w:rPr>
          <w:sz w:val="20"/>
          <w:szCs w:val="20"/>
          <w:color w:val="auto"/>
        </w:rPr>
      </w:pPr>
      <w:r>
        <w:rPr>
          <w:rFonts w:ascii="Arial" w:cs="Arial" w:eastAsia="Arial" w:hAnsi="Arial"/>
          <w:sz w:val="18"/>
          <w:szCs w:val="18"/>
          <w:color w:val="auto"/>
        </w:rPr>
        <w:t>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also must satisfy the notification, timeliness, consent and information requirements set forth in our bylaws. Stockholders wishing to propose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These requirements are also described under “Stockholder Proposals for the 2022 Annual Meeting.”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Leadership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jc w:val="both"/>
        <w:ind w:left="760"/>
        <w:spacing w:after="0" w:line="221" w:lineRule="auto"/>
        <w:rPr>
          <w:sz w:val="20"/>
          <w:szCs w:val="20"/>
          <w:color w:val="auto"/>
        </w:rPr>
      </w:pPr>
      <w:r>
        <w:rPr>
          <w:rFonts w:ascii="Arial" w:cs="Arial" w:eastAsia="Arial" w:hAnsi="Arial"/>
          <w:sz w:val="18"/>
          <w:szCs w:val="18"/>
          <w:color w:val="auto"/>
        </w:rPr>
        <w:t>As described in our Corporate Governance Guidelines, our Board directs and oversees the management of the business and the affairs of the Company using its business judgment to act in the best interests of the Company and its stockholders. As part of this oversight role, the Board selects and oversees the members of senior management who are charged by the Board with conducting the business of the Company. While 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our Board currently believes that having these positions separated, with Mr. Peeler serving as Chairman of the Board and Mr. Fahs serving as our Chief Executive Officer and also as a director, is the appropriate leadership structure at this time and demonstrates our commitment to good corporate governance. However, our Board of Directors will continue to periodically review our leadership structure and may make such changes in the future as it deems appropriate. Under our Corporate Governance Guidelines, should the Board determine that such positions should not be separated and the Chairperson of the Board is also the Chief Executive Officer or a director who does not qualify as an independent director, the independent directors may annually elect from among themselves a lead independent director.</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jc w:val="both"/>
        <w:ind w:left="760"/>
        <w:spacing w:after="0" w:line="222"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has extensive involvement in the oversight of the Company’s risk management. The Board engages in risk oversight throughout the year as a matter of course in fulfilling its role overseeing management and business operations, including receiving reports from management on the strategic plans and related risks facing the Company which range from financial risks to regulatory, legal, supply chain, COVID-19 pandemic-related, sustainability, competitive and information technology risks. The Board has delegated to its committees certain elements of its risk oversight function to better coordinate with management and serve the long-term interests of our stockholders. We believe that the leadership structure of our Board of Directors, along with the allocation of risk management responsibilities described below by appropriate committee oversight, provides appropriate risk oversight of our activities.</w:t>
      </w:r>
    </w:p>
    <w:p>
      <w:pPr>
        <w:spacing w:after="0" w:line="83" w:lineRule="exact"/>
        <w:rPr>
          <w:sz w:val="20"/>
          <w:szCs w:val="20"/>
          <w:color w:val="auto"/>
        </w:rPr>
      </w:pPr>
    </w:p>
    <w:p>
      <w:pPr>
        <w:jc w:val="both"/>
        <w:ind w:left="760"/>
        <w:spacing w:after="0" w:line="222" w:lineRule="auto"/>
        <w:rPr>
          <w:sz w:val="20"/>
          <w:szCs w:val="20"/>
          <w:color w:val="auto"/>
        </w:rPr>
      </w:pPr>
      <w:r>
        <w:rPr>
          <w:rFonts w:ascii="Arial" w:cs="Arial" w:eastAsia="Arial" w:hAnsi="Arial"/>
          <w:sz w:val="18"/>
          <w:szCs w:val="18"/>
          <w:color w:val="auto"/>
        </w:rPr>
        <w:t>The audit committee oversees our risk management process with a specific focus on internal controls, financial statement integrity, compliance programs, fraud risk, legal matters and related risk mitigation. Along with the Board, the audit committee also receives regular reports from management to help ensure effective and efficient oversight and to assist in proper risk management, including with respect to cybersecurity, and the ongoing evaluation of management controls.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Accounting Officer and directly to the audit committee.</w:t>
      </w:r>
    </w:p>
    <w:p>
      <w:pPr>
        <w:spacing w:after="0" w:line="9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p>
    <w:p>
      <w:pPr>
        <w:spacing w:after="0" w:line="95"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The nominating and corporate governance committee monitors risks relating to governance matters, including corporate responsibility and sustainability, and recommends appropriate actions in response to those risks.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Board believes that one of its primary responsibilities is to oversee the development and retention of senior talent and to ensure that an appropriate succession plan is in place for our Chief Executive Officer and other members of</w:t>
      </w:r>
    </w:p>
    <w:p>
      <w:pPr>
        <w:spacing w:after="0" w:line="30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senior management. The Board and compensation committee, together with the Chief Executive Officer, regularly reviews senior management talent and succession planning.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Executive sessions, which are meetings of the independent directors of the Board, are regularly scheduled throughout the year, typically at the time of each regular Board meeting and as frequently as such independent directors deem appropriate.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In order to increase the effectiveness of the Board, the nominating and corporate governance committee supervises an annual review and evaluation of the performance of the Board and its committees. The evaluation is typically conducted through a range of questions related to topics including structure of the Board and its committees, overall Board and committee effectiveness, oversight and risk management, strategy and Board access to information and resources. In 2020, an evaluation was conducted and completed with each director providing direct feedback. The evaluation results about the Board and its committees were reviewed and discussed by the nominating and corporate governance committee as well as the full Board.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the chairperson of our Board of Directors, the chairperson of any of the audit, compensation and nominating and corporate governance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Our Board of Directors has an audit committee, a nominating and corporate governance committee and a compensation committee, each of which operates under a charter that has been approved by our Board.</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3160" w:type="dxa"/>
            <w:vAlign w:val="bottom"/>
            <w:tcBorders>
              <w:top w:val="single" w:sz="8" w:color="3C5896"/>
              <w:left w:val="single" w:sz="8" w:color="3C5896"/>
              <w:right w:val="single" w:sz="8" w:color="9EACCA"/>
            </w:tcBorders>
            <w:shd w:val="clear" w:color="auto" w:fill="3C5896"/>
          </w:tcPr>
          <w:p>
            <w:pPr>
              <w:spacing w:after="0"/>
              <w:rPr>
                <w:sz w:val="17"/>
                <w:szCs w:val="17"/>
                <w:color w:val="auto"/>
              </w:rPr>
            </w:pPr>
          </w:p>
        </w:tc>
        <w:tc>
          <w:tcPr>
            <w:tcW w:w="17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40" w:type="dxa"/>
            <w:vAlign w:val="bottom"/>
            <w:tcBorders>
              <w:top w:val="single" w:sz="8" w:color="3C5896"/>
            </w:tcBorders>
            <w:shd w:val="clear" w:color="auto" w:fill="3C5896"/>
          </w:tcPr>
          <w:p>
            <w:pPr>
              <w:spacing w:after="0"/>
              <w:rPr>
                <w:sz w:val="17"/>
                <w:szCs w:val="17"/>
                <w:color w:val="auto"/>
              </w:rPr>
            </w:pPr>
          </w:p>
        </w:tc>
        <w:tc>
          <w:tcPr>
            <w:tcW w:w="254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Nominating and Corporate</w:t>
            </w:r>
          </w:p>
        </w:tc>
        <w:tc>
          <w:tcPr>
            <w:tcW w:w="40" w:type="dxa"/>
            <w:vAlign w:val="bottom"/>
            <w:tcBorders>
              <w:top w:val="single" w:sz="8" w:color="3C5896"/>
            </w:tcBorders>
            <w:shd w:val="clear" w:color="auto" w:fill="3C5896"/>
          </w:tcPr>
          <w:p>
            <w:pPr>
              <w:spacing w:after="0"/>
              <w:rPr>
                <w:sz w:val="17"/>
                <w:szCs w:val="17"/>
                <w:color w:val="auto"/>
              </w:rPr>
            </w:pPr>
          </w:p>
        </w:tc>
        <w:tc>
          <w:tcPr>
            <w:tcW w:w="1680" w:type="dxa"/>
            <w:vAlign w:val="bottom"/>
            <w:tcBorders>
              <w:top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40" w:type="dxa"/>
            <w:vAlign w:val="bottom"/>
            <w:tcBorders>
              <w:top w:val="single" w:sz="8" w:color="3C5896"/>
              <w:right w:val="single" w:sz="8" w:color="3C5896"/>
            </w:tcBorders>
          </w:tcPr>
          <w:p>
            <w:pPr>
              <w:spacing w:after="0"/>
              <w:rPr>
                <w:sz w:val="17"/>
                <w:szCs w:val="17"/>
                <w:color w:val="auto"/>
              </w:rPr>
            </w:pPr>
          </w:p>
        </w:tc>
      </w:tr>
      <w:tr>
        <w:trPr>
          <w:trHeight w:val="246"/>
        </w:trPr>
        <w:tc>
          <w:tcPr>
            <w:tcW w:w="3160" w:type="dxa"/>
            <w:vAlign w:val="bottom"/>
            <w:tcBorders>
              <w:left w:val="single" w:sz="8" w:color="3C5896"/>
              <w:bottom w:val="single" w:sz="8" w:color="3C5896"/>
              <w:right w:val="single" w:sz="8" w:color="9EACCA"/>
            </w:tcBorders>
            <w:shd w:val="clear" w:color="auto" w:fill="3C5896"/>
          </w:tcPr>
          <w:p>
            <w:pPr>
              <w:spacing w:after="0"/>
              <w:rPr>
                <w:sz w:val="21"/>
                <w:szCs w:val="21"/>
                <w:color w:val="auto"/>
              </w:rPr>
            </w:pPr>
          </w:p>
        </w:tc>
        <w:tc>
          <w:tcPr>
            <w:tcW w:w="17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40" w:type="dxa"/>
            <w:vAlign w:val="bottom"/>
            <w:shd w:val="clear" w:color="auto" w:fill="3C5896"/>
          </w:tcPr>
          <w:p>
            <w:pPr>
              <w:spacing w:after="0"/>
              <w:rPr>
                <w:sz w:val="21"/>
                <w:szCs w:val="21"/>
                <w:color w:val="auto"/>
              </w:rPr>
            </w:pPr>
          </w:p>
        </w:tc>
        <w:tc>
          <w:tcPr>
            <w:tcW w:w="2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Governance Committee</w:t>
            </w:r>
          </w:p>
        </w:tc>
        <w:tc>
          <w:tcPr>
            <w:tcW w:w="40" w:type="dxa"/>
            <w:vAlign w:val="bottom"/>
            <w:shd w:val="clear" w:color="auto" w:fill="3C5896"/>
          </w:tcPr>
          <w:p>
            <w:pPr>
              <w:spacing w:after="0"/>
              <w:rPr>
                <w:sz w:val="21"/>
                <w:szCs w:val="21"/>
                <w:color w:val="auto"/>
              </w:rPr>
            </w:pPr>
          </w:p>
        </w:tc>
        <w:tc>
          <w:tcPr>
            <w:tcW w:w="1680" w:type="dxa"/>
            <w:vAlign w:val="bottom"/>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40" w:type="dxa"/>
            <w:vAlign w:val="bottom"/>
            <w:tcBorders>
              <w:right w:val="single" w:sz="8" w:color="3C5896"/>
            </w:tcBorders>
          </w:tcPr>
          <w:p>
            <w:pPr>
              <w:spacing w:after="0"/>
              <w:rPr>
                <w:sz w:val="21"/>
                <w:szCs w:val="21"/>
                <w:color w:val="auto"/>
              </w:rPr>
            </w:pPr>
          </w:p>
        </w:tc>
      </w:tr>
      <w:tr>
        <w:trPr>
          <w:trHeight w:val="236"/>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L. Reade Fahs</w:t>
            </w:r>
          </w:p>
        </w:tc>
        <w:tc>
          <w:tcPr>
            <w:tcW w:w="1700" w:type="dxa"/>
            <w:vAlign w:val="bottom"/>
            <w:tcBorders>
              <w:right w:val="single" w:sz="8" w:color="9EACCA"/>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9EACCA"/>
            </w:tcBorders>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Borders>
              <w:right w:val="single" w:sz="8" w:color="3C5896"/>
            </w:tcBorders>
          </w:tcPr>
          <w:p>
            <w:pPr>
              <w:spacing w:after="0"/>
              <w:rPr>
                <w:sz w:val="20"/>
                <w:szCs w:val="20"/>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D. Randolph Peeler</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Jose Armario</w:t>
            </w:r>
          </w:p>
        </w:tc>
        <w:tc>
          <w:tcPr>
            <w:tcW w:w="170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254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Heather Cianfrocco</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Virginia A. Hepner</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254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7"/>
              </w:rPr>
              <w:t>Chair</w:t>
            </w: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Susan S. Johnson</w:t>
            </w:r>
          </w:p>
        </w:tc>
        <w:tc>
          <w:tcPr>
            <w:tcW w:w="17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spacing w:after="0"/>
              <w:rPr>
                <w:sz w:val="22"/>
                <w:szCs w:val="22"/>
                <w:color w:val="auto"/>
              </w:rPr>
            </w:pP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Naomi Kelman</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254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Thomas V. Taylor, Jr.</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Chair</w:t>
            </w:r>
          </w:p>
        </w:tc>
        <w:tc>
          <w:tcPr>
            <w:tcW w:w="40" w:type="dxa"/>
            <w:vAlign w:val="bottom"/>
            <w:tcBorders>
              <w:right w:val="single" w:sz="8" w:color="3C5896"/>
            </w:tcBorders>
          </w:tcPr>
          <w:p>
            <w:pPr>
              <w:spacing w:after="0"/>
              <w:rPr>
                <w:sz w:val="22"/>
                <w:szCs w:val="22"/>
                <w:color w:val="auto"/>
              </w:rPr>
            </w:pPr>
          </w:p>
        </w:tc>
      </w:tr>
      <w:tr>
        <w:trPr>
          <w:trHeight w:val="284"/>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David M. Tehle</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Chair</w:t>
            </w:r>
          </w:p>
        </w:tc>
        <w:tc>
          <w:tcPr>
            <w:tcW w:w="40" w:type="dxa"/>
            <w:vAlign w:val="bottom"/>
          </w:tcPr>
          <w:p>
            <w:pPr>
              <w:spacing w:after="0"/>
              <w:rPr>
                <w:sz w:val="24"/>
                <w:szCs w:val="24"/>
                <w:color w:val="auto"/>
              </w:rPr>
            </w:pPr>
          </w:p>
        </w:tc>
        <w:tc>
          <w:tcPr>
            <w:tcW w:w="254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Borders>
              <w:right w:val="single" w:sz="8" w:color="3C5896"/>
            </w:tcBorders>
          </w:tcPr>
          <w:p>
            <w:pPr>
              <w:spacing w:after="0"/>
              <w:rPr>
                <w:sz w:val="24"/>
                <w:szCs w:val="24"/>
                <w:color w:val="auto"/>
              </w:rPr>
            </w:pPr>
          </w:p>
        </w:tc>
      </w:tr>
      <w:tr>
        <w:trPr>
          <w:trHeight w:val="20"/>
        </w:trPr>
        <w:tc>
          <w:tcPr>
            <w:tcW w:w="316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17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25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680" w:type="dxa"/>
            <w:vAlign w:val="bottom"/>
            <w:shd w:val="clear" w:color="auto" w:fill="3C5896"/>
          </w:tcPr>
          <w:p>
            <w:pPr>
              <w:spacing w:after="0" w:line="20" w:lineRule="exact"/>
              <w:rPr>
                <w:sz w:val="1"/>
                <w:szCs w:val="1"/>
                <w:color w:val="auto"/>
              </w:rPr>
            </w:pPr>
          </w:p>
        </w:tc>
        <w:tc>
          <w:tcPr>
            <w:tcW w:w="4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-1490980</wp:posOffset>
            </wp:positionV>
            <wp:extent cx="38233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41"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Each of our directors that were members of our Board at the time attended the 2020 annual meeting. During the fiscal year ended January 2, 2021, the Board held fourteen meetings, the audit committee held eight meetings, the compensation committee held four meetings and the nominating and corporate governance committee held four meetings. In addition, the Board, the audit committee, the compensation committee and the nominating and corporate governance committee acted by unanimous written consent several times during fiscal 2020. Each of our directors attended at least 75% of all of the meetings of the Board and committees on which he or she served at they time they served on the Board or such</w:t>
      </w:r>
    </w:p>
    <w:p>
      <w:pPr>
        <w:spacing w:after="0" w:line="32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sz w:val="1"/>
          <w:szCs w:val="1"/>
          <w:color w:val="auto"/>
        </w:rPr>
        <w:drawing>
          <wp:inline distT="0" distB="0" distL="0" distR="0">
            <wp:extent cx="299720" cy="2400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4" w:lineRule="exact"/>
        <w:rPr>
          <w:sz w:val="20"/>
          <w:szCs w:val="20"/>
          <w:color w:val="auto"/>
        </w:rPr>
      </w:pPr>
    </w:p>
    <w:p>
      <w:pPr>
        <w:jc w:val="both"/>
        <w:ind w:left="760"/>
        <w:spacing w:after="0" w:line="229" w:lineRule="auto"/>
        <w:rPr>
          <w:sz w:val="20"/>
          <w:szCs w:val="20"/>
          <w:color w:val="auto"/>
        </w:rPr>
      </w:pPr>
      <w:r>
        <w:rPr>
          <w:rFonts w:ascii="Arial" w:cs="Arial" w:eastAsia="Arial" w:hAnsi="Arial"/>
          <w:sz w:val="18"/>
          <w:szCs w:val="18"/>
          <w:color w:val="auto"/>
        </w:rPr>
        <w:t>committees, except for Ms. Johnson. Ms. Johnson attended 50% of the audit committee meetings as she was unable to attend one audit committee meeting in 2020 after joining the Board due to a pre-existing conflict for one meeting date prior to her joining the Board.</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jc w:val="both"/>
        <w:ind w:left="760"/>
        <w:spacing w:after="0" w:line="225" w:lineRule="auto"/>
        <w:rPr>
          <w:sz w:val="20"/>
          <w:szCs w:val="20"/>
          <w:color w:val="auto"/>
        </w:rPr>
      </w:pPr>
      <w:r>
        <w:rPr>
          <w:rFonts w:ascii="Arial" w:cs="Arial" w:eastAsia="Arial" w:hAnsi="Arial"/>
          <w:sz w:val="18"/>
          <w:szCs w:val="18"/>
          <w:color w:val="auto"/>
        </w:rPr>
        <w:t>Our audit committee consists of David M. Tehle, who serves as the Chair, Virginia A. Hepner, Susan S. Johnson and Naomi Kelman. Mr. Tehle and Mses. Hepner, Johnson and Kelman each qualifies as an independent director under Nasdaq corporate governance standards and the independence requirements of Rule 10A-3 of the Securities Exchange Act of 1934 (the “Exchange Act”). Our Board of Directors has determined that Mr. Tehle and Ms. Hepner each qualifies as an “audit committee financial expert” as such term is defined in Item 407(d)(5) of Regulation S-K.</w:t>
      </w:r>
    </w:p>
    <w:p>
      <w:pPr>
        <w:spacing w:after="0" w:line="83" w:lineRule="exact"/>
        <w:rPr>
          <w:sz w:val="20"/>
          <w:szCs w:val="20"/>
          <w:color w:val="auto"/>
        </w:rPr>
      </w:pPr>
    </w:p>
    <w:p>
      <w:pPr>
        <w:jc w:val="both"/>
        <w:ind w:left="760"/>
        <w:spacing w:after="0" w:line="223" w:lineRule="auto"/>
        <w:rPr>
          <w:sz w:val="20"/>
          <w:szCs w:val="20"/>
          <w:color w:val="auto"/>
        </w:rPr>
      </w:pPr>
      <w:r>
        <w:rPr>
          <w:rFonts w:ascii="Arial" w:cs="Arial" w:eastAsia="Arial" w:hAnsi="Arial"/>
          <w:sz w:val="18"/>
          <w:szCs w:val="18"/>
          <w:color w:val="auto"/>
        </w:rPr>
        <w:t>The audit committee is responsible for, among other things, preparing the audit committee report required by the SEC to be included in our proxy statement and assisting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including SEC filings, (4) the qualifications, engagement, performance and independence of the outside auditors, including approving all auditing and non-auditing services performed by our outside auditors and (5) approving the annual audit plans and the performance of our internal audit function.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6" w:lineRule="exact"/>
        <w:rPr>
          <w:sz w:val="20"/>
          <w:szCs w:val="20"/>
          <w:color w:val="auto"/>
        </w:rPr>
      </w:pPr>
    </w:p>
    <w:p>
      <w:pPr>
        <w:jc w:val="both"/>
        <w:ind w:left="760"/>
        <w:spacing w:after="0" w:line="227" w:lineRule="auto"/>
        <w:rPr>
          <w:sz w:val="20"/>
          <w:szCs w:val="20"/>
          <w:color w:val="auto"/>
        </w:rPr>
      </w:pPr>
      <w:r>
        <w:rPr>
          <w:rFonts w:ascii="Arial" w:cs="Arial" w:eastAsia="Arial" w:hAnsi="Arial"/>
          <w:sz w:val="18"/>
          <w:szCs w:val="18"/>
          <w:color w:val="auto"/>
        </w:rPr>
        <w:t>Our nominating and corporate governance committee consists of Virginia Hepner, who serves as the Chair, D. Randolph Peeler and Jose Armario. Each member of the nominating and corporate governance committee has been determined to be independent under the applicable listing standards of Nasdaq and our Corporate Governance Guidelines.</w:t>
      </w:r>
    </w:p>
    <w:p>
      <w:pPr>
        <w:spacing w:after="0" w:line="81" w:lineRule="exact"/>
        <w:rPr>
          <w:sz w:val="20"/>
          <w:szCs w:val="20"/>
          <w:color w:val="auto"/>
        </w:rPr>
      </w:pPr>
    </w:p>
    <w:p>
      <w:pPr>
        <w:jc w:val="both"/>
        <w:ind w:left="760"/>
        <w:spacing w:after="0" w:line="222" w:lineRule="auto"/>
        <w:rPr>
          <w:sz w:val="20"/>
          <w:szCs w:val="20"/>
          <w:color w:val="auto"/>
        </w:rPr>
      </w:pPr>
      <w:r>
        <w:rPr>
          <w:rFonts w:ascii="Arial" w:cs="Arial" w:eastAsia="Arial" w:hAnsi="Arial"/>
          <w:sz w:val="18"/>
          <w:szCs w:val="18"/>
          <w:color w:val="auto"/>
        </w:rPr>
        <w:t>The primary purpose of the nominating and corporate governance committee is to provide assistance to the Board of Directors by, among other things, determining the size, structure, composition, processes and practices of the Board and its committees and assessing director independence and qualifications. The committee also identifies, recommends and assists the Board in recruiting individuals qualified to become Board members, and takes a leadership role in shaping the corporate governance of the Company through its review and development of our Corporate Governance Guidelines and practices and guidance of the annual Board evaluation. The committee, along with the Board as whole, retains oversight responsibility for the Company’s Corporate Responsibility strategy and provides oversight and guidance on environmental sustainability, social justice and corporate responsibility issues and opportunities for the Company.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compensation committee consists of Thomas Taylor, Jr., who serves as the Chair, D. Randolph Peeler and Heather Cianfrocco. Each member of the compensation committee has been determined to be independent under the applicable listing standards of Nasdaq and our Corporate Governance Guidelines.</w:t>
      </w:r>
    </w:p>
    <w:p>
      <w:pPr>
        <w:spacing w:after="0" w:line="95"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1"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94" w:lineRule="exact"/>
        <w:rPr>
          <w:sz w:val="20"/>
          <w:szCs w:val="20"/>
          <w:color w:val="auto"/>
        </w:rPr>
      </w:pPr>
    </w:p>
    <w:p>
      <w:pPr>
        <w:jc w:val="both"/>
        <w:ind w:left="760"/>
        <w:spacing w:after="0" w:line="234" w:lineRule="auto"/>
        <w:rPr>
          <w:sz w:val="20"/>
          <w:szCs w:val="20"/>
          <w:color w:val="auto"/>
        </w:rPr>
      </w:pPr>
      <w:r>
        <w:rPr>
          <w:rFonts w:ascii="Arial" w:cs="Arial" w:eastAsia="Arial" w:hAnsi="Arial"/>
          <w:sz w:val="18"/>
          <w:szCs w:val="18"/>
          <w:color w:val="auto"/>
        </w:rPr>
        <w:t>Our Corporate Governance Guidelines, audit, nominating and corporate governance and compensation committee charters, and other corporate governance information are available in the investors section of our website,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We are committed to ensuring our business is conducted ethically and legally. We maintain a written code of conduct that applies to our directors, officers and employees, including our principal executive officer, principal financial officer,</w:t>
      </w:r>
    </w:p>
    <w:p>
      <w:pPr>
        <w:spacing w:after="0" w:line="30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 xml:space="preserve">principal accounting officer, or persons performing similar functions, which we call our Code of Conduct. Our Code of Conduct is a “code of ethics” as defined in Item 406(b) of Regulation S-K and is posted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9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jc w:val="both"/>
        <w:ind w:left="760"/>
        <w:spacing w:after="0" w:line="241" w:lineRule="auto"/>
        <w:rPr>
          <w:sz w:val="20"/>
          <w:szCs w:val="20"/>
          <w:color w:val="auto"/>
        </w:rPr>
      </w:pPr>
      <w:r>
        <w:rPr>
          <w:rFonts w:ascii="Arial" w:cs="Arial" w:eastAsia="Arial" w:hAnsi="Arial"/>
          <w:sz w:val="18"/>
          <w:szCs w:val="18"/>
          <w:i w:val="1"/>
          <w:iCs w:val="1"/>
          <w:color w:val="auto"/>
        </w:rPr>
        <w:t xml:space="preserve">Management Stockholder’s Agreements. </w:t>
      </w:r>
      <w:r>
        <w:rPr>
          <w:rFonts w:ascii="Arial" w:cs="Arial" w:eastAsia="Arial" w:hAnsi="Arial"/>
          <w:sz w:val="18"/>
          <w:szCs w:val="18"/>
          <w:color w:val="auto"/>
        </w:rPr>
        <w:t>In connection with the acquisition of NVI in March 2014 by affiliates of</w:t>
      </w:r>
      <w:r>
        <w:rPr>
          <w:rFonts w:ascii="Arial" w:cs="Arial" w:eastAsia="Arial" w:hAnsi="Arial"/>
          <w:sz w:val="18"/>
          <w:szCs w:val="18"/>
          <w:i w:val="1"/>
          <w:iCs w:val="1"/>
          <w:color w:val="auto"/>
        </w:rPr>
        <w:t xml:space="preserve"> </w:t>
      </w:r>
      <w:r>
        <w:rPr>
          <w:rFonts w:ascii="Arial" w:cs="Arial" w:eastAsia="Arial" w:hAnsi="Arial"/>
          <w:sz w:val="18"/>
          <w:szCs w:val="18"/>
          <w:color w:val="auto"/>
        </w:rPr>
        <w:t>KKR &amp; Co. Inc (“KKR”) and thereafter, we entered into Management Stockholder’s Agreements with certain of our senior executive officers and other employees who made an equity investment in us or were granted equity-based awards. The Management Stockholder’s Agreements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In connection with and following our initial public offering (IPO), we have been committed to stockholder engagement and we greatly value the input we receive from our stockholders. Our investor relations team and members of our senior management are in frequent communication with stockholders on a variety of matters, primarily focused on our operations and financial performance. In 2020, we continued our stockholder engagement program focused on corporate governance, executive compensation, corporate social responsibility and other ESG matters of interest to our stockholders. As part of our engagement efforts, we conducted stockholder outreach with the Company’s top institutional investors representing approximately 63% of our shares outstanding. Many of these stockholders expressed the view that they were aligned with the Company’s board refreshment and continued Board diversity efforts, the continued progress and evolution and disclosure of the Company’s philanthropic as well as other environmental, social and governance priorities, and supported the Company’s executive compensation program.</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Philanthropy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We strive to align our actions with our Company vision—“We believe everyone deserves to see their best to live their best.” The need for eye care and eyewear is a critical national and global issue. We focus our philanthropic efforts in the optical sector, where we feel we can make the greatest difference. We are proud to be working with organizations</w:t>
      </w:r>
    </w:p>
    <w:p>
      <w:pPr>
        <w:spacing w:after="0" w:line="32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sz w:val="1"/>
          <w:szCs w:val="1"/>
          <w:color w:val="auto"/>
        </w:rPr>
        <w:drawing>
          <wp:inline distT="0" distB="0" distL="0" distR="0">
            <wp:extent cx="299720" cy="2400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and individuals, both domestically and around the world, to provide solutions so more people can get the care they need. In August 2020, we published our first-ever philanthropic Impact Report detailing how the Company is transforming the lives of people in the United States and around the world. Our Impact Report focused on the Company’s impact through 2019 in the core areas of (1) helping children in need in the United States, (2) global giving and (3) partnering to make an impact, and also highlighted the Company’s commitment to providing help during the pandemic. Through partnering with schools and the Boys &amp; Girls Club of America, we have provided more than 18,000 free eye exams and distributed more than 10,000 pairs of glasses. Through our partnership with RestoringVision, a global vision nonprofit, we have coordinated the donation and distribution of more than 500,000 glasses over the past 13 years and contributed more than $340,000.</w:t>
      </w:r>
    </w:p>
    <w:p>
      <w:pPr>
        <w:spacing w:after="0" w:line="99"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 xml:space="preserve">In addition to our philanthropic efforts, we understand the importance of acting responsibly as a business, employer and corporate citizen. Engagement on corporate responsibility is important to us and our stakeholders. We are focused on a commitment to balancing the social, economic, human capital management and environmental aspects of our business and to developing additional disclosure to highlight our aspirations and achievements in these areas. In 2020, we began our formal Corporate Responsibility journey and completed a materiality assessment on the core pillars at the heart of our operations and goals. Informed by insights from our assessment, we are developing our goals and reporting metrics as an important part of our ongoing commitment to transparency and impact. Our approach, once complete, will enable the Company to provide an integrated, comprehensive view of its corporate responsibility commitments, progress and impact. More information about Corporate Responsibility at National Vision can found in the Corporate Responsibility page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The information on this website is not, and will not be deemed to be, a part of this proxy statement or incorporated into any other filings with the SEC.</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As of January 2, 2021, we had 12,792 full-time and part-time associates. In addition, the professional corporations or similar entities with which we contract employed 1,200 optometrists as of January 2, 2021.</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Acquisition</w:t>
      </w:r>
    </w:p>
    <w:p>
      <w:pPr>
        <w:spacing w:after="0" w:line="72"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campaign “Optometry Gives Me Life” targeted at high school and college students. To mitigate the impact the COVID-19 pandemic and temporary closure of our stores had on our traditional recruiting efforts and hiring cycles, we transitioned to online platforms for job fairs and on campus events, selectively offered key incentives, such as a student loan repayment program, and educated applicants on the health and safety protocols implemented in our stores.</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Development</w:t>
      </w:r>
    </w:p>
    <w:p>
      <w:pPr>
        <w:spacing w:after="0" w:line="58"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our associates and optometrists with several opportunities and mechanisms through which they can provide feedback and allow us to continue developing programs for training and growth.</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Benefits and Wellness</w:t>
      </w:r>
    </w:p>
    <w:p>
      <w:pPr>
        <w:spacing w:after="0" w:line="58"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health plan, wellness and disease management programs, including personalized programs for diabetes and hypertension, and a financial protection resource, provide the needed resources essential for helping our people care for themselves and their families.</w:t>
      </w:r>
    </w:p>
    <w:p>
      <w:pPr>
        <w:spacing w:after="0" w:line="9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We also offer free on-demand mental and behavioral health resources, to provide needed guidance when work and personal challenges affect an associate’s overall well-being. Shortly after our IPO, we established the National Vision</w:t>
      </w:r>
    </w:p>
    <w:p>
      <w:pPr>
        <w:spacing w:after="0" w:line="31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Crisis Relief Fund to help support associates who are facing financial hardship as a result of a natural disaster, family emergency or other unexpected events. Donations made to the Crisis Relief Fund are matched by the Company. Since its creation, over $800,000 have been provided to associates for assistance, with over 90% provided since the beginning of the COVID-19 pandemic.</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Equity and Inclusion</w:t>
      </w:r>
    </w:p>
    <w:p>
      <w:pPr>
        <w:spacing w:after="0" w:line="72"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We are committed to a diverse and inclusive culture and proud to be a “majority-minority company.” In 2020, we formed a new Diversity, Equity and Inclusion (“DEI”) department within the Company led by a veteran senior executive. The DEI department is supported by our DEI Council, composed of a cross-section of associates and optometrists. In 2020, we focused on reviewing best practices and initiatives and conducted listen and learn sessions with associates and optometrists to solicit feedback and identify opportunity areas. As we move forward in our DEI journey, we are focused on advancing diversity in our recruitment, training, career mentorship and development, employment branding and community service. As a part of these efforts, in 2020, we collaborated with non-profit and educational institutions with the goal of increasing the percentage of Black doctors in the industry, including sponsoring and participating in the first ever “Impact HBCU” event sponsored by Black Eyecare Perspectives with the goal of increasing awareness in the field among HBCU students.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Response</w:t>
      </w:r>
    </w:p>
    <w:p>
      <w:pPr>
        <w:spacing w:after="0" w:line="8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As noted earlier in this proxy statement, the COVID-19 pandemic has presented unique challenges for our associates, doctors, patients and customers. We prioritized the safety of our associates, doctors, patients and customers by voluntarily closing our stores to the public for a temporary period of time in 2020 to implement enhanced safety and cleaning protocols in order to serve our patients and customers with everyone’s health and safety in mind.</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also created multiple resources for associates, including frequent and transparent communication tools, additional leave of absence and paid leave options, and centralized support to address COVID-19 questions and concerns, including regarding the availability of vaccines. We paid one-time appreciation bonuses to customer-facing associates in the third quarter of fiscal year 2020, granted additional company holidays in the fourth quarter of fiscal year 2020 and paid benefits for associates furloughed in response to the COVID-19 pandemic. In addition, contributions to our Crisis Relief Fund more than doubled, reflecting the empathetic nature of our community.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Directors who are our employees do not receive remuneration for serving on our Board. In 2020, our director compensation program consisted of the following:</w:t>
      </w:r>
    </w:p>
    <w:p>
      <w:pPr>
        <w:spacing w:after="0" w:line="117" w:lineRule="exact"/>
        <w:rPr>
          <w:sz w:val="20"/>
          <w:szCs w:val="20"/>
          <w:color w:val="auto"/>
        </w:rPr>
      </w:pPr>
    </w:p>
    <w:p>
      <w:pPr>
        <w:ind w:left="1120" w:hanging="214"/>
        <w:spacing w:after="0"/>
        <w:tabs>
          <w:tab w:leader="none" w:pos="112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Annual cash retainer of $75,000, paid quarterly, in arrears.</w:t>
      </w:r>
    </w:p>
    <w:p>
      <w:pPr>
        <w:spacing w:after="0" w:line="117" w:lineRule="exact"/>
        <w:rPr>
          <w:rFonts w:ascii="Arial" w:cs="Arial" w:eastAsia="Arial" w:hAnsi="Arial"/>
          <w:sz w:val="18"/>
          <w:szCs w:val="18"/>
          <w:color w:val="3C5896"/>
        </w:rPr>
      </w:pPr>
    </w:p>
    <w:p>
      <w:pPr>
        <w:jc w:val="both"/>
        <w:ind w:left="1120" w:hanging="214"/>
        <w:spacing w:after="0"/>
        <w:tabs>
          <w:tab w:leader="none" w:pos="112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received annual cash retainers of $20,000, $15,000 and $10,000, respectively, paid quarterly, in arrears.</w:t>
      </w:r>
    </w:p>
    <w:p>
      <w:pPr>
        <w:spacing w:after="0" w:line="121"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Annual $100,000 restricted stock grant, which will vest on the first anniversary of the grant date, subject to continued service through the applicable vesting date.</w:t>
      </w:r>
    </w:p>
    <w:p>
      <w:pPr>
        <w:spacing w:after="0" w:line="89"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9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compensation committee, with assistance from its independent compensation consultant, reviews the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as described later in the Compensation Discussion &amp; Analysis section. The compensation committee last reviewed director compensation in December 2018 and made appropriate changes based upon the results at that time.</w:t>
      </w:r>
    </w:p>
    <w:p>
      <w:pPr>
        <w:spacing w:after="0" w:line="10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In March 2020, in light of the unprecedented impact of the pandemic, the Board elected to forego their annual cash compensation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sz w:val="1"/>
          <w:szCs w:val="1"/>
          <w:color w:val="auto"/>
        </w:rPr>
        <w:drawing>
          <wp:inline distT="0" distB="0" distL="0" distR="0">
            <wp:extent cx="299720" cy="24003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color w:val="auto"/>
        </w:rPr>
        <w:t>The following table reflects all cash compensation paid and the aggregate market value of stock awards granted to our non-employee directors for service in fiscal 2020:</w:t>
      </w:r>
    </w:p>
    <w:p>
      <w:pPr>
        <w:spacing w:after="0" w:line="30" w:lineRule="exact"/>
        <w:rPr>
          <w:sz w:val="20"/>
          <w:szCs w:val="20"/>
          <w:color w:val="auto"/>
        </w:rPr>
      </w:pPr>
    </w:p>
    <w:tbl>
      <w:tblPr>
        <w:tblLayout w:type="fixed"/>
        <w:tblInd w:w="770" w:type="dxa"/>
        <w:tblCellMar>
          <w:top w:w="0" w:type="dxa"/>
          <w:left w:w="0" w:type="dxa"/>
          <w:bottom w:w="0" w:type="dxa"/>
          <w:right w:w="0" w:type="dxa"/>
        </w:tblCellMar>
      </w:tblPr>
      <w:tr>
        <w:trPr>
          <w:trHeight w:val="229"/>
        </w:trPr>
        <w:tc>
          <w:tcPr>
            <w:tcW w:w="60" w:type="dxa"/>
            <w:vAlign w:val="bottom"/>
            <w:tcBorders>
              <w:top w:val="single" w:sz="8" w:color="3C5896"/>
              <w:left w:val="single" w:sz="8" w:color="3C5896"/>
            </w:tcBorders>
            <w:shd w:val="clear" w:color="auto" w:fill="3C5896"/>
          </w:tcPr>
          <w:p>
            <w:pPr>
              <w:spacing w:after="0"/>
              <w:rPr>
                <w:sz w:val="19"/>
                <w:szCs w:val="19"/>
                <w:color w:val="auto"/>
              </w:rPr>
            </w:pPr>
          </w:p>
        </w:tc>
        <w:tc>
          <w:tcPr>
            <w:tcW w:w="2640" w:type="dxa"/>
            <w:vAlign w:val="bottom"/>
            <w:tcBorders>
              <w:top w:val="single" w:sz="8" w:color="3C5896"/>
              <w:right w:val="single" w:sz="8" w:color="9EACCA"/>
            </w:tcBorders>
            <w:shd w:val="clear" w:color="auto" w:fill="3C5896"/>
          </w:tcPr>
          <w:p>
            <w:pPr>
              <w:spacing w:after="0"/>
              <w:rPr>
                <w:sz w:val="19"/>
                <w:szCs w:val="19"/>
                <w:color w:val="auto"/>
              </w:rPr>
            </w:pPr>
          </w:p>
        </w:tc>
        <w:tc>
          <w:tcPr>
            <w:tcW w:w="16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Fees earned or</w:t>
            </w:r>
          </w:p>
        </w:tc>
        <w:tc>
          <w:tcPr>
            <w:tcW w:w="16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Stock</w:t>
            </w:r>
          </w:p>
        </w:tc>
        <w:tc>
          <w:tcPr>
            <w:tcW w:w="1620" w:type="dxa"/>
            <w:vAlign w:val="bottom"/>
            <w:tcBorders>
              <w:top w:val="single" w:sz="8" w:color="3C5896"/>
              <w:right w:val="single" w:sz="8" w:color="9EACCA"/>
            </w:tcBorders>
            <w:shd w:val="clear" w:color="auto" w:fill="3C5896"/>
          </w:tcPr>
          <w:p>
            <w:pPr>
              <w:jc w:val="right"/>
              <w:ind w:right="390"/>
              <w:spacing w:after="0"/>
              <w:rPr>
                <w:sz w:val="20"/>
                <w:szCs w:val="20"/>
                <w:color w:val="auto"/>
              </w:rPr>
            </w:pPr>
            <w:r>
              <w:rPr>
                <w:rFonts w:ascii="Arial" w:cs="Arial" w:eastAsia="Arial" w:hAnsi="Arial"/>
                <w:sz w:val="18"/>
                <w:szCs w:val="18"/>
                <w:b w:val="1"/>
                <w:bCs w:val="1"/>
                <w:color w:val="FFFFFF"/>
              </w:rPr>
              <w:t>All other</w:t>
            </w:r>
          </w:p>
        </w:tc>
        <w:tc>
          <w:tcPr>
            <w:tcW w:w="40" w:type="dxa"/>
            <w:vAlign w:val="bottom"/>
            <w:tcBorders>
              <w:top w:val="single" w:sz="8" w:color="3C5896"/>
            </w:tcBorders>
            <w:shd w:val="clear" w:color="auto" w:fill="3C5896"/>
          </w:tcPr>
          <w:p>
            <w:pPr>
              <w:spacing w:after="0"/>
              <w:rPr>
                <w:sz w:val="19"/>
                <w:szCs w:val="19"/>
                <w:color w:val="auto"/>
              </w:rPr>
            </w:pPr>
          </w:p>
        </w:tc>
        <w:tc>
          <w:tcPr>
            <w:tcW w:w="1600" w:type="dxa"/>
            <w:vAlign w:val="bottom"/>
            <w:tcBorders>
              <w:top w:val="single" w:sz="8" w:color="3C5896"/>
              <w:right w:val="single" w:sz="8" w:color="3C5896"/>
            </w:tcBorders>
            <w:vMerge w:val="restart"/>
            <w:shd w:val="clear" w:color="auto" w:fill="3C5896"/>
          </w:tcPr>
          <w:p>
            <w:pPr>
              <w:jc w:val="right"/>
              <w:ind w:right="57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6"/>
        </w:trPr>
        <w:tc>
          <w:tcPr>
            <w:tcW w:w="60" w:type="dxa"/>
            <w:vAlign w:val="bottom"/>
            <w:tcBorders>
              <w:left w:val="single" w:sz="8" w:color="3C5896"/>
            </w:tcBorders>
            <w:shd w:val="clear" w:color="auto" w:fill="3C5896"/>
          </w:tcPr>
          <w:p>
            <w:pPr>
              <w:spacing w:after="0"/>
              <w:rPr>
                <w:sz w:val="15"/>
                <w:szCs w:val="15"/>
                <w:color w:val="auto"/>
              </w:rPr>
            </w:pPr>
          </w:p>
        </w:tc>
        <w:tc>
          <w:tcPr>
            <w:tcW w:w="2640" w:type="dxa"/>
            <w:vAlign w:val="bottom"/>
            <w:tcBorders>
              <w:right w:val="single" w:sz="8" w:color="9EACCA"/>
            </w:tcBorders>
            <w:vMerge w:val="restart"/>
            <w:shd w:val="clear" w:color="auto" w:fill="3C5896"/>
          </w:tcPr>
          <w:p>
            <w:pPr>
              <w:ind w:left="1040"/>
              <w:spacing w:after="0"/>
              <w:rPr>
                <w:sz w:val="20"/>
                <w:szCs w:val="20"/>
                <w:color w:val="auto"/>
              </w:rPr>
            </w:pPr>
            <w:r>
              <w:rPr>
                <w:rFonts w:ascii="Arial" w:cs="Arial" w:eastAsia="Arial" w:hAnsi="Arial"/>
                <w:sz w:val="18"/>
                <w:szCs w:val="18"/>
                <w:b w:val="1"/>
                <w:bCs w:val="1"/>
                <w:color w:val="FFFFFF"/>
              </w:rPr>
              <w:t>Name</w:t>
            </w:r>
          </w:p>
        </w:tc>
        <w:tc>
          <w:tcPr>
            <w:tcW w:w="162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7"/>
              </w:rPr>
              <w:t>paid in cash</w:t>
            </w:r>
          </w:p>
        </w:tc>
        <w:tc>
          <w:tcPr>
            <w:tcW w:w="162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awards</w:t>
            </w:r>
          </w:p>
        </w:tc>
        <w:tc>
          <w:tcPr>
            <w:tcW w:w="1620" w:type="dxa"/>
            <w:vAlign w:val="bottom"/>
            <w:tcBorders>
              <w:right w:val="single" w:sz="8" w:color="9EACCA"/>
            </w:tcBorders>
            <w:shd w:val="clear" w:color="auto" w:fill="3C5896"/>
          </w:tcPr>
          <w:p>
            <w:pPr>
              <w:jc w:val="right"/>
              <w:ind w:right="150"/>
              <w:spacing w:after="0" w:line="176" w:lineRule="exact"/>
              <w:rPr>
                <w:sz w:val="20"/>
                <w:szCs w:val="20"/>
                <w:color w:val="auto"/>
              </w:rPr>
            </w:pPr>
            <w:r>
              <w:rPr>
                <w:rFonts w:ascii="Arial" w:cs="Arial" w:eastAsia="Arial" w:hAnsi="Arial"/>
                <w:sz w:val="18"/>
                <w:szCs w:val="18"/>
                <w:b w:val="1"/>
                <w:bCs w:val="1"/>
                <w:color w:val="FFFFFF"/>
              </w:rPr>
              <w:t>compensation</w:t>
            </w:r>
          </w:p>
        </w:tc>
        <w:tc>
          <w:tcPr>
            <w:tcW w:w="40" w:type="dxa"/>
            <w:vAlign w:val="bottom"/>
            <w:shd w:val="clear" w:color="auto" w:fill="3C5896"/>
          </w:tcPr>
          <w:p>
            <w:pPr>
              <w:spacing w:after="0"/>
              <w:rPr>
                <w:sz w:val="15"/>
                <w:szCs w:val="15"/>
                <w:color w:val="auto"/>
              </w:rPr>
            </w:pPr>
          </w:p>
        </w:tc>
        <w:tc>
          <w:tcPr>
            <w:tcW w:w="1600" w:type="dxa"/>
            <w:vAlign w:val="bottom"/>
            <w:tcBorders>
              <w:right w:val="single" w:sz="8" w:color="3C5896"/>
            </w:tcBorders>
            <w:vMerge w:val="continue"/>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shd w:val="clear" w:color="auto" w:fill="3C5896"/>
          </w:tcPr>
          <w:p>
            <w:pPr>
              <w:spacing w:after="0"/>
              <w:rPr>
                <w:sz w:val="18"/>
                <w:szCs w:val="18"/>
                <w:color w:val="auto"/>
              </w:rPr>
            </w:pPr>
          </w:p>
        </w:tc>
        <w:tc>
          <w:tcPr>
            <w:tcW w:w="2640" w:type="dxa"/>
            <w:vAlign w:val="bottom"/>
            <w:tcBorders>
              <w:right w:val="single" w:sz="8" w:color="9EACCA"/>
            </w:tcBorders>
            <w:vMerge w:val="continue"/>
            <w:shd w:val="clear" w:color="auto" w:fill="3C5896"/>
          </w:tcPr>
          <w:p>
            <w:pPr>
              <w:spacing w:after="0"/>
              <w:rPr>
                <w:sz w:val="18"/>
                <w:szCs w:val="18"/>
                <w:color w:val="auto"/>
              </w:rPr>
            </w:pPr>
          </w:p>
        </w:tc>
        <w:tc>
          <w:tcPr>
            <w:tcW w:w="162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(1)</w:t>
            </w:r>
          </w:p>
        </w:tc>
        <w:tc>
          <w:tcPr>
            <w:tcW w:w="162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(2)</w:t>
            </w:r>
          </w:p>
        </w:tc>
        <w:tc>
          <w:tcPr>
            <w:tcW w:w="1620" w:type="dxa"/>
            <w:vAlign w:val="bottom"/>
            <w:tcBorders>
              <w:right w:val="single" w:sz="8" w:color="9EACCA"/>
            </w:tcBorders>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w:t>
            </w:r>
          </w:p>
        </w:tc>
        <w:tc>
          <w:tcPr>
            <w:tcW w:w="1640" w:type="dxa"/>
            <w:vAlign w:val="bottom"/>
            <w:tcBorders>
              <w:right w:val="single" w:sz="8" w:color="3C5896"/>
            </w:tcBorders>
            <w:gridSpan w:val="2"/>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2640" w:type="dxa"/>
            <w:vAlign w:val="bottom"/>
            <w:tcBorders>
              <w:right w:val="single" w:sz="8" w:color="9EACCA"/>
            </w:tcBorders>
          </w:tcPr>
          <w:p>
            <w:pPr>
              <w:spacing w:after="0" w:line="216" w:lineRule="exact"/>
              <w:rPr>
                <w:sz w:val="20"/>
                <w:szCs w:val="20"/>
                <w:color w:val="auto"/>
              </w:rPr>
            </w:pPr>
            <w:r>
              <w:rPr>
                <w:rFonts w:ascii="Arial" w:cs="Arial" w:eastAsia="Arial" w:hAnsi="Arial"/>
                <w:sz w:val="17"/>
                <w:szCs w:val="17"/>
                <w:color w:val="auto"/>
              </w:rPr>
              <w:t>D. Randolph Peeler</w:t>
            </w:r>
            <w:r>
              <w:rPr>
                <w:rFonts w:ascii="Arial" w:cs="Arial" w:eastAsia="Arial" w:hAnsi="Arial"/>
                <w:sz w:val="25"/>
                <w:szCs w:val="25"/>
                <w:color w:val="auto"/>
                <w:vertAlign w:val="superscript"/>
              </w:rPr>
              <w:t>(3)</w:t>
            </w:r>
          </w:p>
        </w:tc>
        <w:tc>
          <w:tcPr>
            <w:tcW w:w="16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56,250</w:t>
            </w:r>
          </w:p>
        </w:tc>
        <w:tc>
          <w:tcPr>
            <w:tcW w:w="1620" w:type="dxa"/>
            <w:vAlign w:val="bottom"/>
            <w:tcBorders>
              <w:right w:val="single" w:sz="8" w:color="9EACCA"/>
            </w:tcBorders>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Heather Cianfrocco</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56,250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Virginia A. Hepner</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63,750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163,750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Susan S. Johnson</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18,750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118,750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Naomi Kelman</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25,000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Thomas V. Taylor, Jr.</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67,500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167,500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David M. Tehle</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71,250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bottom w:val="single" w:sz="8" w:color="3C5896"/>
            </w:tcBorders>
            <w:shd w:val="clear" w:color="auto" w:fill="CCCCCC"/>
          </w:tcPr>
          <w:p>
            <w:pPr>
              <w:spacing w:after="0"/>
              <w:rPr>
                <w:sz w:val="23"/>
                <w:szCs w:val="23"/>
                <w:color w:val="auto"/>
              </w:rPr>
            </w:pPr>
          </w:p>
        </w:tc>
        <w:tc>
          <w:tcPr>
            <w:tcW w:w="2640" w:type="dxa"/>
            <w:vAlign w:val="bottom"/>
            <w:tcBorders>
              <w:bottom w:val="single" w:sz="8" w:color="3C5896"/>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Nathaniel H. Taylor</w:t>
            </w:r>
            <w:r>
              <w:rPr>
                <w:rFonts w:ascii="Arial" w:cs="Arial" w:eastAsia="Arial" w:hAnsi="Arial"/>
                <w:sz w:val="26"/>
                <w:szCs w:val="26"/>
                <w:color w:val="auto"/>
                <w:vertAlign w:val="superscript"/>
              </w:rPr>
              <w:t>(4)</w:t>
            </w:r>
          </w:p>
        </w:tc>
        <w:tc>
          <w:tcPr>
            <w:tcW w:w="1620" w:type="dxa"/>
            <w:vAlign w:val="bottom"/>
            <w:tcBorders>
              <w:bottom w:val="single" w:sz="8" w:color="3C5896"/>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8"/>
              </w:rPr>
              <w:t>37,500</w:t>
            </w:r>
          </w:p>
        </w:tc>
        <w:tc>
          <w:tcPr>
            <w:tcW w:w="1620" w:type="dxa"/>
            <w:vAlign w:val="bottom"/>
            <w:tcBorders>
              <w:bottom w:val="single" w:sz="8" w:color="3C5896"/>
              <w:right w:val="single" w:sz="8" w:color="9EACCA"/>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3C5896"/>
              <w:right w:val="single" w:sz="8" w:color="9EACCA"/>
            </w:tcBorders>
            <w:shd w:val="clear" w:color="auto" w:fill="CCCCCC"/>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3C5896"/>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-1087755</wp:posOffset>
            </wp:positionV>
            <wp:extent cx="58204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44" w:lineRule="exact"/>
        <w:rPr>
          <w:sz w:val="20"/>
          <w:szCs w:val="20"/>
          <w:color w:val="auto"/>
        </w:rPr>
      </w:pPr>
    </w:p>
    <w:p>
      <w:pPr>
        <w:jc w:val="both"/>
        <w:ind w:left="1120" w:hanging="358"/>
        <w:spacing w:after="0" w:line="249"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all annual retainer fees paid in cash to the directors, including the voluntary election by the Board to forego their cash compensation for the second quarter of 2020 in response to the pandemic. In lieu of receiving cash retainers, Messrs. N. Taylor and Peeler donated their cash retainers to 20/20 Quest, a National Vision sponsored charitable foundation. Ms. Cianfrocco donated $28,125 of her cash retainer to 20/20 Quest.</w:t>
      </w:r>
    </w:p>
    <w:p>
      <w:pPr>
        <w:spacing w:after="0" w:line="53" w:lineRule="exact"/>
        <w:rPr>
          <w:rFonts w:ascii="Arial" w:cs="Arial" w:eastAsia="Arial" w:hAnsi="Arial"/>
          <w:sz w:val="15"/>
          <w:szCs w:val="15"/>
          <w:color w:val="auto"/>
        </w:rPr>
      </w:pPr>
    </w:p>
    <w:p>
      <w:pPr>
        <w:jc w:val="both"/>
        <w:ind w:left="1120" w:hanging="358"/>
        <w:spacing w:after="0" w:line="245"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Financial Accounting Standards Board Accounting Standards Codification Topic 718, Compensation—Stock Compensation (“ASC Topic 718”) associated with the grant to each director as of such grant date. See Note 5 of the Notes to Consolidated Financial Statements contained in the Company’s 2020 Form 10-K for an explanation of the assumptions made in the valuation of these awards. The grant date fair value of the annual award that was granted on June 11, 2020 for all directors (other than Ms. Johnson and Ms. Kelman) was $100,000 for the 3,632 shares of restricted stock granted to such directors. The grant date fair value of the 2,687 shares of restricted stock granted to Ms. Kelman in September 2020 was $100,000. The grant date fair value of the 2,368 shares of restricted stock granted to Ms. Johnson in October 2020 was $100,000. As of January 2, 2021, Ms. Cianfrocco held 3,632 shares of unvested restricted stock, Ms. Hepner held 4,420 shares of unvested restricted stock, Ms. Johnson held 2,368 shares of unvested restricted stock, Ms. Kelman held 2,687 shares of unvested restricted stock, Mr. T. Taylor held 4,365 shares of unvested restricted stock and Mr. Tehle held 4,510 shares of unvested restricted stock.</w:t>
      </w:r>
    </w:p>
    <w:p>
      <w:pPr>
        <w:spacing w:after="0" w:line="61" w:lineRule="exact"/>
        <w:rPr>
          <w:rFonts w:ascii="Arial" w:cs="Arial" w:eastAsia="Arial" w:hAnsi="Arial"/>
          <w:sz w:val="15"/>
          <w:szCs w:val="15"/>
          <w:color w:val="auto"/>
        </w:rPr>
      </w:pPr>
    </w:p>
    <w:p>
      <w:pPr>
        <w:jc w:val="both"/>
        <w:ind w:left="1120" w:hanging="358"/>
        <w:spacing w:after="0" w:line="244"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At the request of Mr. Peeler, the compensation committee approved in June 2019 a program in which (i) in lieu of paying his cash retainer for Board service and any committee chairperson service directly to Mr. Peeler, the Company would instead make a quarterly donation of such retainer in Mr. Peeler’s name to the Company’s foundation or another charity of his choosing and</w:t>
      </w:r>
    </w:p>
    <w:p>
      <w:pPr>
        <w:ind w:left="1120" w:right="20" w:firstLine="2"/>
        <w:spacing w:after="0" w:line="260" w:lineRule="auto"/>
        <w:tabs>
          <w:tab w:leader="none" w:pos="1367" w:val="left"/>
        </w:tabs>
        <w:numPr>
          <w:ilvl w:val="1"/>
          <w:numId w:val="16"/>
        </w:numPr>
        <w:rPr>
          <w:rFonts w:ascii="Arial" w:cs="Arial" w:eastAsia="Arial" w:hAnsi="Arial"/>
          <w:sz w:val="15"/>
          <w:szCs w:val="15"/>
          <w:color w:val="auto"/>
        </w:rPr>
      </w:pPr>
      <w:r>
        <w:rPr>
          <w:rFonts w:ascii="Arial" w:cs="Arial" w:eastAsia="Arial" w:hAnsi="Arial"/>
          <w:sz w:val="15"/>
          <w:szCs w:val="15"/>
          <w:color w:val="auto"/>
        </w:rPr>
        <w:t>Mr. Peeler would not receive the restricted stock award to which non-employee directors are entitled under the director compensation program.</w:t>
      </w:r>
    </w:p>
    <w:p>
      <w:pPr>
        <w:spacing w:after="0" w:line="58"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Mr. N. Taylor retired from the Board in September 2020. At the request of Mr. N. Taylor, the compensation committee approved in September 2019 a program in which (i) in lieu of paying his cash retainer for Board service and any committee chairperson service directly to Mr. N. Taylor, the Company would instead make a quarterly donation of such retainer in Mr. N. Taylor’s name to the Company’s foundation or another charity of his choosing and (ii) Mr. N. Taylor would not receive the restricted stock award to which non-employee directors are entitled under the director compensation program.</w:t>
      </w:r>
    </w:p>
    <w:p>
      <w:pPr>
        <w:spacing w:after="0" w:line="29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i w:val="1"/>
          <w:iCs w:val="1"/>
          <w:color w:val="auto"/>
        </w:rPr>
        <w:t xml:space="preserve">Director Stock Ownership Guidelines. </w:t>
      </w:r>
      <w:r>
        <w:rPr>
          <w:rFonts w:ascii="Arial" w:cs="Arial" w:eastAsia="Arial" w:hAnsi="Arial"/>
          <w:sz w:val="18"/>
          <w:szCs w:val="18"/>
          <w:color w:val="auto"/>
        </w:rPr>
        <w:t>In February 2019, the Board of Directors adopted 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“Guidelines”) applicable to our executive officers and directors who are not members of management and who are not affiliated with KKR and Berkshire (the “Covered Directors”). Under the Guidelines, Covered Directors are required to hold a specific level of equity ownership, as a multiple of annual cash retainer. The Guidelines currently require Covered Directors to hold 5x the annual cash retainer. There is no required time frame within which a Covered Director must attain the applicable stock ownership level under the Guidelines. However, until the applicable ownership level is achieved, Covered Directors must retain 50% of vested shares net of stock option exercise and tax withholding. 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 As of January 2, 2021, Messrs. Fahs, Peeler and Tehle have met or exceeded their current ownership requirements and the remaining directors are subject to the restrictions in the guidelines until their ownership requirements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8" w:lineRule="exact"/>
        <w:rPr>
          <w:sz w:val="20"/>
          <w:szCs w:val="20"/>
          <w:color w:val="auto"/>
        </w:rPr>
      </w:pPr>
    </w:p>
    <w:p>
      <w:pPr>
        <w:ind w:left="760" w:right="1340"/>
        <w:spacing w:after="0" w:line="235" w:lineRule="auto"/>
        <w:rPr>
          <w:sz w:val="20"/>
          <w:szCs w:val="20"/>
          <w:color w:val="auto"/>
        </w:rPr>
      </w:pPr>
      <w:r>
        <w:rPr>
          <w:rFonts w:ascii="Arial" w:cs="Arial" w:eastAsia="Arial" w:hAnsi="Arial"/>
          <w:sz w:val="32"/>
          <w:szCs w:val="32"/>
          <w:color w:val="auto"/>
        </w:rPr>
        <w:t>PROPOSAL NO. 2—AMENDMENT TO THE SECOND AMENDED AND RESTATED CERTIFICATE OF INCORPORATION TO ELIMINATE THE CLASSIFIED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76835</wp:posOffset>
            </wp:positionV>
            <wp:extent cx="5837555" cy="1183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37555" cy="1183005"/>
                    </a:xfrm>
                    <a:prstGeom prst="rect">
                      <a:avLst/>
                    </a:prstGeom>
                    <a:noFill/>
                  </pic:spPr>
                </pic:pic>
              </a:graphicData>
            </a:graphic>
          </wp:anchor>
        </w:drawing>
      </w:r>
    </w:p>
    <w:p>
      <w:pPr>
        <w:spacing w:after="0" w:line="159" w:lineRule="exact"/>
        <w:rPr>
          <w:sz w:val="20"/>
          <w:szCs w:val="20"/>
          <w:color w:val="auto"/>
        </w:rPr>
      </w:pPr>
    </w:p>
    <w:p>
      <w:pPr>
        <w:ind w:left="820" w:right="100"/>
        <w:spacing w:after="0" w:line="29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HAT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w:t>
      </w:r>
      <w:r>
        <w:rPr>
          <w:rFonts w:ascii="Arial" w:cs="Arial" w:eastAsia="Arial" w:hAnsi="Arial"/>
          <w:sz w:val="17"/>
          <w:szCs w:val="17"/>
          <w:b w:val="1"/>
          <w:bCs w:val="1"/>
          <w:color w:val="auto"/>
        </w:rPr>
        <w:t xml:space="preserve"> I </w:t>
      </w:r>
      <w:r>
        <w:rPr>
          <w:rFonts w:ascii="Arial" w:cs="Arial" w:eastAsia="Arial" w:hAnsi="Arial"/>
          <w:sz w:val="11"/>
          <w:szCs w:val="11"/>
          <w:b w:val="1"/>
          <w:bCs w:val="1"/>
          <w:color w:val="auto"/>
        </w:rPr>
        <w:t>VOTING ON</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are being asked to approve an amendment to our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eliminate the classified structure of the Board of Directors and to provide for the annual election of directors beginning at the 2022 annual meeting, with all directors standing for election annually by the 2024 annual meeting.</w:t>
      </w:r>
    </w:p>
    <w:p>
      <w:pPr>
        <w:spacing w:after="0" w:line="2" w:lineRule="exact"/>
        <w:rPr>
          <w:sz w:val="20"/>
          <w:szCs w:val="20"/>
          <w:color w:val="auto"/>
        </w:rPr>
      </w:pPr>
    </w:p>
    <w:p>
      <w:pPr>
        <w:ind w:left="820" w:right="64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an amendment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eliminate the classified structure of the Board of Directors.</w:t>
      </w:r>
    </w:p>
    <w:p>
      <w:pPr>
        <w:spacing w:after="0" w:line="1" w:lineRule="exact"/>
        <w:rPr>
          <w:sz w:val="20"/>
          <w:szCs w:val="20"/>
          <w:color w:val="auto"/>
        </w:rPr>
      </w:pPr>
    </w:p>
    <w:p>
      <w:pPr>
        <w:ind w:left="820" w:right="180"/>
        <w:spacing w:after="0" w:line="227"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stock of the Company entitled to vote on such proposal.</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w:t>
      </w:r>
    </w:p>
    <w:p>
      <w:pPr>
        <w:spacing w:after="0" w:line="207"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Our Second Amended and Restated Certificate of Incorporation (the “certificate of incorporation”) currently provides for a classified Board divided into three classes of directors, with each class elected for staggered three-year terms. In our 2020 proxy statement, the Board committed, upon the recommendation of the nominating and corporate governance committee, to submit for stockholder vote at our 2021 annual meeting a management proposal to amend our certificate of incorporation to eliminate the classified structure of the Board. At the time of our IPO, the Board believed that a classified board structure was an important piece of the Company’s governance structure in order to promote continuity and stability and was in the best interests of the Company and its stockholders.</w:t>
      </w:r>
    </w:p>
    <w:p>
      <w:pPr>
        <w:spacing w:after="0" w:line="95"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Board carefully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w:t>
      </w:r>
    </w:p>
    <w:p>
      <w:pPr>
        <w:spacing w:after="0" w:line="95"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Upon the recommendation of our nominating and corporate governance committee, the Board has determined that it is in the best interests of the Company and its stockholders to amend the certificate of incorporation to eliminate the classified structure of the Board and to provide for the annual election of all directors, and the Board recommends that the stockholders approve such an amendment.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Impact of the Proposal—Annual Elections of Directors</w:t>
      </w:r>
    </w:p>
    <w:p>
      <w:pPr>
        <w:spacing w:after="0" w:line="13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If approved by our stockholders, the proposed amendments to our certificate of incorporation would begin to eliminate the three classes of directors and provide for the annual election of directors beginning at the 2022 annual meeting of stockholders. Beginning with the 2024 annual meeting of stockholders, all directors will stand for election annually.</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Description of Proposal</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Article VI Section (A) of our certificate of incorporation currently provides that the Board is divided into three classes, with each class serving a staggered three-year term, and only one class being up for re-election each annual meeting. Specifically:</w:t>
      </w:r>
    </w:p>
    <w:p>
      <w:pPr>
        <w:spacing w:after="0" w:line="95" w:lineRule="exact"/>
        <w:rPr>
          <w:sz w:val="20"/>
          <w:szCs w:val="20"/>
          <w:color w:val="auto"/>
        </w:rPr>
      </w:pPr>
    </w:p>
    <w:p>
      <w:pPr>
        <w:ind w:left="1120" w:hanging="214"/>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The directors designated as Class I directors have terms expiring at the Annual Meeting;</w:t>
      </w:r>
    </w:p>
    <w:p>
      <w:pPr>
        <w:spacing w:after="0" w:line="90"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The directors designated as Class II directors have terms expiring at the 2022 annual meeting of stockholders; and</w:t>
      </w:r>
    </w:p>
    <w:p>
      <w:pPr>
        <w:spacing w:after="0" w:line="75" w:lineRule="exact"/>
        <w:rPr>
          <w:rFonts w:ascii="Arial" w:cs="Arial" w:eastAsia="Arial" w:hAnsi="Arial"/>
          <w:sz w:val="18"/>
          <w:szCs w:val="18"/>
          <w:color w:val="3C5896"/>
        </w:rPr>
      </w:pPr>
    </w:p>
    <w:p>
      <w:pPr>
        <w:ind w:left="1120" w:hanging="214"/>
        <w:spacing w:after="0"/>
        <w:tabs>
          <w:tab w:leader="none" w:pos="1120" w:val="left"/>
        </w:tabs>
        <w:numPr>
          <w:ilvl w:val="0"/>
          <w:numId w:val="17"/>
        </w:numPr>
        <w:rPr>
          <w:rFonts w:ascii="Arial" w:cs="Arial" w:eastAsia="Arial" w:hAnsi="Arial"/>
          <w:sz w:val="18"/>
          <w:szCs w:val="18"/>
          <w:color w:val="3C5896"/>
        </w:rPr>
      </w:pPr>
      <w:r>
        <w:rPr>
          <w:rFonts w:ascii="Arial" w:cs="Arial" w:eastAsia="Arial" w:hAnsi="Arial"/>
          <w:sz w:val="18"/>
          <w:szCs w:val="18"/>
          <w:color w:val="auto"/>
        </w:rPr>
        <w:t>The directors designated as Class III directors have terms expiring at the 2023 annual meeting of stockholders.</w:t>
      </w:r>
    </w:p>
    <w:p>
      <w:pPr>
        <w:spacing w:after="0" w:line="10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If the proposed amendments are approved by our stockholders, the classified Board will be eliminated over a three-year period beginning at the 2022 annual meeting as follows:</w:t>
      </w:r>
    </w:p>
    <w:p>
      <w:pPr>
        <w:spacing w:after="0" w:line="75" w:lineRule="exact"/>
        <w:rPr>
          <w:sz w:val="20"/>
          <w:szCs w:val="20"/>
          <w:color w:val="auto"/>
        </w:rPr>
      </w:pPr>
    </w:p>
    <w:p>
      <w:pPr>
        <w:ind w:left="1120" w:hanging="214"/>
        <w:spacing w:after="0"/>
        <w:tabs>
          <w:tab w:leader="none" w:pos="1120" w:val="left"/>
        </w:tabs>
        <w:numPr>
          <w:ilvl w:val="0"/>
          <w:numId w:val="18"/>
        </w:numPr>
        <w:rPr>
          <w:rFonts w:ascii="Arial" w:cs="Arial" w:eastAsia="Arial" w:hAnsi="Arial"/>
          <w:sz w:val="18"/>
          <w:szCs w:val="18"/>
          <w:color w:val="3C5896"/>
        </w:rPr>
      </w:pPr>
      <w:r>
        <w:rPr>
          <w:rFonts w:ascii="Arial" w:cs="Arial" w:eastAsia="Arial" w:hAnsi="Arial"/>
          <w:sz w:val="18"/>
          <w:szCs w:val="18"/>
          <w:color w:val="auto"/>
        </w:rPr>
        <w:t>At the 2022 annual meeting of stockholders, we would elect Class II directors to one-year terms;</w:t>
      </w:r>
    </w:p>
    <w:p>
      <w:pPr>
        <w:spacing w:after="0" w:line="90"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8"/>
        </w:numPr>
        <w:rPr>
          <w:rFonts w:ascii="Arial" w:cs="Arial" w:eastAsia="Arial" w:hAnsi="Arial"/>
          <w:sz w:val="18"/>
          <w:szCs w:val="18"/>
          <w:color w:val="3C5896"/>
        </w:rPr>
      </w:pPr>
      <w:r>
        <w:rPr>
          <w:rFonts w:ascii="Arial" w:cs="Arial" w:eastAsia="Arial" w:hAnsi="Arial"/>
          <w:sz w:val="18"/>
          <w:szCs w:val="18"/>
          <w:color w:val="auto"/>
        </w:rPr>
        <w:t>At the 2023 annual meeting of stockholders, we would elect Class III directors and Class II directors to one-year terms; and</w:t>
      </w:r>
    </w:p>
    <w:p>
      <w:pPr>
        <w:spacing w:after="0" w:line="29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sz w:val="1"/>
          <w:szCs w:val="1"/>
          <w:color w:val="auto"/>
        </w:rPr>
        <w:drawing>
          <wp:inline distT="0" distB="0" distL="0" distR="0">
            <wp:extent cx="299720" cy="24003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1120" w:hanging="214"/>
        <w:spacing w:after="0" w:line="246" w:lineRule="auto"/>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At the 2024 annual meeting of stockholders and at all future annual meetings of stockholders, we would elect directors from all three classes to one-year terms.</w:t>
      </w:r>
    </w:p>
    <w:p>
      <w:pPr>
        <w:spacing w:after="0" w:line="8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proposed amendment would not affect the existing terms of our directors, and the Class I directors who are nominated for election at the Annual Meeting will still be elected for three-year terms expiring at the 2024 annual meeting of stockholders, even if the proposed amendment is approved. The proposed amendment would not change the present number of directors or the Board’s authority to change that number or to fill any vacancies or newly created directorships.</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Additionally, if the proposed amendments are approved by our stockholders, any director chosen by the Board to fill newly created directorships resulting from any increase in the authorized number of directors or any vacancies on the Board resulting from death, resignation, retirement, disqualification, removal from office or other cause will hold office until, if prior to the 2024 annual meeting of stockholders, the next election of the class into which such director shall have been elected or placed or, if from and after the 2024 annual meeting of stockholders, the next annual meeting of stockholders and, in each case, until such director’s successor shall have been duly elected and qualified, or until his or her earlier death, resignation, retirement, disqualification or removal.</w:t>
      </w:r>
    </w:p>
    <w:p>
      <w:pPr>
        <w:spacing w:after="0" w:line="9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Under Delaware law, directors serving on a classified board may be removed by stockholders only for cause (unless otherwise provided in the certificate of incorporation), while directors serving on a non-classified board may be removed by stockholders with or without cause. Thus, the proposed amendments if approved by our stockholders will also give our stockholders the ability to remove a director from the Board without cause beginning at the 2024 annual meeting of stockholders when the board is fully declassified.</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proposed amendments to our certificate of incorporation described in Proposal 2 are attached to this proxy statement as Appendix B, with additions of text indicated by underlining and deletions of text indicated by strike-outs. If Proposal 2 is approved by our stockholders, the proposed amendments contained in Appendix B would become effective upon the filing of a Certificate of Amendment to our certificate of incorporation reflecting such amendments with the Secretary of State of the State of Delaware.</w:t>
      </w:r>
    </w:p>
    <w:p>
      <w:pPr>
        <w:spacing w:after="0" w:line="97" w:lineRule="exact"/>
        <w:rPr>
          <w:sz w:val="20"/>
          <w:szCs w:val="20"/>
          <w:color w:val="auto"/>
        </w:rPr>
      </w:pPr>
    </w:p>
    <w:p>
      <w:pPr>
        <w:jc w:val="both"/>
        <w:ind w:left="760" w:right="20"/>
        <w:spacing w:after="0" w:line="261" w:lineRule="auto"/>
        <w:rPr>
          <w:sz w:val="20"/>
          <w:szCs w:val="20"/>
          <w:color w:val="auto"/>
        </w:rPr>
      </w:pPr>
      <w:r>
        <w:rPr>
          <w:rFonts w:ascii="Arial" w:cs="Arial" w:eastAsia="Arial" w:hAnsi="Arial"/>
          <w:sz w:val="18"/>
          <w:szCs w:val="18"/>
          <w:color w:val="auto"/>
        </w:rPr>
        <w:t>If stockholders adopt Proposal 2, we intend to file such Certificate of Amendment promptly following the Annual Meeting.</w:t>
      </w:r>
    </w:p>
    <w:p>
      <w:pPr>
        <w:spacing w:after="0" w:line="9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If this proposal is not approved, our Board will remain classified and the Class II directors elected at the 2022 Annual Meeting will serve a term expiring at the 2025 annual meeting of stockholders.</w:t>
      </w:r>
    </w:p>
    <w:p>
      <w:pPr>
        <w:spacing w:after="0" w:line="68" w:lineRule="exact"/>
        <w:rPr>
          <w:sz w:val="20"/>
          <w:szCs w:val="20"/>
          <w:color w:val="auto"/>
        </w:rPr>
      </w:pPr>
    </w:p>
    <w:p>
      <w:pPr>
        <w:jc w:val="center"/>
        <w:ind w:left="1280" w:right="760"/>
        <w:spacing w:after="0" w:line="268" w:lineRule="auto"/>
        <w:rPr>
          <w:sz w:val="20"/>
          <w:szCs w:val="20"/>
          <w:color w:val="auto"/>
        </w:rPr>
      </w:pPr>
      <w:r>
        <w:rPr>
          <w:rFonts w:ascii="Arial" w:cs="Arial" w:eastAsia="Arial" w:hAnsi="Arial"/>
          <w:sz w:val="18"/>
          <w:szCs w:val="18"/>
          <w:b w:val="1"/>
          <w:bCs w:val="1"/>
          <w:color w:val="auto"/>
        </w:rPr>
        <w:t>THE BOARD OF DIRECTORS RECOMMENDS A VOTE “FOR” PROPOSAL 2 TO AMEND THE CERTIFICATE OF INCORPORATION TO ELIMINATE THE CLASSIFIED STRUCTURE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8" w:lineRule="exact"/>
        <w:rPr>
          <w:sz w:val="20"/>
          <w:szCs w:val="20"/>
          <w:color w:val="auto"/>
        </w:rPr>
      </w:pPr>
    </w:p>
    <w:p>
      <w:pPr>
        <w:jc w:val="both"/>
        <w:ind w:left="760" w:right="40"/>
        <w:spacing w:after="0" w:line="237" w:lineRule="auto"/>
        <w:rPr>
          <w:sz w:val="20"/>
          <w:szCs w:val="20"/>
          <w:color w:val="auto"/>
        </w:rPr>
      </w:pPr>
      <w:r>
        <w:rPr>
          <w:rFonts w:ascii="Arial" w:cs="Arial" w:eastAsia="Arial" w:hAnsi="Arial"/>
          <w:sz w:val="32"/>
          <w:szCs w:val="32"/>
          <w:color w:val="auto"/>
        </w:rPr>
        <w:t>PROPOSAL NO. 3—AMENDMENT TO THE CERTIFICATE OF INCORPORATION TO ELIMINATE SUPERMAJORITY VOTING STANDARDS AND OTHER OBSOLETE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76835</wp:posOffset>
            </wp:positionV>
            <wp:extent cx="5837555" cy="1045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7555" cy="1045845"/>
                    </a:xfrm>
                    <a:prstGeom prst="rect">
                      <a:avLst/>
                    </a:prstGeom>
                    <a:noFill/>
                  </pic:spPr>
                </pic:pic>
              </a:graphicData>
            </a:graphic>
          </wp:anchor>
        </w:drawing>
      </w:r>
    </w:p>
    <w:p>
      <w:pPr>
        <w:spacing w:after="0" w:line="159" w:lineRule="exact"/>
        <w:rPr>
          <w:sz w:val="20"/>
          <w:szCs w:val="20"/>
          <w:color w:val="auto"/>
        </w:rPr>
      </w:pPr>
    </w:p>
    <w:p>
      <w:pPr>
        <w:ind w:left="820" w:right="220"/>
        <w:spacing w:after="0" w:line="289"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approve an amendment to our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eliminate certain supermajority voting standards and other obsolete provisions within the certificate.</w:t>
      </w:r>
    </w:p>
    <w:p>
      <w:pPr>
        <w:spacing w:after="0" w:line="1" w:lineRule="exact"/>
        <w:rPr>
          <w:sz w:val="20"/>
          <w:szCs w:val="20"/>
          <w:color w:val="auto"/>
        </w:rPr>
      </w:pPr>
    </w:p>
    <w:p>
      <w:pPr>
        <w:ind w:left="820" w:right="64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an amendment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eliminate supermajority voting standards and other obsolete provisions.</w:t>
      </w:r>
    </w:p>
    <w:p>
      <w:pPr>
        <w:spacing w:after="0" w:line="1" w:lineRule="exact"/>
        <w:rPr>
          <w:sz w:val="20"/>
          <w:szCs w:val="20"/>
          <w:color w:val="auto"/>
        </w:rPr>
      </w:pPr>
    </w:p>
    <w:p>
      <w:pPr>
        <w:ind w:left="820" w:right="180"/>
        <w:spacing w:after="0" w:line="227"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stock of the Company entitled to vote on such proposal.</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w:t>
      </w:r>
    </w:p>
    <w:p>
      <w:pPr>
        <w:spacing w:after="0" w:line="207"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As discussed above, in our 2020 proxy statement, the Board committed, upon the recommendation of the nominating and corporate governance committee, to submit for stockholder vote at our 2021 annual meeting a management proposal to amend our certificate of incorporation to eliminate certain supermajority provisions within it. The supermajority voting standards described below were included in our certificate of incorporation at the time of our IPO to protect the interests of our stockholders by ensuring that a broad consensus of all stockholders was necessary to make changes to fundamental provisions of our certificate of incorporation and bylaws. Prior to its IPO, the Company was owned at times by Berkshire and KKR. The Company was controlled by affiliates of KKR and private equity funds managed by Berkshire until July 2018 and August 2019, respectively, when these affiliates and funds sold their remaining holdings of our common stock.</w:t>
      </w:r>
    </w:p>
    <w:p>
      <w:pPr>
        <w:spacing w:after="0" w:line="104"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nominating and corporate governance committee and our Board carefully considered the advantages of super majority voting provisions, analyzed current corporate governance trends, and evaluated the appropriateness of super majority voting provisions in light of our overall corporate governance structure and ongoing stockholder engagement efforts. The Board has continued its ongoing review of evolving corporate governance practices.</w:t>
      </w:r>
    </w:p>
    <w:p>
      <w:pPr>
        <w:spacing w:after="0" w:line="9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Consistent with its strong commitment to the careful consideration of stockholder views, the Board has determined that it is in the best interests of the Company and its stockholders to amend the Company’s certificate of incorporation to remove supermajority voting requirements. The proposed amendments would also delete certain obsolete provisions relating to the prior equity ownership of KKR and Berkshire.</w:t>
      </w:r>
    </w:p>
    <w:p>
      <w:pPr>
        <w:spacing w:after="0" w:line="78"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i w:val="1"/>
          <w:iCs w:val="1"/>
          <w:color w:val="auto"/>
        </w:rPr>
        <w:t xml:space="preserve">Description of Our Supermajority Standards. </w:t>
      </w:r>
      <w:r>
        <w:rPr>
          <w:rFonts w:ascii="Arial" w:cs="Arial" w:eastAsia="Arial" w:hAnsi="Arial"/>
          <w:sz w:val="18"/>
          <w:szCs w:val="18"/>
          <w:color w:val="auto"/>
        </w:rPr>
        <w:t>Article V, Section (A) of our certificate of incorporation provides that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 law, no amendment, alteration, change or repeal in any respect of any provision of Article V (amendments to our Certificate of Incorporation and Bylaws), Article VI (removal of directors), Article VII (director liability), Article VIII (ability for stockholders to take action by written consent), Article IX (completion and corporate opportunities), and Article X (business combinations) of our certificate of incorporation may be made, and no provision inconsistent therewith may be so adopted, without the affirmative vote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 shares of stock of the Company entitled to vote thereon, voting together as a single class.</w:t>
      </w:r>
    </w:p>
    <w:p>
      <w:pPr>
        <w:spacing w:after="0" w:line="104"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Article V, Section (B) of our certificate of incorporation provides that at 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 law, the affirmative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stock of the Company entitled to vote thereon, voting together as a single class, is required in order for the stockholders of the Company to alter, amend, repeal or rescind, in whole or in part, any provision of our Bylaws or to adopt any provision inconsistent therewith.</w:t>
      </w:r>
    </w:p>
    <w:p>
      <w:pPr>
        <w:spacing w:after="0" w:line="11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Article VI, Section (C) of our certificate of incorporation provides that at 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w:t>
      </w:r>
    </w:p>
    <w:p>
      <w:pPr>
        <w:spacing w:after="0" w:line="306"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sz w:val="1"/>
          <w:szCs w:val="1"/>
          <w:color w:val="auto"/>
        </w:rPr>
        <w:drawing>
          <wp:inline distT="0" distB="0" distL="0" distR="0">
            <wp:extent cx="299720"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line="226" w:lineRule="auto"/>
        <w:rPr>
          <w:sz w:val="20"/>
          <w:szCs w:val="20"/>
          <w:color w:val="auto"/>
        </w:rPr>
      </w:pPr>
      <w:r>
        <w:rPr>
          <w:rFonts w:ascii="Arial" w:cs="Arial" w:eastAsia="Arial" w:hAnsi="Arial"/>
          <w:sz w:val="18"/>
          <w:szCs w:val="18"/>
          <w:color w:val="auto"/>
        </w:rPr>
        <w:t>law, directors may be removed from office only for cause and only by the affirmative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109"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Article X, Section (B)(3) of our certificate of incorporation provides that the Company shall not engage in certain business combinations with any interested stockholder (as defined in the certificate of incorporation) for a period of three (3) years following the time that such stockholder became an interested stockholder, unless at or subsequent to such time, the business combination is approved by the Board and authorized at an annual or special meeting of stockholders, and not by written consent, by the affirmative vote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stock of the Company that is not owned by the interested stockholder.</w:t>
      </w:r>
    </w:p>
    <w:p>
      <w:pPr>
        <w:spacing w:after="0" w:line="112"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 addition, we are separately proposing to amend Article V to permit directors to be removed with or without cause. See Proposal 2 for more information. If Proposal 2 is not approved by our stockholders, directors will continue to be able to be removed only for cause.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Description of Proposal and Recommendation by the Board</w:t>
      </w:r>
    </w:p>
    <w:p>
      <w:pPr>
        <w:spacing w:after="0" w:line="13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After considering the advantages and disadvantages of the supermajority voting standards, including through discussions with our stockholders, the Board has determined it is in the best interests of the Company and our stockholders to amend our certificate of incorporation to eliminate the supermajority voting standards and other obsolete provisions described above. The Board has unanimously declared such amendments to be advisable and voted to recommend these amendments to the stockholders for adoption.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Impact of the Proposal—Majority Voting Standard</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As a result, if the proposed amendments are adopted by our stockholders and implemented, the affirmative vote of a majority of the voting power of all the then-outstanding shares of stock of the Company entitled to vote thereon, voting together as a single class, as required pursuant to the Delaware General Corporation Law would be required for (i) any future amendment, alteration, change or repeal in any respect of any provision of our certificate of incorporation, (ii) any future amendment, alteration, change or repeal in any respect of any provision of our Bylaws by our stockholders, and (iii) the removal of directors from office by stockholders,.</w:t>
      </w:r>
    </w:p>
    <w:p>
      <w:pPr>
        <w:spacing w:after="0" w:line="10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In addition, if the proposed amendments are adopted by our stockholders and implemented, the Company would be prohibited from engaging in certain business combinations with any interested stockholder (as defined in the certificate of incorporation) for a period of three (3) years following the time that such stockholder became an interested stockholder, unless at or subsequent to such time, the business combination is approved by the Board and authorized at an annual or special meeting of stockholders, and not by written consent, by the affirmative vote of the holders of at least a majority of the voting power of all the then-outstanding shares of stock of the Company entitled to vote thereon that is not owned by the interested stockholder, voting together as a single class.</w:t>
      </w:r>
    </w:p>
    <w:p>
      <w:pPr>
        <w:spacing w:after="0" w:line="99"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This voting standard would be in addition to any other vote of the holders of any class or series of capital stock of the Company required in our certificate of incorporation (including any preferred stock designation) or by applicable law.</w:t>
      </w:r>
    </w:p>
    <w:p>
      <w:pPr>
        <w:spacing w:after="0" w:line="9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The proposed amendments would also delete certain obsolete provisions in our certificate of incorporation relating to the prior equity ownership of KKR and Berkshire.</w:t>
      </w:r>
    </w:p>
    <w:p>
      <w:pPr>
        <w:spacing w:after="0" w:line="9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proposed amendments to our certificate of incorporation described in Proposal 3 are attached to this proxy statement as Appendix C, with additions of text indicated by underlining and deletions of text indicated by strike-outs. If Proposal 3 is approved by our stockholders, the proposed amendments contained in Appendix C would become effective upon the filing of a Certificate of Amendment to our certificate of incorporation reflecting such amendments with the Secretary of State of the State of Delaware. In connection with the proposed amendments to our certificate of incorporation in Proposal 3, the Board has adopted conforming amendments to our Second Amended and Restated Bylaws that will become effective upon our filing of such Certificate of Amendment with the Secretary of State of the State of Delaware.</w:t>
      </w:r>
    </w:p>
    <w:p>
      <w:pPr>
        <w:spacing w:after="0" w:line="97" w:lineRule="exact"/>
        <w:rPr>
          <w:sz w:val="20"/>
          <w:szCs w:val="20"/>
          <w:color w:val="auto"/>
        </w:rPr>
      </w:pPr>
    </w:p>
    <w:p>
      <w:pPr>
        <w:jc w:val="both"/>
        <w:ind w:left="760" w:right="20"/>
        <w:spacing w:after="0" w:line="261" w:lineRule="auto"/>
        <w:rPr>
          <w:sz w:val="20"/>
          <w:szCs w:val="20"/>
          <w:color w:val="auto"/>
        </w:rPr>
      </w:pPr>
      <w:r>
        <w:rPr>
          <w:rFonts w:ascii="Arial" w:cs="Arial" w:eastAsia="Arial" w:hAnsi="Arial"/>
          <w:sz w:val="18"/>
          <w:szCs w:val="18"/>
          <w:color w:val="auto"/>
        </w:rPr>
        <w:t>If stockholders adopt Proposal 3, we intend to file such Certificate of Amendment promptly following the Annual Meeting.</w:t>
      </w:r>
    </w:p>
    <w:p>
      <w:pPr>
        <w:spacing w:after="0" w:line="200" w:lineRule="exact"/>
        <w:rPr>
          <w:sz w:val="20"/>
          <w:szCs w:val="20"/>
          <w:color w:val="auto"/>
        </w:rPr>
      </w:pPr>
    </w:p>
    <w:p>
      <w:pPr>
        <w:spacing w:after="0" w:line="26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If Proposal 3 is not approved by our stockholders, the supermajority voting standards and obsolete provisions described above will remain unchanged and in effect.</w:t>
      </w:r>
    </w:p>
    <w:p>
      <w:pPr>
        <w:spacing w:after="0" w:line="68" w:lineRule="exact"/>
        <w:rPr>
          <w:sz w:val="20"/>
          <w:szCs w:val="20"/>
          <w:color w:val="auto"/>
        </w:rPr>
      </w:pPr>
    </w:p>
    <w:p>
      <w:pPr>
        <w:jc w:val="center"/>
        <w:ind w:left="1300" w:right="280"/>
        <w:spacing w:after="0" w:line="268" w:lineRule="auto"/>
        <w:rPr>
          <w:sz w:val="20"/>
          <w:szCs w:val="20"/>
          <w:color w:val="auto"/>
        </w:rPr>
      </w:pPr>
      <w:r>
        <w:rPr>
          <w:rFonts w:ascii="Arial" w:cs="Arial" w:eastAsia="Arial" w:hAnsi="Arial"/>
          <w:sz w:val="18"/>
          <w:szCs w:val="18"/>
          <w:b w:val="1"/>
          <w:bCs w:val="1"/>
          <w:color w:val="auto"/>
        </w:rPr>
        <w:t>THE BOARD OF DIRECTORS UNANIMOUSLY RECOMMENDS A VOTE “FOR” PROPOSAL 3 TO AMEND THE CERTIFICATE OF INCORPORATION TO ELIMINATE THE SUPERMAJORITY VOTING STANDARDS AND OTHER OBSOLETE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sz w:val="1"/>
          <w:szCs w:val="1"/>
          <w:color w:val="auto"/>
        </w:rPr>
        <w:drawing>
          <wp:inline distT="0" distB="0" distL="0" distR="0">
            <wp:extent cx="299720" cy="2400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38" w:lineRule="exact"/>
        <w:rPr>
          <w:sz w:val="20"/>
          <w:szCs w:val="20"/>
          <w:color w:val="auto"/>
        </w:rPr>
      </w:pPr>
    </w:p>
    <w:p>
      <w:pPr>
        <w:ind w:left="760" w:right="700"/>
        <w:spacing w:after="0" w:line="242" w:lineRule="auto"/>
        <w:rPr>
          <w:sz w:val="20"/>
          <w:szCs w:val="20"/>
          <w:color w:val="auto"/>
        </w:rPr>
      </w:pPr>
      <w:r>
        <w:rPr>
          <w:rFonts w:ascii="Arial" w:cs="Arial" w:eastAsia="Arial" w:hAnsi="Arial"/>
          <w:sz w:val="32"/>
          <w:szCs w:val="32"/>
          <w:color w:val="auto"/>
        </w:rPr>
        <w:t>PROPOSAL NO. 4—NON-BINDING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74930</wp:posOffset>
            </wp:positionV>
            <wp:extent cx="5837555" cy="1594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37555" cy="1594485"/>
                    </a:xfrm>
                    <a:prstGeom prst="rect">
                      <a:avLst/>
                    </a:prstGeom>
                    <a:noFill/>
                  </pic:spPr>
                </pic:pic>
              </a:graphicData>
            </a:graphic>
          </wp:anchor>
        </w:drawing>
      </w:r>
    </w:p>
    <w:p>
      <w:pPr>
        <w:spacing w:after="0" w:line="156" w:lineRule="exact"/>
        <w:rPr>
          <w:sz w:val="20"/>
          <w:szCs w:val="20"/>
          <w:color w:val="auto"/>
        </w:rPr>
      </w:pPr>
    </w:p>
    <w:p>
      <w:pPr>
        <w:ind w:left="820" w:right="180"/>
        <w:spacing w:after="0" w:line="27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pursuant to Section 14A of the Exchange Act, stockholders are being asked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our named executive officers as described in the Compensation Discussion and Analysis below.</w:t>
      </w:r>
    </w:p>
    <w:p>
      <w:pPr>
        <w:spacing w:after="0" w:line="1" w:lineRule="exact"/>
        <w:rPr>
          <w:sz w:val="20"/>
          <w:szCs w:val="20"/>
          <w:color w:val="auto"/>
        </w:rPr>
      </w:pPr>
    </w:p>
    <w:p>
      <w:pPr>
        <w:ind w:left="820" w:right="40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non-binding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vote to approve our named executive officer compensation.</w:t>
      </w:r>
    </w:p>
    <w:p>
      <w:pPr>
        <w:spacing w:after="0" w:line="1" w:lineRule="exact"/>
        <w:rPr>
          <w:sz w:val="20"/>
          <w:szCs w:val="20"/>
          <w:color w:val="auto"/>
        </w:rPr>
      </w:pPr>
    </w:p>
    <w:p>
      <w:pPr>
        <w:ind w:left="820" w:right="100"/>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 majority of the voting power of the shares of stock present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represented by proxy and entitled to vote at the Annual Meeting. The compensation committee takes very seriously its role in the governance of the Company’s compensation programs and values thoughtful input from stockholders. The compensation committee will take into account the outcome of the advisory vote when considering future executive compensation decisions.</w:t>
      </w:r>
    </w:p>
    <w:p>
      <w:pPr>
        <w:spacing w:after="0" w:line="265"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text of the resolution in respect of Proposal No. 4 is as follows:</w:t>
      </w:r>
    </w:p>
    <w:p>
      <w:pPr>
        <w:spacing w:after="0" w:line="9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85" w:lineRule="exact"/>
        <w:rPr>
          <w:sz w:val="20"/>
          <w:szCs w:val="20"/>
          <w:color w:val="auto"/>
        </w:rPr>
      </w:pPr>
    </w:p>
    <w:p>
      <w:pPr>
        <w:jc w:val="both"/>
        <w:ind w:left="760"/>
        <w:spacing w:after="0" w:line="254" w:lineRule="auto"/>
        <w:rPr>
          <w:rFonts w:ascii="Arial" w:cs="Arial" w:eastAsia="Arial" w:hAnsi="Arial"/>
          <w:sz w:val="18"/>
          <w:szCs w:val="18"/>
          <w:color w:val="000000"/>
        </w:rPr>
      </w:pPr>
      <w:r>
        <w:rPr>
          <w:rFonts w:ascii="Arial" w:cs="Arial" w:eastAsia="Arial" w:hAnsi="Arial"/>
          <w:sz w:val="18"/>
          <w:szCs w:val="18"/>
          <w:color w:val="auto"/>
        </w:rPr>
        <w:t xml:space="preserve">In considering their vote, stockholders may wish to review the information on our compensation policies and decisions regarding the named executive officers presented in Compensation Discussion and Analysis on pages </w:t>
      </w:r>
      <w:hyperlink w:anchor="page33">
        <w:r>
          <w:rPr>
            <w:rFonts w:ascii="Arial" w:cs="Arial" w:eastAsia="Arial" w:hAnsi="Arial"/>
            <w:sz w:val="18"/>
            <w:szCs w:val="18"/>
            <w:u w:val="single" w:color="auto"/>
            <w:color w:val="0000EE"/>
          </w:rPr>
          <w:t>30</w:t>
        </w:r>
      </w:hyperlink>
      <w:r>
        <w:rPr>
          <w:rFonts w:ascii="Arial" w:cs="Arial" w:eastAsia="Arial" w:hAnsi="Arial"/>
          <w:sz w:val="18"/>
          <w:szCs w:val="18"/>
          <w:color w:val="auto"/>
        </w:rPr>
        <w:t>-</w:t>
      </w:r>
      <w:hyperlink w:anchor="page43">
        <w:r>
          <w:rPr>
            <w:rFonts w:ascii="Arial" w:cs="Arial" w:eastAsia="Arial" w:hAnsi="Arial"/>
            <w:sz w:val="18"/>
            <w:szCs w:val="18"/>
            <w:u w:val="single" w:color="auto"/>
            <w:color w:val="0000EE"/>
          </w:rPr>
          <w:t>40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the compensation tables and narrative discussion on pages</w:t>
      </w:r>
      <w:r>
        <w:rPr>
          <w:rFonts w:ascii="Arial" w:cs="Arial" w:eastAsia="Arial" w:hAnsi="Arial"/>
          <w:sz w:val="18"/>
          <w:szCs w:val="18"/>
          <w:color w:val="0000EE"/>
        </w:rPr>
        <w:t xml:space="preserve"> </w:t>
      </w:r>
      <w:hyperlink w:anchor="page45">
        <w:r>
          <w:rPr>
            <w:rFonts w:ascii="Arial" w:cs="Arial" w:eastAsia="Arial" w:hAnsi="Arial"/>
            <w:sz w:val="18"/>
            <w:szCs w:val="18"/>
            <w:u w:val="single" w:color="auto"/>
            <w:color w:val="0000EE"/>
          </w:rPr>
          <w:t>42</w:t>
        </w:r>
      </w:hyperlink>
      <w:r>
        <w:rPr>
          <w:rFonts w:ascii="Arial" w:cs="Arial" w:eastAsia="Arial" w:hAnsi="Arial"/>
          <w:sz w:val="18"/>
          <w:szCs w:val="18"/>
          <w:color w:val="000000"/>
        </w:rPr>
        <w:t>-</w:t>
      </w:r>
      <w:hyperlink w:anchor="page52">
        <w:r>
          <w:rPr>
            <w:rFonts w:ascii="Arial" w:cs="Arial" w:eastAsia="Arial" w:hAnsi="Arial"/>
            <w:sz w:val="18"/>
            <w:szCs w:val="18"/>
            <w:u w:val="single" w:color="auto"/>
            <w:color w:val="0000EE"/>
          </w:rPr>
          <w:t>49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the discussion regarding the</w:t>
      </w:r>
      <w:r>
        <w:rPr>
          <w:rFonts w:ascii="Arial" w:cs="Arial" w:eastAsia="Arial" w:hAnsi="Arial"/>
          <w:sz w:val="18"/>
          <w:szCs w:val="18"/>
          <w:color w:val="0000EE"/>
        </w:rPr>
        <w:t xml:space="preserve"> </w:t>
      </w:r>
      <w:r>
        <w:rPr>
          <w:rFonts w:ascii="Arial" w:cs="Arial" w:eastAsia="Arial" w:hAnsi="Arial"/>
          <w:sz w:val="18"/>
          <w:szCs w:val="18"/>
          <w:color w:val="000000"/>
        </w:rPr>
        <w:t xml:space="preserve">compensation committee on page </w:t>
      </w:r>
      <w:hyperlink w:anchor="page44">
        <w:r>
          <w:rPr>
            <w:rFonts w:ascii="Arial" w:cs="Arial" w:eastAsia="Arial" w:hAnsi="Arial"/>
            <w:sz w:val="18"/>
            <w:szCs w:val="18"/>
            <w:u w:val="single" w:color="auto"/>
            <w:color w:val="0000EE"/>
          </w:rPr>
          <w:t>41</w:t>
        </w:r>
      </w:hyperlink>
      <w:r>
        <w:rPr>
          <w:rFonts w:ascii="Arial" w:cs="Arial" w:eastAsia="Arial" w:hAnsi="Arial"/>
          <w:sz w:val="18"/>
          <w:szCs w:val="18"/>
          <w:color w:val="000000"/>
        </w:rPr>
        <w:t>.</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400" w:lineRule="exact"/>
        <w:rPr>
          <w:rFonts w:ascii="Arial" w:cs="Arial" w:eastAsia="Arial" w:hAnsi="Arial"/>
          <w:sz w:val="18"/>
          <w:szCs w:val="18"/>
          <w:color w:val="0000EE"/>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EXECUTIVE COMPENSATION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Our executive compensation program is designed to attract and retain a talented executive team with the skills and qualifications to manage and lead the Company effectively. We strive to create an executive compensation program that strikes the right balance of paying for performance, motivating our leaders to contribute to the achievement of our financial goals, and focusing on long-term value creation for our stockholders, without taking undue risk.</w:t>
      </w:r>
    </w:p>
    <w:p>
      <w:pPr>
        <w:spacing w:after="0" w:line="8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This Compensation Discussion and Analysis contains a discussion of the material elements of compensation awarded to, earned by or paid to our named executive officers (“NEOs”), which include our Chief Executive Officer, Chief Financial Officer and our three other most highly compensated executive officers during the fiscal year ended January 2, 2021. Our NEOs for fiscal 2020 were:</w:t>
      </w:r>
    </w:p>
    <w:p>
      <w:pPr>
        <w:spacing w:after="0" w:line="117"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3580" w:type="dxa"/>
            <w:vAlign w:val="bottom"/>
            <w:tcBorders>
              <w:top w:val="single" w:sz="8" w:color="3C5896"/>
              <w:right w:val="single" w:sz="8" w:color="9EACCA"/>
            </w:tcBorders>
            <w:shd w:val="clear" w:color="auto" w:fill="3C5896"/>
          </w:tcPr>
          <w:p>
            <w:pPr>
              <w:ind w:left="1480"/>
              <w:spacing w:after="0"/>
              <w:rPr>
                <w:sz w:val="20"/>
                <w:szCs w:val="20"/>
                <w:color w:val="auto"/>
              </w:rPr>
            </w:pPr>
            <w:r>
              <w:rPr>
                <w:rFonts w:ascii="Arial" w:cs="Arial" w:eastAsia="Arial" w:hAnsi="Arial"/>
                <w:sz w:val="18"/>
                <w:szCs w:val="18"/>
                <w:b w:val="1"/>
                <w:bCs w:val="1"/>
                <w:color w:val="FFFFFF"/>
              </w:rPr>
              <w:t>Name</w:t>
            </w:r>
          </w:p>
        </w:tc>
        <w:tc>
          <w:tcPr>
            <w:tcW w:w="80" w:type="dxa"/>
            <w:vAlign w:val="bottom"/>
            <w:tcBorders>
              <w:top w:val="single" w:sz="8" w:color="3C5896"/>
            </w:tcBorders>
            <w:shd w:val="clear" w:color="auto" w:fill="3C5896"/>
          </w:tcPr>
          <w:p>
            <w:pPr>
              <w:spacing w:after="0"/>
              <w:rPr>
                <w:sz w:val="24"/>
                <w:szCs w:val="24"/>
                <w:color w:val="auto"/>
              </w:rPr>
            </w:pPr>
          </w:p>
        </w:tc>
        <w:tc>
          <w:tcPr>
            <w:tcW w:w="5480" w:type="dxa"/>
            <w:vAlign w:val="bottom"/>
            <w:tcBorders>
              <w:top w:val="single" w:sz="8" w:color="3C5896"/>
              <w:right w:val="single" w:sz="8" w:color="3C5896"/>
            </w:tcBorders>
            <w:shd w:val="clear" w:color="auto" w:fill="3C5896"/>
          </w:tcPr>
          <w:p>
            <w:pPr>
              <w:ind w:left="2360"/>
              <w:spacing w:after="0"/>
              <w:rPr>
                <w:sz w:val="20"/>
                <w:szCs w:val="20"/>
                <w:color w:val="auto"/>
              </w:rPr>
            </w:pPr>
            <w:r>
              <w:rPr>
                <w:rFonts w:ascii="Arial" w:cs="Arial" w:eastAsia="Arial" w:hAnsi="Arial"/>
                <w:sz w:val="18"/>
                <w:szCs w:val="18"/>
                <w:b w:val="1"/>
                <w:bCs w:val="1"/>
                <w:color w:val="FFFFFF"/>
              </w:rPr>
              <w:t>Position</w:t>
            </w:r>
          </w:p>
        </w:tc>
      </w:tr>
      <w:tr>
        <w:trPr>
          <w:trHeight w:val="250"/>
        </w:trPr>
        <w:tc>
          <w:tcPr>
            <w:tcW w:w="60" w:type="dxa"/>
            <w:vAlign w:val="bottom"/>
            <w:tcBorders>
              <w:left w:val="single" w:sz="8" w:color="3C5896"/>
            </w:tcBorders>
          </w:tcPr>
          <w:p>
            <w:pPr>
              <w:spacing w:after="0"/>
              <w:rPr>
                <w:sz w:val="21"/>
                <w:szCs w:val="21"/>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80" w:type="dxa"/>
            <w:vAlign w:val="bottom"/>
          </w:tcPr>
          <w:p>
            <w:pPr>
              <w:spacing w:after="0"/>
              <w:rPr>
                <w:sz w:val="21"/>
                <w:szCs w:val="21"/>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Chief Executive Officer and Director</w:t>
            </w: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5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80" w:type="dxa"/>
            <w:vAlign w:val="bottom"/>
            <w:shd w:val="clear" w:color="auto" w:fill="CCCCCC"/>
          </w:tcPr>
          <w:p>
            <w:pPr>
              <w:spacing w:after="0"/>
              <w:rPr>
                <w:sz w:val="22"/>
                <w:szCs w:val="22"/>
                <w:color w:val="auto"/>
              </w:rPr>
            </w:pPr>
          </w:p>
        </w:tc>
        <w:tc>
          <w:tcPr>
            <w:tcW w:w="548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50"/>
        </w:trPr>
        <w:tc>
          <w:tcPr>
            <w:tcW w:w="60" w:type="dxa"/>
            <w:vAlign w:val="bottom"/>
            <w:tcBorders>
              <w:left w:val="single" w:sz="8" w:color="3C5896"/>
            </w:tcBorders>
          </w:tcPr>
          <w:p>
            <w:pPr>
              <w:spacing w:after="0"/>
              <w:rPr>
                <w:sz w:val="21"/>
                <w:szCs w:val="21"/>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80" w:type="dxa"/>
            <w:vAlign w:val="bottom"/>
          </w:tcPr>
          <w:p>
            <w:pPr>
              <w:spacing w:after="0"/>
              <w:rPr>
                <w:sz w:val="21"/>
                <w:szCs w:val="21"/>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Senior Vice President, Chief People Officer</w:t>
            </w: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5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80" w:type="dxa"/>
            <w:vAlign w:val="bottom"/>
            <w:shd w:val="clear" w:color="auto" w:fill="CCCCCC"/>
          </w:tcPr>
          <w:p>
            <w:pPr>
              <w:spacing w:after="0"/>
              <w:rPr>
                <w:sz w:val="22"/>
                <w:szCs w:val="22"/>
                <w:color w:val="auto"/>
              </w:rPr>
            </w:pPr>
          </w:p>
        </w:tc>
        <w:tc>
          <w:tcPr>
            <w:tcW w:w="548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83"/>
        </w:trPr>
        <w:tc>
          <w:tcPr>
            <w:tcW w:w="60" w:type="dxa"/>
            <w:vAlign w:val="bottom"/>
            <w:tcBorders>
              <w:left w:val="single" w:sz="8" w:color="3C5896"/>
            </w:tcBorders>
          </w:tcPr>
          <w:p>
            <w:pPr>
              <w:spacing w:after="0"/>
              <w:rPr>
                <w:sz w:val="24"/>
                <w:szCs w:val="24"/>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80" w:type="dxa"/>
            <w:vAlign w:val="bottom"/>
          </w:tcPr>
          <w:p>
            <w:pPr>
              <w:spacing w:after="0"/>
              <w:rPr>
                <w:sz w:val="24"/>
                <w:szCs w:val="24"/>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Senior Vice President, Chief Marketing Officer</w:t>
            </w: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58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5480" w:type="dxa"/>
            <w:vAlign w:val="bottom"/>
            <w:tcBorders>
              <w:right w:val="single" w:sz="8" w:color="3C5896"/>
            </w:tcBorders>
            <w:shd w:val="clear" w:color="auto" w:fill="3C5896"/>
          </w:tcPr>
          <w:p>
            <w:pPr>
              <w:spacing w:after="0" w:line="20" w:lineRule="exact"/>
              <w:rPr>
                <w:sz w:val="1"/>
                <w:szCs w:val="1"/>
                <w:color w:val="auto"/>
              </w:rPr>
            </w:pPr>
          </w:p>
        </w:tc>
      </w:tr>
    </w:tbl>
    <w:p>
      <w:pPr>
        <w:spacing w:after="0" w:line="161"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following information summarizes the Company’s 2020 performance and our key executive compensation actions and decisions. Additional information about these topics can be found in the Company’s 2020 Form 10-K and this proxy statement.</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Business Highlights</w:t>
      </w:r>
    </w:p>
    <w:p>
      <w:pPr>
        <w:spacing w:after="0" w:line="139"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2020 was a challenging year with the outbreak of the COVID-19 global pandemic and the resulting impact on economic activity and businesses. Even with a year of unprecedented business challenges, we believe the Company has and continues to navigate through the pandemic and will emerge stronger and more resilient. With a safety-first approach in mind, we (1) prioritized the health and safety of our associates, doctors, patients and customers by closing our stores to the public for a period of time to implement enhanced safety protocols,</w:t>
      </w:r>
    </w:p>
    <w:p>
      <w:pPr>
        <w:spacing w:after="0" w:line="2" w:lineRule="exact"/>
        <w:rPr>
          <w:sz w:val="20"/>
          <w:szCs w:val="20"/>
          <w:color w:val="auto"/>
        </w:rPr>
      </w:pPr>
    </w:p>
    <w:p>
      <w:pPr>
        <w:jc w:val="both"/>
        <w:ind w:left="760" w:firstLine="2"/>
        <w:spacing w:after="0" w:line="253" w:lineRule="auto"/>
        <w:tabs>
          <w:tab w:leader="none" w:pos="10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supported local health and government directives and guidance by implementing such protocols to assist in mitigating the spread of the pandemic at our stores and our corporate headquarters, and (3) served our patients and customers in a responsible and positive way by modifying our operations to comply with new public health guidelines and evolving customer expectations all while continuing to deliver low cost eye care and eyewear, a medical necessity, to the communities we serve.</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Board and management team focused on responding appropriately to the pandemic and took certain operational and cost-cutting measures, as outlined below, to prioritize cash conservation and the prudent management of our business, while positioning the Company to safely conduct normal operations. Our fiscal 2020 compensation was consistent with our pay for performance and motivational philosophy and reflected the continued strength and resilience of our brand in challenging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sz w:val="1"/>
          <w:szCs w:val="1"/>
          <w:color w:val="auto"/>
        </w:rPr>
        <w:drawing>
          <wp:inline distT="0" distB="0" distL="0" distR="0">
            <wp:extent cx="299720" cy="24003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157480</wp:posOffset>
            </wp:positionV>
            <wp:extent cx="5837555"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25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OUR COVID-19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28575</wp:posOffset>
            </wp:positionV>
            <wp:extent cx="5837555" cy="3883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37555" cy="388302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p>
      <w:pPr>
        <w:spacing w:after="0" w:line="5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Operational</w:t>
      </w:r>
    </w:p>
    <w:p>
      <w:pPr>
        <w:spacing w:after="0" w:line="58" w:lineRule="exact"/>
        <w:rPr>
          <w:sz w:val="20"/>
          <w:szCs w:val="20"/>
          <w:color w:val="auto"/>
        </w:rPr>
      </w:pPr>
    </w:p>
    <w:p>
      <w:pPr>
        <w:ind w:left="1060" w:hanging="230"/>
        <w:spacing w:after="0" w:line="252" w:lineRule="auto"/>
        <w:tabs>
          <w:tab w:leader="none" w:pos="106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Temporarily closed stores to the public in part of 2020 to implement enhanced safety measures, including a temporary furlough of a significant portion of our associates during April and May 2020</w:t>
      </w:r>
    </w:p>
    <w:p>
      <w:pPr>
        <w:spacing w:after="0" w:line="85" w:lineRule="exact"/>
        <w:rPr>
          <w:rFonts w:ascii="MS PGothic" w:cs="MS PGothic" w:eastAsia="MS PGothic" w:hAnsi="MS PGothic"/>
          <w:sz w:val="18"/>
          <w:szCs w:val="18"/>
          <w:color w:val="3C5896"/>
        </w:rPr>
      </w:pPr>
    </w:p>
    <w:p>
      <w:pPr>
        <w:ind w:left="1040" w:right="60" w:hanging="210"/>
        <w:spacing w:after="0" w:line="254" w:lineRule="auto"/>
        <w:tabs>
          <w:tab w:leader="none" w:pos="104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Worked with a base of vendors and landlords to extend payment terms and modify existing contracts</w:t>
      </w:r>
    </w:p>
    <w:p>
      <w:pPr>
        <w:spacing w:after="0" w:line="68" w:lineRule="exact"/>
        <w:rPr>
          <w:rFonts w:ascii="MS PGothic" w:cs="MS PGothic" w:eastAsia="MS PGothic" w:hAnsi="MS PGothic"/>
          <w:sz w:val="18"/>
          <w:szCs w:val="18"/>
          <w:color w:val="3C5896"/>
        </w:rPr>
      </w:pPr>
    </w:p>
    <w:p>
      <w:pPr>
        <w:ind w:left="1040" w:hanging="210"/>
        <w:spacing w:after="0" w:line="256" w:lineRule="auto"/>
        <w:tabs>
          <w:tab w:leader="none" w:pos="104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Temporarily paused new store openings until the second quarter of 2020</w:t>
      </w:r>
    </w:p>
    <w:p>
      <w:pPr>
        <w:spacing w:after="0" w:line="80" w:lineRule="exact"/>
        <w:rPr>
          <w:rFonts w:ascii="MS PGothic" w:cs="MS PGothic" w:eastAsia="MS PGothic" w:hAnsi="MS PGothic"/>
          <w:sz w:val="18"/>
          <w:szCs w:val="18"/>
          <w:color w:val="3C5896"/>
        </w:rPr>
      </w:pPr>
    </w:p>
    <w:p>
      <w:pPr>
        <w:ind w:left="1040" w:right="280" w:hanging="210"/>
        <w:spacing w:after="0" w:line="261" w:lineRule="auto"/>
        <w:tabs>
          <w:tab w:leader="none" w:pos="104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Reduced near term marketing spend</w:t>
      </w:r>
    </w:p>
    <w:p>
      <w:pPr>
        <w:spacing w:after="0" w:line="76" w:lineRule="exact"/>
        <w:rPr>
          <w:rFonts w:ascii="MS PGothic" w:cs="MS PGothic" w:eastAsia="MS PGothic" w:hAnsi="MS PGothic"/>
          <w:sz w:val="18"/>
          <w:szCs w:val="18"/>
          <w:color w:val="3C5896"/>
        </w:rPr>
      </w:pPr>
    </w:p>
    <w:p>
      <w:pPr>
        <w:ind w:left="1040" w:right="180" w:hanging="210"/>
        <w:spacing w:after="0" w:line="253" w:lineRule="auto"/>
        <w:tabs>
          <w:tab w:leader="none" w:pos="1040" w:val="left"/>
        </w:tabs>
        <w:numPr>
          <w:ilvl w:val="0"/>
          <w:numId w:val="21"/>
        </w:numPr>
        <w:rPr>
          <w:rFonts w:ascii="MS PGothic" w:cs="MS PGothic" w:eastAsia="MS PGothic" w:hAnsi="MS PGothic"/>
          <w:sz w:val="18"/>
          <w:szCs w:val="18"/>
          <w:color w:val="3C5896"/>
        </w:rPr>
      </w:pPr>
      <w:r>
        <w:rPr>
          <w:rFonts w:ascii="Arial" w:cs="Arial" w:eastAsia="Arial" w:hAnsi="Arial"/>
          <w:sz w:val="18"/>
          <w:szCs w:val="18"/>
          <w:color w:val="auto"/>
        </w:rPr>
        <w:t>Implemented enhanced safety protocols that allowed us to reopen our stores and continue servicing our patients and customers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Liquidity</w:t>
      </w:r>
    </w:p>
    <w:p>
      <w:pPr>
        <w:spacing w:after="0" w:line="58" w:lineRule="exact"/>
        <w:rPr>
          <w:sz w:val="20"/>
          <w:szCs w:val="20"/>
          <w:color w:val="auto"/>
        </w:rPr>
      </w:pPr>
    </w:p>
    <w:p>
      <w:pPr>
        <w:ind w:left="240" w:hanging="239"/>
        <w:spacing w:after="0"/>
        <w:tabs>
          <w:tab w:leader="none" w:pos="24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Borrowed remaining</w:t>
      </w:r>
    </w:p>
    <w:p>
      <w:pPr>
        <w:spacing w:after="0" w:line="9" w:lineRule="exact"/>
        <w:rPr>
          <w:rFonts w:ascii="MS PGothic" w:cs="MS PGothic" w:eastAsia="MS PGothic" w:hAnsi="MS PGothic"/>
          <w:sz w:val="18"/>
          <w:szCs w:val="18"/>
          <w:color w:val="3C5896"/>
        </w:rPr>
      </w:pPr>
    </w:p>
    <w:p>
      <w:pPr>
        <w:ind w:left="240" w:right="120"/>
        <w:spacing w:after="0" w:line="254" w:lineRule="auto"/>
        <w:rPr>
          <w:rFonts w:ascii="MS PGothic" w:cs="MS PGothic" w:eastAsia="MS PGothic" w:hAnsi="MS PGothic"/>
          <w:sz w:val="18"/>
          <w:szCs w:val="18"/>
          <w:color w:val="3C5896"/>
        </w:rPr>
      </w:pPr>
      <w:r>
        <w:rPr>
          <w:rFonts w:ascii="Arial" w:cs="Arial" w:eastAsia="Arial" w:hAnsi="Arial"/>
          <w:sz w:val="18"/>
          <w:szCs w:val="18"/>
          <w:color w:val="auto"/>
        </w:rPr>
        <w:t>$146.3 million under revolving credit facility in March 2020 and fully repaid revolving credit facility in May 2020</w:t>
      </w:r>
    </w:p>
    <w:p>
      <w:pPr>
        <w:spacing w:after="0" w:line="82" w:lineRule="exact"/>
        <w:rPr>
          <w:rFonts w:ascii="MS PGothic" w:cs="MS PGothic" w:eastAsia="MS PGothic" w:hAnsi="MS PGothic"/>
          <w:sz w:val="18"/>
          <w:szCs w:val="18"/>
          <w:color w:val="3C5896"/>
        </w:rPr>
      </w:pPr>
    </w:p>
    <w:p>
      <w:pPr>
        <w:ind w:left="220" w:right="40" w:hanging="219"/>
        <w:spacing w:after="0" w:line="251" w:lineRule="auto"/>
        <w:tabs>
          <w:tab w:leader="none" w:pos="22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Entered into credit agreement amendment in May 2020 to prevent the effects of the pandemic, including the temporary closure of stores, from creating uncertainty in financial covenant compliance and allowing focus on prudent management of business</w:t>
      </w:r>
    </w:p>
    <w:p>
      <w:pPr>
        <w:spacing w:after="0" w:line="76" w:lineRule="exact"/>
        <w:rPr>
          <w:rFonts w:ascii="MS PGothic" w:cs="MS PGothic" w:eastAsia="MS PGothic" w:hAnsi="MS PGothic"/>
          <w:sz w:val="18"/>
          <w:szCs w:val="18"/>
          <w:color w:val="3C5896"/>
        </w:rPr>
      </w:pPr>
    </w:p>
    <w:p>
      <w:pPr>
        <w:ind w:left="220" w:right="540" w:hanging="219"/>
        <w:spacing w:after="0" w:line="250" w:lineRule="auto"/>
        <w:tabs>
          <w:tab w:leader="none" w:pos="22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Completed the issuance of $402.5 million of 2.50% convertible senior notes in</w:t>
      </w:r>
    </w:p>
    <w:p>
      <w:pPr>
        <w:spacing w:after="0" w:line="1" w:lineRule="exact"/>
        <w:rPr>
          <w:rFonts w:ascii="MS PGothic" w:cs="MS PGothic" w:eastAsia="MS PGothic" w:hAnsi="MS PGothic"/>
          <w:sz w:val="18"/>
          <w:szCs w:val="18"/>
          <w:color w:val="3C5896"/>
        </w:rPr>
      </w:pPr>
    </w:p>
    <w:p>
      <w:pPr>
        <w:ind w:left="220"/>
        <w:spacing w:after="0" w:line="278" w:lineRule="auto"/>
        <w:rPr>
          <w:rFonts w:ascii="MS PGothic" w:cs="MS PGothic" w:eastAsia="MS PGothic" w:hAnsi="MS PGothic"/>
          <w:sz w:val="18"/>
          <w:szCs w:val="18"/>
          <w:color w:val="3C5896"/>
        </w:rPr>
      </w:pPr>
      <w:r>
        <w:rPr>
          <w:rFonts w:ascii="Arial" w:cs="Arial" w:eastAsia="Arial" w:hAnsi="Arial"/>
          <w:sz w:val="17"/>
          <w:szCs w:val="17"/>
          <w:color w:val="auto"/>
        </w:rPr>
        <w:t>May 2020 and used net proceeds to partially repay term loan and fully repay revolving credit facility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21"/>
        <w:spacing w:after="0"/>
        <w:rPr>
          <w:sz w:val="20"/>
          <w:szCs w:val="20"/>
          <w:color w:val="auto"/>
        </w:rPr>
      </w:pPr>
      <w:r>
        <w:rPr>
          <w:rFonts w:ascii="Arial" w:cs="Arial" w:eastAsia="Arial" w:hAnsi="Arial"/>
          <w:sz w:val="18"/>
          <w:szCs w:val="18"/>
          <w:b w:val="1"/>
          <w:bCs w:val="1"/>
          <w:color w:val="FFFFFF"/>
        </w:rPr>
        <w:t>Compensation</w:t>
      </w:r>
    </w:p>
    <w:p>
      <w:pPr>
        <w:spacing w:after="0" w:line="58" w:lineRule="exact"/>
        <w:rPr>
          <w:sz w:val="20"/>
          <w:szCs w:val="20"/>
          <w:color w:val="auto"/>
        </w:rPr>
      </w:pPr>
    </w:p>
    <w:p>
      <w:pPr>
        <w:ind w:left="241" w:right="100" w:hanging="241"/>
        <w:spacing w:after="0" w:line="267" w:lineRule="auto"/>
        <w:tabs>
          <w:tab w:leader="none" w:pos="241" w:val="left"/>
        </w:tabs>
        <w:numPr>
          <w:ilvl w:val="0"/>
          <w:numId w:val="23"/>
        </w:numPr>
        <w:rPr>
          <w:rFonts w:ascii="MS PGothic" w:cs="MS PGothic" w:eastAsia="MS PGothic" w:hAnsi="MS PGothic"/>
          <w:sz w:val="17"/>
          <w:szCs w:val="17"/>
          <w:color w:val="3C5896"/>
        </w:rPr>
      </w:pPr>
      <w:r>
        <w:rPr>
          <w:rFonts w:ascii="Arial" w:cs="Arial" w:eastAsia="Arial" w:hAnsi="Arial"/>
          <w:sz w:val="17"/>
          <w:szCs w:val="17"/>
          <w:color w:val="auto"/>
        </w:rPr>
        <w:t>Reduced compensation across the organization until the second quarter of 2020, including a voluntary salary reduction by the CEO to $1, voluntary 30% salary reductions by the other executive officers and a voluntary election by the Board to forego their cash compensation for the second quarter, with the CEO returning to full base salary only after all non-executive employees were back to 100% compensation</w:t>
      </w:r>
    </w:p>
    <w:p>
      <w:pPr>
        <w:spacing w:after="0" w:line="75" w:lineRule="exact"/>
        <w:rPr>
          <w:rFonts w:ascii="MS PGothic" w:cs="MS PGothic" w:eastAsia="MS PGothic" w:hAnsi="MS PGothic"/>
          <w:sz w:val="17"/>
          <w:szCs w:val="17"/>
          <w:color w:val="3C5896"/>
        </w:rPr>
      </w:pPr>
    </w:p>
    <w:p>
      <w:pPr>
        <w:ind w:left="221" w:right="240" w:hanging="221"/>
        <w:spacing w:after="0" w:line="278" w:lineRule="auto"/>
        <w:tabs>
          <w:tab w:leader="none" w:pos="221" w:val="left"/>
        </w:tabs>
        <w:numPr>
          <w:ilvl w:val="0"/>
          <w:numId w:val="23"/>
        </w:numPr>
        <w:rPr>
          <w:rFonts w:ascii="MS PGothic" w:cs="MS PGothic" w:eastAsia="MS PGothic" w:hAnsi="MS PGothic"/>
          <w:sz w:val="17"/>
          <w:szCs w:val="17"/>
          <w:color w:val="3C5896"/>
        </w:rPr>
      </w:pPr>
      <w:r>
        <w:rPr>
          <w:rFonts w:ascii="Arial" w:cs="Arial" w:eastAsia="Arial" w:hAnsi="Arial"/>
          <w:sz w:val="17"/>
          <w:szCs w:val="17"/>
          <w:color w:val="auto"/>
        </w:rPr>
        <w:t>Granted one-time appreciation bonuses to customer-facing associates in third quarter 2020</w:t>
      </w:r>
    </w:p>
    <w:p>
      <w:pPr>
        <w:spacing w:after="0" w:line="49" w:lineRule="exact"/>
        <w:rPr>
          <w:rFonts w:ascii="MS PGothic" w:cs="MS PGothic" w:eastAsia="MS PGothic" w:hAnsi="MS PGothic"/>
          <w:sz w:val="17"/>
          <w:szCs w:val="17"/>
          <w:color w:val="3C5896"/>
        </w:rPr>
      </w:pPr>
    </w:p>
    <w:p>
      <w:pPr>
        <w:ind w:left="221" w:right="380" w:hanging="221"/>
        <w:spacing w:after="0" w:line="261" w:lineRule="auto"/>
        <w:tabs>
          <w:tab w:leader="none" w:pos="221"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Granted additional holidays in fourth quarter 2020</w:t>
      </w:r>
    </w:p>
    <w:p>
      <w:pPr>
        <w:spacing w:after="0" w:line="76" w:lineRule="exact"/>
        <w:rPr>
          <w:rFonts w:ascii="MS PGothic" w:cs="MS PGothic" w:eastAsia="MS PGothic" w:hAnsi="MS PGothic"/>
          <w:sz w:val="18"/>
          <w:szCs w:val="18"/>
          <w:color w:val="3C5896"/>
        </w:rPr>
      </w:pPr>
    </w:p>
    <w:p>
      <w:pPr>
        <w:ind w:left="221" w:right="460" w:hanging="221"/>
        <w:spacing w:after="0" w:line="256" w:lineRule="auto"/>
        <w:tabs>
          <w:tab w:leader="none" w:pos="221"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Continued to pay benefits for associates furloughed in response to pandemic</w:t>
      </w:r>
    </w:p>
    <w:p>
      <w:pPr>
        <w:spacing w:after="0" w:line="80" w:lineRule="exact"/>
        <w:rPr>
          <w:rFonts w:ascii="MS PGothic" w:cs="MS PGothic" w:eastAsia="MS PGothic" w:hAnsi="MS PGothic"/>
          <w:sz w:val="18"/>
          <w:szCs w:val="18"/>
          <w:color w:val="3C5896"/>
        </w:rPr>
      </w:pPr>
    </w:p>
    <w:p>
      <w:pPr>
        <w:ind w:left="221" w:right="340" w:hanging="221"/>
        <w:spacing w:after="0" w:line="254" w:lineRule="auto"/>
        <w:tabs>
          <w:tab w:leader="none" w:pos="221"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Paid short-term incentive cash bonuses at target level for associates to reward their dedication and resiliency</w:t>
      </w:r>
    </w:p>
    <w:p>
      <w:pPr>
        <w:spacing w:after="0" w:line="200" w:lineRule="exact"/>
        <w:rPr>
          <w:sz w:val="20"/>
          <w:szCs w:val="20"/>
          <w:color w:val="auto"/>
        </w:rPr>
      </w:pPr>
    </w:p>
    <w:p>
      <w:pPr>
        <w:sectPr>
          <w:pgSz w:w="11900" w:h="16838" w:orient="portrait"/>
          <w:cols w:equalWidth="0" w:num="3">
            <w:col w:w="3700" w:space="220"/>
            <w:col w:w="2880" w:space="199"/>
            <w:col w:w="2961"/>
          </w:cols>
          <w:pgMar w:left="580" w:top="131" w:right="1359" w:bottom="1440" w:gutter="0" w:footer="0" w:header="0"/>
          <w:type w:val="continuous"/>
        </w:sectPr>
      </w:pPr>
    </w:p>
    <w:p>
      <w:pPr>
        <w:spacing w:after="0" w:line="31"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Throughout the course of fiscal 2020, we maintained a focus on keeping our customers and associates safe and healthy. The dedication and resiliency of our associates allowed us to reopen our stores and continue servicing our customers. Considering our performance and achievement despite the extraordinary circumstances of this year, we believe fiscal 2020 was ultimately successful and we are well positioned to capitalize on future opportunities for the Company.</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2020, we achieved healthy financial and operational results, despite the pandemic, including:</w:t>
      </w:r>
    </w:p>
    <w:p>
      <w:pPr>
        <w:spacing w:after="0" w:line="144" w:lineRule="exact"/>
        <w:rPr>
          <w:sz w:val="20"/>
          <w:szCs w:val="20"/>
          <w:color w:val="auto"/>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Net income increased 10.6% to $36.3 million</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12.4% to $218.3 million</w:t>
      </w:r>
    </w:p>
    <w:p>
      <w:pPr>
        <w:spacing w:after="0" w:line="52"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17.4% to $134.1 million</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Overall store count grew 4.7%, and fiscal 2020 ended with 1,205 stores</w:t>
      </w:r>
    </w:p>
    <w:p>
      <w:pPr>
        <w:spacing w:after="0" w:line="117" w:lineRule="exact"/>
        <w:rPr>
          <w:rFonts w:ascii="Arial" w:cs="Arial" w:eastAsia="Arial" w:hAnsi="Arial"/>
          <w:sz w:val="18"/>
          <w:szCs w:val="18"/>
          <w:color w:val="3C5896"/>
        </w:rPr>
      </w:pPr>
    </w:p>
    <w:p>
      <w:pPr>
        <w:jc w:val="both"/>
        <w:ind w:left="1340" w:hanging="218"/>
        <w:spacing w:after="0" w:line="213" w:lineRule="auto"/>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Total comparable store sales growth for the seven months ended January 2, 2021 (after we began gradually re-opening stores to the public) was 13.1%,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seven months ended January 2, 2021 was 12.6%</w:t>
      </w:r>
    </w:p>
    <w:p>
      <w:pPr>
        <w:spacing w:after="0" w:line="123"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Record operating cash flows increased from $165.1 million in 2019 to $235.0 million in 2020</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Diluted EPS increased 9.1% to $0.44;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21.9% to $0.91</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1"/>
          <w:numId w:val="24"/>
        </w:numPr>
        <w:rPr>
          <w:rFonts w:ascii="Arial" w:cs="Arial" w:eastAsia="Arial" w:hAnsi="Arial"/>
          <w:sz w:val="18"/>
          <w:szCs w:val="18"/>
          <w:color w:val="3C5896"/>
        </w:rPr>
      </w:pPr>
      <w:r>
        <w:rPr>
          <w:rFonts w:ascii="Arial" w:cs="Arial" w:eastAsia="Arial" w:hAnsi="Arial"/>
          <w:sz w:val="18"/>
          <w:szCs w:val="18"/>
          <w:color w:val="auto"/>
        </w:rPr>
        <w:t>Our cash balance was $373.9 million as of January 2, 2021</w:t>
      </w:r>
    </w:p>
    <w:p>
      <w:pPr>
        <w:spacing w:after="0" w:line="262" w:lineRule="exact"/>
        <w:rPr>
          <w:rFonts w:ascii="Arial" w:cs="Arial" w:eastAsia="Arial" w:hAnsi="Arial"/>
          <w:sz w:val="18"/>
          <w:szCs w:val="18"/>
          <w:color w:val="3C5896"/>
        </w:rPr>
      </w:pPr>
    </w:p>
    <w:p>
      <w:pPr>
        <w:jc w:val="both"/>
        <w:ind w:left="760" w:right="20" w:firstLine="2"/>
        <w:spacing w:after="0" w:line="216" w:lineRule="auto"/>
        <w:tabs>
          <w:tab w:leader="none" w:pos="974" w:val="left"/>
        </w:tabs>
        <w:numPr>
          <w:ilvl w:val="0"/>
          <w:numId w:val="24"/>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-414020</wp:posOffset>
            </wp:positionV>
            <wp:extent cx="12344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157480</wp:posOffset>
            </wp:positionV>
            <wp:extent cx="5220335" cy="3145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2033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760" w:right="20" w:firstLine="2"/>
        <w:spacing w:after="0" w:line="216" w:lineRule="auto"/>
        <w:tabs>
          <w:tab w:leader="none" w:pos="974"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Compensation Highlights</w:t>
      </w:r>
    </w:p>
    <w:p>
      <w:pPr>
        <w:spacing w:after="0" w:line="139" w:lineRule="exact"/>
        <w:rPr>
          <w:sz w:val="20"/>
          <w:szCs w:val="20"/>
          <w:color w:val="auto"/>
        </w:rPr>
      </w:pPr>
    </w:p>
    <w:p>
      <w:pPr>
        <w:jc w:val="both"/>
        <w:ind w:left="760" w:right="20"/>
        <w:spacing w:after="0" w:line="291" w:lineRule="auto"/>
        <w:rPr>
          <w:sz w:val="20"/>
          <w:szCs w:val="20"/>
          <w:color w:val="auto"/>
        </w:rPr>
      </w:pPr>
      <w:r>
        <w:rPr>
          <w:rFonts w:ascii="Arial" w:cs="Arial" w:eastAsia="Arial" w:hAnsi="Arial"/>
          <w:sz w:val="17"/>
          <w:szCs w:val="17"/>
          <w:color w:val="auto"/>
        </w:rPr>
        <w:t>As outlined in the expense reduction initiatives highlighted above, our compensation committee, executive officers and board members took measures in 2020 to assist with the potential pandemic impact on the Company including:</w:t>
      </w:r>
    </w:p>
    <w:p>
      <w:pPr>
        <w:spacing w:after="0" w:line="66" w:lineRule="exact"/>
        <w:rPr>
          <w:sz w:val="20"/>
          <w:szCs w:val="20"/>
          <w:color w:val="auto"/>
        </w:rPr>
      </w:pPr>
    </w:p>
    <w:p>
      <w:pPr>
        <w:ind w:left="1340" w:hanging="218"/>
        <w:spacing w:after="0"/>
        <w:tabs>
          <w:tab w:leader="none" w:pos="13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A voluntary reduction in base salary by the Company’s CEO to $1 from March 29, 2020 to June 14, 2020.</w:t>
      </w:r>
    </w:p>
    <w:p>
      <w:pPr>
        <w:spacing w:after="0" w:line="103" w:lineRule="exact"/>
        <w:rPr>
          <w:rFonts w:ascii="Arial" w:cs="Arial" w:eastAsia="Arial" w:hAnsi="Arial"/>
          <w:sz w:val="18"/>
          <w:szCs w:val="18"/>
          <w:color w:val="3C5896"/>
        </w:rPr>
      </w:pPr>
    </w:p>
    <w:p>
      <w:pPr>
        <w:ind w:left="1340" w:hanging="218"/>
        <w:spacing w:after="0" w:line="246" w:lineRule="auto"/>
        <w:tabs>
          <w:tab w:leader="none" w:pos="13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A voluntary reduction in base salaries by the Company’s other executive officers, including all of the NEOs, by 30% from March 29, 2020 to June 7, 2020.</w:t>
      </w:r>
    </w:p>
    <w:p>
      <w:pPr>
        <w:spacing w:after="0" w:line="88" w:lineRule="exact"/>
        <w:rPr>
          <w:rFonts w:ascii="Arial" w:cs="Arial" w:eastAsia="Arial" w:hAnsi="Arial"/>
          <w:sz w:val="18"/>
          <w:szCs w:val="18"/>
          <w:color w:val="3C5896"/>
        </w:rPr>
      </w:pPr>
    </w:p>
    <w:p>
      <w:pPr>
        <w:ind w:left="1340" w:right="20" w:hanging="218"/>
        <w:spacing w:after="0" w:line="246" w:lineRule="auto"/>
        <w:tabs>
          <w:tab w:leader="none" w:pos="13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A voluntary election by the Company’s Board of Directors to forego their annual cash compensation for the second quarter of 2020.</w:t>
      </w:r>
    </w:p>
    <w:p>
      <w:pPr>
        <w:spacing w:after="0" w:line="8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Company also focused on creating multiple resources for associates, including additional leave of absence and paid leave options, a payment of one-time appreciation bonuses to customer-facing associates, a grant of additional Company holidays in the fourth quarter of 2020 and paid benefits for associates furloughed in response to the pandemic.</w:t>
      </w:r>
    </w:p>
    <w:p>
      <w:pPr>
        <w:spacing w:after="0" w:line="96"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Our 2020 compensation programs evolved to align with those found in the competitive market to continue attracting and retaining high-quality executives capable of executing the Company’s strategy and delivering value for stockholders. Key actions taken by the compensation committee include the following:</w:t>
      </w:r>
    </w:p>
    <w:p>
      <w:pPr>
        <w:spacing w:after="0" w:line="85" w:lineRule="exact"/>
        <w:rPr>
          <w:sz w:val="20"/>
          <w:szCs w:val="20"/>
          <w:color w:val="auto"/>
        </w:rPr>
      </w:pPr>
    </w:p>
    <w:p>
      <w:pPr>
        <w:jc w:val="both"/>
        <w:ind w:left="1120" w:hanging="214"/>
        <w:spacing w:after="0" w:line="242" w:lineRule="auto"/>
        <w:tabs>
          <w:tab w:leader="none" w:pos="1120" w:val="left"/>
        </w:tabs>
        <w:numPr>
          <w:ilvl w:val="0"/>
          <w:numId w:val="27"/>
        </w:numPr>
        <w:rPr>
          <w:rFonts w:ascii="Arial" w:cs="Arial" w:eastAsia="Arial" w:hAnsi="Arial"/>
          <w:sz w:val="18"/>
          <w:szCs w:val="18"/>
          <w:color w:val="3C5896"/>
        </w:rPr>
      </w:pPr>
      <w:r>
        <w:rPr>
          <w:rFonts w:ascii="Arial" w:cs="Arial" w:eastAsia="Arial" w:hAnsi="Arial"/>
          <w:sz w:val="18"/>
          <w:szCs w:val="18"/>
          <w:b w:val="1"/>
          <w:bCs w:val="1"/>
          <w:color w:val="auto"/>
        </w:rPr>
        <w:t>Base Salary</w:t>
      </w:r>
      <w:r>
        <w:rPr>
          <w:rFonts w:ascii="Arial" w:cs="Arial" w:eastAsia="Arial" w:hAnsi="Arial"/>
          <w:sz w:val="18"/>
          <w:szCs w:val="18"/>
          <w:color w:val="auto"/>
        </w:rPr>
        <w:t>—In February 2020, the compensation committee approved executive officer salary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ranging from 3% to 11%, to more closely align compensation opportunities with the competitive market. These increases were slated to take effect in April 2020, however, with the temporary closure of our stores due to the pandemic beginning in March 2020, our executive officers voluntarily elected to take a reduction in their base salaries to assist with cash preservation at that time. Upon reopening of our stores, our executive officers returned to full pay in June, and the previously approved salary increases became effective on July 5, 2020.</w:t>
      </w:r>
    </w:p>
    <w:p>
      <w:pPr>
        <w:spacing w:after="0" w:line="70" w:lineRule="exact"/>
        <w:rPr>
          <w:rFonts w:ascii="Arial" w:cs="Arial" w:eastAsia="Arial" w:hAnsi="Arial"/>
          <w:sz w:val="18"/>
          <w:szCs w:val="18"/>
          <w:color w:val="3C5896"/>
        </w:rPr>
      </w:pPr>
    </w:p>
    <w:p>
      <w:pPr>
        <w:jc w:val="both"/>
        <w:ind w:left="1120" w:hanging="214"/>
        <w:spacing w:after="0" w:line="242" w:lineRule="auto"/>
        <w:tabs>
          <w:tab w:leader="none" w:pos="1120" w:val="left"/>
        </w:tabs>
        <w:numPr>
          <w:ilvl w:val="0"/>
          <w:numId w:val="27"/>
        </w:numPr>
        <w:rPr>
          <w:rFonts w:ascii="Arial" w:cs="Arial" w:eastAsia="Arial" w:hAnsi="Arial"/>
          <w:sz w:val="18"/>
          <w:szCs w:val="18"/>
          <w:color w:val="3C5896"/>
        </w:rPr>
      </w:pPr>
      <w:r>
        <w:rPr>
          <w:rFonts w:ascii="Arial" w:cs="Arial" w:eastAsia="Arial" w:hAnsi="Arial"/>
          <w:sz w:val="18"/>
          <w:szCs w:val="18"/>
          <w:b w:val="1"/>
          <w:bCs w:val="1"/>
          <w:color w:val="auto"/>
        </w:rPr>
        <w:t>Annual Cash Incentive Plan</w:t>
      </w:r>
      <w:r>
        <w:rPr>
          <w:rFonts w:ascii="Arial" w:cs="Arial" w:eastAsia="Arial" w:hAnsi="Arial"/>
          <w:sz w:val="18"/>
          <w:szCs w:val="18"/>
          <w:color w:val="auto"/>
        </w:rPr>
        <w:t>—Annual incentive awards pay out between 0% and 200% of target,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against our Adjusted EBITDA target. Based on Adjusted EBITDA performance of $230.5 million (as defined under the fiscal 2020 Short-Term Incentive Plan (“STIP”)), the fiscal 2020 STIP funded at 91.22% of target. The compensation committee considered the Company’s performance in 2020 in navigating the pandemic, including the strong performance following the temporary store closures which were reflected in third quarter</w:t>
      </w:r>
    </w:p>
    <w:p>
      <w:pPr>
        <w:spacing w:after="0" w:line="30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sz w:val="1"/>
          <w:szCs w:val="1"/>
          <w:color w:val="auto"/>
        </w:rPr>
        <w:drawing>
          <wp:inline distT="0" distB="0" distL="0" distR="0">
            <wp:extent cx="299720"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34" w:lineRule="exact"/>
        <w:rPr>
          <w:sz w:val="20"/>
          <w:szCs w:val="20"/>
          <w:color w:val="auto"/>
        </w:rPr>
      </w:pPr>
    </w:p>
    <w:p>
      <w:pPr>
        <w:jc w:val="both"/>
        <w:ind w:left="1120"/>
        <w:spacing w:after="0" w:line="211" w:lineRule="auto"/>
        <w:rPr>
          <w:sz w:val="20"/>
          <w:szCs w:val="20"/>
          <w:color w:val="auto"/>
        </w:rPr>
      </w:pPr>
      <w:r>
        <w:rPr>
          <w:rFonts w:ascii="Arial" w:cs="Arial" w:eastAsia="Arial" w:hAnsi="Arial"/>
          <w:sz w:val="17"/>
          <w:szCs w:val="17"/>
          <w:color w:val="auto"/>
        </w:rPr>
        <w:t>2020 results (2,860% increase in net income compared to third quarter 2019, an Adjusted EBITDA increase of 89.3% and an Adjusted Operating Income increase of 160%) and fourth quarter 2020 results (795% increase in net income compared to fourth quarter 2019, an Adjusted EBITDA increase of 118% and an Adjusted Operating Income increase of 281%).</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With the strong performance of the Company in the second half of 2020,</w:t>
      </w:r>
    </w:p>
    <w:p>
      <w:pPr>
        <w:spacing w:after="0" w:line="1" w:lineRule="exact"/>
        <w:rPr>
          <w:sz w:val="20"/>
          <w:szCs w:val="20"/>
          <w:color w:val="auto"/>
        </w:rPr>
      </w:pPr>
    </w:p>
    <w:p>
      <w:pPr>
        <w:jc w:val="both"/>
        <w:ind w:left="1120"/>
        <w:spacing w:after="0" w:line="229"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used discretion to increase the incentive payout of STIP for executive officers by 8.78% to equal 100% of STIP target. Please see additional information in the footnotes to the Summary Compensation Table and the Short-Term Incentive Plan section on page </w:t>
      </w:r>
      <w:hyperlink w:anchor="page39">
        <w:r>
          <w:rPr>
            <w:rFonts w:ascii="Arial" w:cs="Arial" w:eastAsia="Arial" w:hAnsi="Arial"/>
            <w:sz w:val="18"/>
            <w:szCs w:val="18"/>
            <w:u w:val="single" w:color="auto"/>
            <w:color w:val="0000EE"/>
          </w:rPr>
          <w:t>36</w:t>
        </w:r>
      </w:hyperlink>
      <w:r>
        <w:rPr>
          <w:rFonts w:ascii="Arial" w:cs="Arial" w:eastAsia="Arial" w:hAnsi="Arial"/>
          <w:sz w:val="18"/>
          <w:szCs w:val="18"/>
          <w:color w:val="auto"/>
        </w:rPr>
        <w:t>.</w:t>
      </w:r>
    </w:p>
    <w:p>
      <w:pPr>
        <w:spacing w:after="0" w:line="47" w:lineRule="exact"/>
        <w:rPr>
          <w:sz w:val="20"/>
          <w:szCs w:val="20"/>
          <w:color w:val="auto"/>
        </w:rPr>
      </w:pPr>
    </w:p>
    <w:p>
      <w:pPr>
        <w:jc w:val="both"/>
        <w:ind w:left="1120" w:hanging="214"/>
        <w:spacing w:after="0" w:line="242" w:lineRule="auto"/>
        <w:tabs>
          <w:tab w:leader="none" w:pos="1120" w:val="left"/>
        </w:tabs>
        <w:numPr>
          <w:ilvl w:val="0"/>
          <w:numId w:val="28"/>
        </w:numPr>
        <w:rPr>
          <w:rFonts w:ascii="Arial" w:cs="Arial" w:eastAsia="Arial" w:hAnsi="Arial"/>
          <w:sz w:val="18"/>
          <w:szCs w:val="18"/>
          <w:color w:val="3C5896"/>
        </w:rPr>
      </w:pPr>
      <w:r>
        <w:rPr>
          <w:rFonts w:ascii="Arial" w:cs="Arial" w:eastAsia="Arial" w:hAnsi="Arial"/>
          <w:sz w:val="18"/>
          <w:szCs w:val="18"/>
          <w:b w:val="1"/>
          <w:bCs w:val="1"/>
          <w:color w:val="auto"/>
        </w:rPr>
        <w:t>Long-Term Incentive Program</w:t>
      </w:r>
      <w:r>
        <w:rPr>
          <w:rFonts w:ascii="Arial" w:cs="Arial" w:eastAsia="Arial" w:hAnsi="Arial"/>
          <w:sz w:val="18"/>
          <w:szCs w:val="18"/>
          <w:color w:val="auto"/>
        </w:rPr>
        <w:t>—The compensation committee adjusted the long-term incentive program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2020 and approved a grant to each of our NEOs for time-vesting stock options, time-vesting restricted stock units (“RSUs”), and performance-based restricted stock units (“PSUs”). PSUs will vest between 0% and 200% of target, based on performance against a three-year Adjusted EBITDA growth target as defined within the PSU award agreement. The compensation committee did not approve any changes to the Long-Term Incentive Program in light of the pandemic.</w:t>
      </w:r>
    </w:p>
    <w:p>
      <w:pPr>
        <w:spacing w:after="0" w:line="57" w:lineRule="exact"/>
        <w:rPr>
          <w:rFonts w:ascii="Arial" w:cs="Arial" w:eastAsia="Arial" w:hAnsi="Arial"/>
          <w:sz w:val="18"/>
          <w:szCs w:val="18"/>
          <w:color w:val="3C5896"/>
        </w:rPr>
      </w:pPr>
    </w:p>
    <w:p>
      <w:pPr>
        <w:ind w:left="1120" w:right="20" w:hanging="214"/>
        <w:spacing w:after="0" w:line="271" w:lineRule="auto"/>
        <w:tabs>
          <w:tab w:leader="none" w:pos="1120" w:val="left"/>
        </w:tabs>
        <w:numPr>
          <w:ilvl w:val="0"/>
          <w:numId w:val="28"/>
        </w:numPr>
        <w:rPr>
          <w:rFonts w:ascii="Arial" w:cs="Arial" w:eastAsia="Arial" w:hAnsi="Arial"/>
          <w:sz w:val="18"/>
          <w:szCs w:val="18"/>
          <w:color w:val="3C5896"/>
        </w:rPr>
      </w:pPr>
      <w:r>
        <w:rPr>
          <w:rFonts w:ascii="Arial" w:cs="Arial" w:eastAsia="Arial" w:hAnsi="Arial"/>
          <w:sz w:val="18"/>
          <w:szCs w:val="18"/>
          <w:b w:val="1"/>
          <w:bCs w:val="1"/>
          <w:color w:val="auto"/>
        </w:rPr>
        <w:t>Pay-for-Performance</w:t>
      </w:r>
      <w:r>
        <w:rPr>
          <w:rFonts w:ascii="Arial" w:cs="Arial" w:eastAsia="Arial" w:hAnsi="Arial"/>
          <w:sz w:val="18"/>
          <w:szCs w:val="18"/>
          <w:color w:val="auto"/>
        </w:rPr>
        <w:t>—National Vision is committed to aligning executive compensation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The charts below illustrate that the majority of our NEOs’ compensation is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43180</wp:posOffset>
            </wp:positionV>
            <wp:extent cx="4363085" cy="1619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6308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39"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Our compensation programs are designed to help us achieve these goals. We expect our executive team to possess and demonstrate strong leadership and management capabilities and continue to execute against our strategic growth initiative. To reward and retain our leaders, including our NEOs, we have designed a total compensation approach that rewards both short-term and long-term success.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95" w:lineRule="exact"/>
        <w:rPr>
          <w:sz w:val="20"/>
          <w:szCs w:val="20"/>
          <w:color w:val="auto"/>
        </w:rPr>
      </w:pPr>
    </w:p>
    <w:p>
      <w:pPr>
        <w:jc w:val="both"/>
        <w:ind w:left="1340" w:hanging="218"/>
        <w:spacing w:after="0" w:line="253" w:lineRule="auto"/>
        <w:tabs>
          <w:tab w:leader="none" w:pos="1340" w:val="left"/>
        </w:tabs>
        <w:numPr>
          <w:ilvl w:val="0"/>
          <w:numId w:val="29"/>
        </w:numPr>
        <w:rPr>
          <w:rFonts w:ascii="Arial" w:cs="Arial" w:eastAsia="Arial" w:hAnsi="Arial"/>
          <w:sz w:val="18"/>
          <w:szCs w:val="18"/>
          <w:color w:val="3C5896"/>
        </w:rPr>
      </w:pPr>
      <w:r>
        <w:rPr>
          <w:rFonts w:ascii="Arial" w:cs="Arial" w:eastAsia="Arial" w:hAnsi="Arial"/>
          <w:sz w:val="18"/>
          <w:szCs w:val="18"/>
          <w:b w:val="1"/>
          <w:bCs w:val="1"/>
          <w:i w:val="1"/>
          <w:iCs w:val="1"/>
          <w:color w:val="auto"/>
        </w:rPr>
        <w:t>Motivate executives to meet or exceed Company performance goals</w:t>
      </w:r>
      <w:r>
        <w:rPr>
          <w:rFonts w:ascii="Arial" w:cs="Arial" w:eastAsia="Arial" w:hAnsi="Arial"/>
          <w:sz w:val="18"/>
          <w:szCs w:val="18"/>
          <w:color w:val="auto"/>
        </w:rPr>
        <w:t>. A significant portion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total compensation is directly tied to the achievement of the Company’s overall business and performance goals.</w:t>
      </w:r>
    </w:p>
    <w:p>
      <w:pPr>
        <w:spacing w:after="0" w:line="33" w:lineRule="exact"/>
        <w:rPr>
          <w:rFonts w:ascii="Arial" w:cs="Arial" w:eastAsia="Arial" w:hAnsi="Arial"/>
          <w:sz w:val="18"/>
          <w:szCs w:val="18"/>
          <w:color w:val="3C5896"/>
        </w:rPr>
      </w:pPr>
    </w:p>
    <w:p>
      <w:pPr>
        <w:jc w:val="both"/>
        <w:ind w:left="1340" w:hanging="218"/>
        <w:spacing w:after="0" w:line="253" w:lineRule="auto"/>
        <w:tabs>
          <w:tab w:leader="none" w:pos="1340" w:val="left"/>
        </w:tabs>
        <w:numPr>
          <w:ilvl w:val="0"/>
          <w:numId w:val="29"/>
        </w:numPr>
        <w:rPr>
          <w:rFonts w:ascii="Arial" w:cs="Arial" w:eastAsia="Arial" w:hAnsi="Arial"/>
          <w:sz w:val="18"/>
          <w:szCs w:val="18"/>
          <w:color w:val="3C5896"/>
        </w:rPr>
      </w:pPr>
      <w:r>
        <w:rPr>
          <w:rFonts w:ascii="Arial" w:cs="Arial" w:eastAsia="Arial" w:hAnsi="Arial"/>
          <w:sz w:val="18"/>
          <w:szCs w:val="18"/>
          <w:b w:val="1"/>
          <w:bCs w:val="1"/>
          <w:i w:val="1"/>
          <w:iCs w:val="1"/>
          <w:color w:val="auto"/>
        </w:rPr>
        <w:t>Attract and retain talented executives</w:t>
      </w:r>
      <w:r>
        <w:rPr>
          <w:rFonts w:ascii="Arial" w:cs="Arial" w:eastAsia="Arial" w:hAnsi="Arial"/>
          <w:sz w:val="18"/>
          <w:szCs w:val="18"/>
          <w:color w:val="auto"/>
        </w:rPr>
        <w:t>. The Company seeks to provide overall levels of compensation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market competitive to attract, retain and motivate highly qualified executives to continue to enhance long-term equity value.</w:t>
      </w:r>
    </w:p>
    <w:p>
      <w:pPr>
        <w:spacing w:after="0" w:line="47" w:lineRule="exact"/>
        <w:rPr>
          <w:rFonts w:ascii="Arial" w:cs="Arial" w:eastAsia="Arial" w:hAnsi="Arial"/>
          <w:sz w:val="18"/>
          <w:szCs w:val="18"/>
          <w:color w:val="3C5896"/>
        </w:rPr>
      </w:pPr>
    </w:p>
    <w:p>
      <w:pPr>
        <w:jc w:val="both"/>
        <w:ind w:left="1340" w:hanging="218"/>
        <w:spacing w:after="0" w:line="247" w:lineRule="auto"/>
        <w:tabs>
          <w:tab w:leader="none" w:pos="1340" w:val="left"/>
        </w:tabs>
        <w:numPr>
          <w:ilvl w:val="0"/>
          <w:numId w:val="29"/>
        </w:numPr>
        <w:rPr>
          <w:rFonts w:ascii="Arial" w:cs="Arial" w:eastAsia="Arial" w:hAnsi="Arial"/>
          <w:sz w:val="18"/>
          <w:szCs w:val="18"/>
          <w:color w:val="3C5896"/>
        </w:rPr>
      </w:pPr>
      <w:r>
        <w:rPr>
          <w:rFonts w:ascii="Arial" w:cs="Arial" w:eastAsia="Arial" w:hAnsi="Arial"/>
          <w:sz w:val="18"/>
          <w:szCs w:val="18"/>
          <w:b w:val="1"/>
          <w:bCs w:val="1"/>
          <w:i w:val="1"/>
          <w:iCs w:val="1"/>
          <w:color w:val="auto"/>
        </w:rPr>
        <w:t>Link the financial interests of executives and stockholders</w:t>
      </w:r>
      <w:r>
        <w:rPr>
          <w:rFonts w:ascii="Arial" w:cs="Arial" w:eastAsia="Arial" w:hAnsi="Arial"/>
          <w:sz w:val="18"/>
          <w:szCs w:val="18"/>
          <w:color w:val="auto"/>
        </w:rPr>
        <w:t>. In order to foster a strong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stockholder value and executive compensation, a significant portion of compensation is composed of equity-based incentive awards. Additionally, NEOs are subject to stock ownership guidelines that ensure they retain a significant portion of their vested equity awards.</w:t>
      </w:r>
    </w:p>
    <w:p>
      <w:pPr>
        <w:spacing w:after="0" w:line="88"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We strive to create competitive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60325</wp:posOffset>
            </wp:positionV>
            <wp:extent cx="12344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3" w:lineRule="exact"/>
        <w:rPr>
          <w:sz w:val="20"/>
          <w:szCs w:val="20"/>
          <w:color w:val="auto"/>
        </w:rPr>
      </w:pPr>
    </w:p>
    <w:p>
      <w:pPr>
        <w:jc w:val="both"/>
        <w:ind w:left="760" w:right="20" w:firstLine="2"/>
        <w:spacing w:after="0" w:line="216" w:lineRule="auto"/>
        <w:tabs>
          <w:tab w:leader="none" w:pos="974"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29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packages for all employees that encourage them to achieve our long-term business goals without taking unnecessary risks. We believe that, to attract and retain talented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88900</wp:posOffset>
            </wp:positionV>
            <wp:extent cx="5837555" cy="2872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37555" cy="287210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85" w:lineRule="exact"/>
        <w:rPr>
          <w:sz w:val="20"/>
          <w:szCs w:val="20"/>
          <w:color w:val="auto"/>
        </w:rPr>
      </w:pPr>
    </w:p>
    <w:p>
      <w:pPr>
        <w:ind w:left="1180" w:hanging="184"/>
        <w:spacing w:after="0"/>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63" w:lineRule="exact"/>
        <w:rPr>
          <w:rFonts w:ascii="MS PGothic" w:cs="MS PGothic" w:eastAsia="MS PGothic" w:hAnsi="MS PGothic"/>
          <w:sz w:val="18"/>
          <w:szCs w:val="18"/>
          <w:color w:val="3C5896"/>
        </w:rPr>
      </w:pPr>
    </w:p>
    <w:p>
      <w:pPr>
        <w:ind w:left="1180" w:right="600" w:hanging="184"/>
        <w:spacing w:after="0" w:line="261" w:lineRule="auto"/>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named executive officers (“NEOs”)</w:t>
      </w:r>
    </w:p>
    <w:p>
      <w:pPr>
        <w:spacing w:after="0" w:line="76" w:lineRule="exact"/>
        <w:rPr>
          <w:rFonts w:ascii="MS PGothic" w:cs="MS PGothic" w:eastAsia="MS PGothic" w:hAnsi="MS PGothic"/>
          <w:sz w:val="18"/>
          <w:szCs w:val="18"/>
          <w:color w:val="3C5896"/>
        </w:rPr>
      </w:pPr>
    </w:p>
    <w:p>
      <w:pPr>
        <w:ind w:left="1180" w:right="420" w:hanging="184"/>
        <w:spacing w:after="0" w:line="286" w:lineRule="auto"/>
        <w:tabs>
          <w:tab w:leader="none" w:pos="1180" w:val="left"/>
        </w:tabs>
        <w:numPr>
          <w:ilvl w:val="0"/>
          <w:numId w:val="31"/>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7" w:lineRule="exact"/>
        <w:rPr>
          <w:rFonts w:ascii="MS PGothic" w:cs="MS PGothic" w:eastAsia="MS PGothic" w:hAnsi="MS PGothic"/>
          <w:sz w:val="17"/>
          <w:szCs w:val="17"/>
          <w:color w:val="3C5896"/>
        </w:rPr>
      </w:pPr>
    </w:p>
    <w:p>
      <w:pPr>
        <w:ind w:left="1180" w:hanging="184"/>
        <w:spacing w:after="0"/>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63" w:lineRule="exact"/>
        <w:rPr>
          <w:rFonts w:ascii="MS PGothic" w:cs="MS PGothic" w:eastAsia="MS PGothic" w:hAnsi="MS PGothic"/>
          <w:sz w:val="18"/>
          <w:szCs w:val="18"/>
          <w:color w:val="3C5896"/>
        </w:rPr>
      </w:pPr>
    </w:p>
    <w:p>
      <w:pPr>
        <w:ind w:left="1180" w:hanging="184"/>
        <w:spacing w:after="0" w:line="261" w:lineRule="auto"/>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63" w:lineRule="exact"/>
        <w:rPr>
          <w:rFonts w:ascii="MS PGothic" w:cs="MS PGothic" w:eastAsia="MS PGothic" w:hAnsi="MS PGothic"/>
          <w:sz w:val="18"/>
          <w:szCs w:val="18"/>
          <w:color w:val="3C5896"/>
        </w:rPr>
      </w:pPr>
    </w:p>
    <w:p>
      <w:pPr>
        <w:ind w:left="1180" w:right="320" w:hanging="184"/>
        <w:spacing w:after="0" w:line="261" w:lineRule="auto"/>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Maintain an established stockholder engagement program</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31"/>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99" w:lineRule="exact"/>
        <w:rPr>
          <w:sz w:val="20"/>
          <w:szCs w:val="20"/>
          <w:color w:val="auto"/>
        </w:rPr>
      </w:pPr>
    </w:p>
    <w:p>
      <w:pPr>
        <w:ind w:left="360" w:right="460" w:hanging="185"/>
        <w:spacing w:after="0" w:line="261" w:lineRule="auto"/>
        <w:tabs>
          <w:tab w:leader="none" w:pos="3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 in Control</w:t>
      </w:r>
    </w:p>
    <w:p>
      <w:pPr>
        <w:spacing w:after="0" w:line="62" w:lineRule="exact"/>
        <w:rPr>
          <w:rFonts w:ascii="MS PGothic" w:cs="MS PGothic" w:eastAsia="MS PGothic" w:hAnsi="MS PGothic"/>
          <w:sz w:val="18"/>
          <w:szCs w:val="18"/>
          <w:color w:val="auto"/>
        </w:rPr>
      </w:pPr>
    </w:p>
    <w:p>
      <w:pPr>
        <w:ind w:left="360" w:right="140" w:hanging="185"/>
        <w:spacing w:after="0" w:line="261" w:lineRule="auto"/>
        <w:tabs>
          <w:tab w:leader="none" w:pos="3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820" w:hanging="185"/>
        <w:spacing w:after="0" w:line="261" w:lineRule="auto"/>
        <w:tabs>
          <w:tab w:leader="none" w:pos="3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76" w:lineRule="exact"/>
        <w:rPr>
          <w:rFonts w:ascii="MS PGothic" w:cs="MS PGothic" w:eastAsia="MS PGothic" w:hAnsi="MS PGothic"/>
          <w:sz w:val="18"/>
          <w:szCs w:val="18"/>
          <w:color w:val="auto"/>
        </w:rPr>
      </w:pPr>
    </w:p>
    <w:p>
      <w:pPr>
        <w:ind w:left="360" w:right="220" w:hanging="185"/>
        <w:spacing w:after="0" w:line="254" w:lineRule="auto"/>
        <w:tabs>
          <w:tab w:leader="none" w:pos="3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stockholder approval</w:t>
      </w:r>
    </w:p>
    <w:p>
      <w:pPr>
        <w:spacing w:after="0" w:line="68" w:lineRule="exact"/>
        <w:rPr>
          <w:rFonts w:ascii="MS PGothic" w:cs="MS PGothic" w:eastAsia="MS PGothic" w:hAnsi="MS PGothic"/>
          <w:sz w:val="18"/>
          <w:szCs w:val="18"/>
          <w:color w:val="auto"/>
        </w:rPr>
      </w:pPr>
    </w:p>
    <w:p>
      <w:pPr>
        <w:ind w:left="360" w:right="720" w:hanging="185"/>
        <w:spacing w:after="0" w:line="261" w:lineRule="auto"/>
        <w:tabs>
          <w:tab w:leader="none" w:pos="3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1361" w:lineRule="exact"/>
        <w:rPr>
          <w:sz w:val="20"/>
          <w:szCs w:val="20"/>
          <w:color w:val="auto"/>
        </w:rPr>
      </w:pPr>
    </w:p>
    <w:p>
      <w:pPr>
        <w:sectPr>
          <w:pgSz w:w="11900" w:h="16838" w:orient="portrait"/>
          <w:cols w:equalWidth="0" w:num="2">
            <w:col w:w="6360" w:space="280"/>
            <w:col w:w="3320"/>
          </w:cols>
          <w:pgMar w:left="580" w:top="131" w:right="1359" w:bottom="1440" w:gutter="0" w:footer="0" w:header="0"/>
          <w:type w:val="continuous"/>
        </w:sectPr>
      </w:pPr>
    </w:p>
    <w:p>
      <w:pPr>
        <w:spacing w:after="0" w:line="7"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i w:val="1"/>
          <w:iCs w:val="1"/>
          <w:color w:val="auto"/>
        </w:rPr>
        <w:t>Consideration of Say on Pay Votes</w:t>
      </w:r>
      <w:r>
        <w:rPr>
          <w:rFonts w:ascii="Arial" w:cs="Arial" w:eastAsia="Arial" w:hAnsi="Arial"/>
          <w:sz w:val="18"/>
          <w:szCs w:val="18"/>
          <w:color w:val="auto"/>
        </w:rPr>
        <w:t>. We are pleased that stockholders representing over 99% of the shares voted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Say on Pay Proposal at the 2020 annual meeting expressed their support and approval of our NEO compensation described in our 2020 proxy statement. Following the compensation committee’s review and consideration of this stockholder support, as well as the other factors discussed in more detail in “—Our Annual Compensation-Setting Process” below, the compensation committee determined to make no changes to its executive compensation program as a direct result of stockholder feedback. During 2019, we established our stockholder engagement program and sought feedback from stockholders on a range of topics, including executive compensation. We continued our stockholder engagement program in 2020 and sought feedback from stockholders representing approximately 63% of the Company’s outstanding common stock. See Stockholder Engagement earlier in this proxy statement for a description of our program.</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Our executive compensation plans and programs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Short-Term Incentive Plan (“STIP”) for employees. Our compensation committee is also responsible for recommending to the full Board of Directors, the compensation of our CEO and determining and approving the compensation of other executive officers, as recommended by our CEO and Chief People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 These approvals include reviewing and setting performance goals under the STIP and Long-Term Incentive Program (“LTIP”), and reviewing and approving awards (including the terms and conditions of such awards) under the STIP and LTIP for all executive officers (other than the CEO).</w:t>
      </w:r>
    </w:p>
    <w:p>
      <w:pPr>
        <w:spacing w:after="0" w:line="31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sz w:val="1"/>
          <w:szCs w:val="1"/>
          <w:color w:val="auto"/>
        </w:rPr>
        <w:drawing>
          <wp:inline distT="0" distB="0" distL="0" distR="0">
            <wp:extent cx="299720" cy="2400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Independent Members of the Board of Directors</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Independent members of our Board assist in setting executive compensation by assessing the performance of the CEO, reviewing the compensation committee’s assessment of the CEO’s performance and approving the compensation of the CEO based on the recommendation of the compensation committee. During the temporary closure of the Company’s stores in response to the pandemic in the spring of 2020, the independent members of the Board also discussed and approved the temporary voluntary reductions in base salaries for the CEO and other executive officers until such time as it was determined to re-instate such salaries at their prior levels based on the Company’s performance once stores were safely re-opened in June.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In setting executive compensation for 2020, our CEO and our Chief People Officer worked closely with the compensation committee in managing the executive compensation program, along with gathering information for and attending meetings of the compensation committee. Our CEO made recommendations to the compensation committee regarding compensation for the executive officers (other than himself), including base salary amounts and equity compensation grants. Our CEO and CFO also provided input in discussions regarding the development of annual Company performance goals for which annual incentive payouts under our STIP and PSU awards under LTIP could be earned. Additionally, during this uniquely challenging year, our executive officers and the CEO worked closely with the independent members of the Board and kept them up to date with respect to executive officer voluntary salary reductions as Company stores were temporarily closed to the public and significant portion of employees were furloughed for the same time period.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The compensation committee has engaged Meridian Compensation Partners, LLC (“Meridian”) to assist the Committee regarding various executive compensation matters and to serve as its independent compensation consulting firm. In connection with this appointment, in 2020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 Meridian assists the compensation committee in reviewing the effectiveness and competitiveness of the Company’s executive compensation program, including an annual risk assessment of the program, and makes recommendations consistent with the Company’s pay philosophy, market trends, legal and regulatory considerations and the Company’s overall business needs. In addition to providing advice regarding executive compensation best practices, Meridian also provides market data as a background for recommendations regarding CEO and other executive base salary and annual and long-term incentives.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We aim to compensate our executive officers competitively. To gain a general understanding of current market compensation practices, our compensation committee reviewed the findings as presented in a market study conducted by Meridian in September 2019. The external market data reviewed included proxy data from the peer group companies described below and retail industry survey data. The peer group reflects a mix of industries that together represent our business and scope of operations (as measured by annual revenue, market capitalization and number of employees). At the time of the selection of the peer group, the Company was near the 43rd percentile of the peer group in revenue and 37th percentile in market capitalization. We believe it is appropriate for the peer group to reflect both the retail component as well as the health care aspects of our business. The data from the peer group below was reviewed in connection with compensation decisions for 2020. The peer group consisted of the following 15 companies: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7"/>
              </w:rPr>
              <w:t>Align Technology,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Merit Medical Systems,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At Home Group,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Ollie’s Bargain Outlet Holdings,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8"/>
              </w:rPr>
              <w:t>Caleres,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8"/>
              </w:rPr>
              <w:t>Oxford Industries,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Columbia Sportswear Co.</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Surgery Partners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Dentsply Sirona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The Container Store Group,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7"/>
              </w:rPr>
              <w:t>Five Below,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The Cooper Companies,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Floor &amp; Decor Holdings, Inc.</w:t>
            </w:r>
          </w:p>
        </w:tc>
        <w:tc>
          <w:tcPr>
            <w:tcW w:w="3740" w:type="dxa"/>
            <w:vAlign w:val="bottom"/>
          </w:tcPr>
          <w:p>
            <w:pPr>
              <w:ind w:left="920"/>
              <w:spacing w:after="0"/>
              <w:rPr>
                <w:sz w:val="20"/>
                <w:szCs w:val="20"/>
                <w:color w:val="auto"/>
              </w:rPr>
            </w:pPr>
            <w:r>
              <w:rPr>
                <w:rFonts w:ascii="Arial" w:cs="Arial" w:eastAsia="Arial" w:hAnsi="Arial"/>
                <w:sz w:val="18"/>
                <w:szCs w:val="18"/>
                <w:color w:val="auto"/>
                <w:w w:val="98"/>
              </w:rPr>
              <w:t>West Pharmaceutical Services, Inc.</w:t>
            </w:r>
          </w:p>
        </w:tc>
      </w:tr>
      <w:tr>
        <w:trPr>
          <w:trHeight w:val="217"/>
        </w:trPr>
        <w:tc>
          <w:tcPr>
            <w:tcW w:w="3160" w:type="dxa"/>
            <w:vAlign w:val="bottom"/>
          </w:tcPr>
          <w:p>
            <w:pPr>
              <w:ind w:left="460"/>
              <w:spacing w:after="0"/>
              <w:rPr>
                <w:sz w:val="20"/>
                <w:szCs w:val="20"/>
                <w:color w:val="auto"/>
              </w:rPr>
            </w:pPr>
            <w:r>
              <w:rPr>
                <w:rFonts w:ascii="Arial" w:cs="Arial" w:eastAsia="Arial" w:hAnsi="Arial"/>
                <w:sz w:val="18"/>
                <w:szCs w:val="18"/>
                <w:color w:val="auto"/>
              </w:rPr>
              <w:t>ICU Medical, Inc.</w:t>
            </w:r>
          </w:p>
        </w:tc>
        <w:tc>
          <w:tcPr>
            <w:tcW w:w="3740" w:type="dxa"/>
            <w:vAlign w:val="bottom"/>
          </w:tcPr>
          <w:p>
            <w:pPr>
              <w:spacing w:after="0"/>
              <w:rPr>
                <w:sz w:val="18"/>
                <w:szCs w:val="18"/>
                <w:color w:val="auto"/>
              </w:rPr>
            </w:pPr>
          </w:p>
        </w:tc>
      </w:tr>
    </w:tbl>
    <w:p>
      <w:pPr>
        <w:spacing w:after="0" w:line="17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As more fully described below under “—Compensation Elements,” the compensation committee reviewed the compensation data provided by Meridian and set total compensation for our NEOs accordingly. The compensation committee did not</w:t>
      </w:r>
    </w:p>
    <w:p>
      <w:pPr>
        <w:spacing w:after="0" w:line="30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target a specific percentile with respect to the peer group in determining our NEOs’ total compensation, nor did it establish a prescribed mix of pay for our executives.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compensation (STIP); and (3) long-term incentive awards (LTIP). Each component is designed to be consistent with the Company’s compensation philosophy.</w:t>
      </w:r>
    </w:p>
    <w:p>
      <w:pPr>
        <w:spacing w:after="0" w:line="8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Each element of the compensation program complements the others and, together, these elements are intended to achieve the compensation committee’s principal compensation objectives. When decisions about compensation for an executive officer are made, the impact on the total value of all these elements of compensation for the individual is considered. For executives, the compensation committee reviews competitive market data and establishes target total direct compensation opportunities (</w:t>
      </w:r>
      <w:r>
        <w:rPr>
          <w:rFonts w:ascii="Arial" w:cs="Arial" w:eastAsia="Arial" w:hAnsi="Arial"/>
          <w:sz w:val="18"/>
          <w:szCs w:val="18"/>
          <w:i w:val="1"/>
          <w:iCs w:val="1"/>
          <w:color w:val="auto"/>
        </w:rPr>
        <w:t>i.e</w:t>
      </w:r>
      <w:r>
        <w:rPr>
          <w:rFonts w:ascii="Arial" w:cs="Arial" w:eastAsia="Arial" w:hAnsi="Arial"/>
          <w:sz w:val="18"/>
          <w:szCs w:val="18"/>
          <w:color w:val="auto"/>
        </w:rPr>
        <w:t>., salary, annual incentive and annual long-term incentive targets) based on the following factors: corporate performance, competitive market data and the circumstances surrounding the executive’s initial hiring or promotion to a position with increased responsibilities.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believe it is important to provide a competitive fixed level of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 Base salary increases were approved for 2020 as outlined below.</w:t>
      </w:r>
    </w:p>
    <w:p>
      <w:pPr>
        <w:spacing w:after="0" w:line="12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340" w:type="dxa"/>
            <w:vAlign w:val="bottom"/>
            <w:tcBorders>
              <w:top w:val="single" w:sz="8" w:color="3C5896"/>
              <w:right w:val="single" w:sz="8" w:color="9EACCA"/>
            </w:tcBorders>
            <w:shd w:val="clear" w:color="auto" w:fill="3C5896"/>
          </w:tcPr>
          <w:p>
            <w:pPr>
              <w:spacing w:after="0"/>
              <w:rPr>
                <w:sz w:val="17"/>
                <w:szCs w:val="17"/>
                <w:color w:val="auto"/>
              </w:rPr>
            </w:pPr>
          </w:p>
        </w:tc>
        <w:tc>
          <w:tcPr>
            <w:tcW w:w="116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060" w:type="dxa"/>
            <w:vAlign w:val="bottom"/>
            <w:tcBorders>
              <w:top w:val="single" w:sz="8" w:color="3C5896"/>
              <w:right w:val="single" w:sz="8" w:color="9EACCA"/>
            </w:tcBorders>
            <w:shd w:val="clear" w:color="auto" w:fill="3C5896"/>
          </w:tcPr>
          <w:p>
            <w:pPr>
              <w:spacing w:after="0"/>
              <w:rPr>
                <w:sz w:val="17"/>
                <w:szCs w:val="17"/>
                <w:color w:val="auto"/>
              </w:rPr>
            </w:pPr>
          </w:p>
        </w:tc>
        <w:tc>
          <w:tcPr>
            <w:tcW w:w="116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12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6"/>
              </w:rPr>
              <w:t>Original</w:t>
            </w:r>
          </w:p>
        </w:tc>
        <w:tc>
          <w:tcPr>
            <w:tcW w:w="40" w:type="dxa"/>
            <w:vAlign w:val="bottom"/>
            <w:tcBorders>
              <w:top w:val="single" w:sz="8" w:color="3C5896"/>
            </w:tcBorders>
            <w:shd w:val="clear" w:color="auto" w:fill="3C5896"/>
          </w:tcPr>
          <w:p>
            <w:pPr>
              <w:spacing w:after="0"/>
              <w:rPr>
                <w:sz w:val="17"/>
                <w:szCs w:val="17"/>
                <w:color w:val="auto"/>
              </w:rPr>
            </w:pPr>
          </w:p>
        </w:tc>
        <w:tc>
          <w:tcPr>
            <w:tcW w:w="1180" w:type="dxa"/>
            <w:vAlign w:val="bottom"/>
            <w:tcBorders>
              <w:top w:val="single" w:sz="8" w:color="3C5896"/>
              <w:right w:val="single" w:sz="8" w:color="3C5896"/>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Actual</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Effective</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Effective</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2019</w:t>
            </w: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w w:val="96"/>
              </w:rPr>
              <w:t>Percentage</w:t>
            </w:r>
          </w:p>
        </w:tc>
        <w:tc>
          <w:tcPr>
            <w:tcW w:w="11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6"/>
              </w:rPr>
              <w:t>Date for</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6"/>
              </w:rPr>
              <w:t>Date for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vMerge w:val="restart"/>
            <w:shd w:val="clear" w:color="auto" w:fill="3C5896"/>
          </w:tcPr>
          <w:p>
            <w:pPr>
              <w:ind w:left="580"/>
              <w:spacing w:after="0"/>
              <w:rPr>
                <w:sz w:val="20"/>
                <w:szCs w:val="20"/>
                <w:color w:val="auto"/>
              </w:rPr>
            </w:pPr>
            <w:r>
              <w:rPr>
                <w:rFonts w:ascii="Arial" w:cs="Arial" w:eastAsia="Arial" w:hAnsi="Arial"/>
                <w:sz w:val="18"/>
                <w:szCs w:val="18"/>
                <w:b w:val="1"/>
                <w:bCs w:val="1"/>
                <w:color w:val="FFFFFF"/>
              </w:rPr>
              <w:t>Named Executive Officer</w:t>
            </w:r>
          </w:p>
        </w:tc>
        <w:tc>
          <w:tcPr>
            <w:tcW w:w="116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vMerge w:val="continue"/>
            <w:shd w:val="clear" w:color="auto" w:fill="3C5896"/>
          </w:tcPr>
          <w:p>
            <w:pPr>
              <w:spacing w:after="0"/>
              <w:rPr>
                <w:sz w:val="16"/>
                <w:szCs w:val="16"/>
                <w:color w:val="auto"/>
              </w:rPr>
            </w:pPr>
          </w:p>
        </w:tc>
        <w:tc>
          <w:tcPr>
            <w:tcW w:w="116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Base Salary</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340" w:type="dxa"/>
            <w:vAlign w:val="bottom"/>
            <w:tcBorders>
              <w:right w:val="single" w:sz="8" w:color="9EACCA"/>
            </w:tcBorders>
            <w:vMerge w:val="continue"/>
            <w:shd w:val="clear" w:color="auto" w:fill="3C5896"/>
          </w:tcPr>
          <w:p>
            <w:pPr>
              <w:spacing w:after="0"/>
              <w:rPr>
                <w:sz w:val="21"/>
                <w:szCs w:val="21"/>
                <w:color w:val="auto"/>
              </w:rPr>
            </w:pPr>
          </w:p>
        </w:tc>
        <w:tc>
          <w:tcPr>
            <w:tcW w:w="11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21"/>
                <w:szCs w:val="21"/>
                <w:color w:val="auto"/>
              </w:rPr>
            </w:pPr>
          </w:p>
        </w:tc>
        <w:tc>
          <w:tcPr>
            <w:tcW w:w="1060" w:type="dxa"/>
            <w:vAlign w:val="bottom"/>
            <w:tcBorders>
              <w:right w:val="single" w:sz="8" w:color="9EACCA"/>
            </w:tcBorders>
            <w:shd w:val="clear" w:color="auto" w:fill="3C5896"/>
          </w:tcPr>
          <w:p>
            <w:pPr>
              <w:jc w:val="right"/>
              <w:ind w:right="110"/>
              <w:spacing w:after="0"/>
              <w:rPr>
                <w:sz w:val="20"/>
                <w:szCs w:val="20"/>
                <w:color w:val="auto"/>
              </w:rPr>
            </w:pPr>
            <w:r>
              <w:rPr>
                <w:rFonts w:ascii="Arial" w:cs="Arial" w:eastAsia="Arial" w:hAnsi="Arial"/>
                <w:sz w:val="18"/>
                <w:szCs w:val="18"/>
                <w:b w:val="1"/>
                <w:bCs w:val="1"/>
                <w:color w:val="FFFFFF"/>
              </w:rPr>
              <w:t>Increase</w:t>
            </w:r>
          </w:p>
        </w:tc>
        <w:tc>
          <w:tcPr>
            <w:tcW w:w="11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21"/>
                <w:szCs w:val="21"/>
                <w:color w:val="auto"/>
              </w:rPr>
            </w:pPr>
          </w:p>
        </w:tc>
        <w:tc>
          <w:tcPr>
            <w:tcW w:w="11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Increase</w:t>
            </w:r>
          </w:p>
        </w:tc>
        <w:tc>
          <w:tcPr>
            <w:tcW w:w="40" w:type="dxa"/>
            <w:vAlign w:val="bottom"/>
            <w:shd w:val="clear" w:color="auto" w:fill="3C5896"/>
          </w:tcPr>
          <w:p>
            <w:pPr>
              <w:spacing w:after="0"/>
              <w:rPr>
                <w:sz w:val="21"/>
                <w:szCs w:val="21"/>
                <w:color w:val="auto"/>
              </w:rPr>
            </w:pPr>
          </w:p>
        </w:tc>
        <w:tc>
          <w:tcPr>
            <w:tcW w:w="118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Increase</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$927,000</w:t>
            </w:r>
          </w:p>
        </w:tc>
        <w:tc>
          <w:tcPr>
            <w:tcW w:w="1100" w:type="dxa"/>
            <w:vAlign w:val="bottom"/>
            <w:tcBorders>
              <w:right w:val="single" w:sz="8" w:color="9EACCA"/>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$955,000</w:t>
            </w:r>
          </w:p>
        </w:tc>
        <w:tc>
          <w:tcPr>
            <w:tcW w:w="40" w:type="dxa"/>
            <w:vAlign w:val="bottom"/>
          </w:tcPr>
          <w:p>
            <w:pPr>
              <w:spacing w:after="0"/>
              <w:rPr>
                <w:sz w:val="21"/>
                <w:szCs w:val="21"/>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tcPr>
          <w:p>
            <w:pPr>
              <w:spacing w:after="0"/>
              <w:rPr>
                <w:sz w:val="21"/>
                <w:szCs w:val="21"/>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3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$450,000</w:t>
            </w:r>
          </w:p>
        </w:tc>
        <w:tc>
          <w:tcPr>
            <w:tcW w:w="1100" w:type="dxa"/>
            <w:vAlign w:val="bottom"/>
            <w:tcBorders>
              <w:right w:val="single" w:sz="8" w:color="9EACCA"/>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11.1%</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CCCC"/>
          </w:tcPr>
          <w:p>
            <w:pPr>
              <w:spacing w:after="0"/>
              <w:rPr>
                <w:sz w:val="22"/>
                <w:szCs w:val="22"/>
                <w:color w:val="auto"/>
              </w:rPr>
            </w:pPr>
          </w:p>
        </w:tc>
        <w:tc>
          <w:tcPr>
            <w:tcW w:w="11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shd w:val="clear" w:color="auto" w:fill="CCCCCC"/>
          </w:tcPr>
          <w:p>
            <w:pPr>
              <w:spacing w:after="0"/>
              <w:rPr>
                <w:sz w:val="22"/>
                <w:szCs w:val="22"/>
                <w:color w:val="auto"/>
              </w:rPr>
            </w:pPr>
          </w:p>
        </w:tc>
        <w:tc>
          <w:tcPr>
            <w:tcW w:w="118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1100" w:type="dxa"/>
            <w:vAlign w:val="bottom"/>
            <w:tcBorders>
              <w:right w:val="single" w:sz="8" w:color="9EACCA"/>
            </w:tcBorders>
            <w:gridSpan w:val="2"/>
          </w:tcPr>
          <w:p>
            <w:pPr>
              <w:jc w:val="right"/>
              <w:ind w:right="150"/>
              <w:spacing w:after="0"/>
              <w:rPr>
                <w:sz w:val="20"/>
                <w:szCs w:val="20"/>
                <w:color w:val="auto"/>
              </w:rPr>
            </w:pPr>
            <w:r>
              <w:rPr>
                <w:rFonts w:ascii="Arial" w:cs="Arial" w:eastAsia="Arial" w:hAnsi="Arial"/>
                <w:sz w:val="18"/>
                <w:szCs w:val="18"/>
                <w:color w:val="auto"/>
              </w:rPr>
              <w:t>9.3%</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1"/>
                <w:szCs w:val="21"/>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tcPr>
          <w:p>
            <w:pPr>
              <w:spacing w:after="0"/>
              <w:rPr>
                <w:sz w:val="21"/>
                <w:szCs w:val="21"/>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3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$300,000</w:t>
            </w:r>
          </w:p>
        </w:tc>
        <w:tc>
          <w:tcPr>
            <w:tcW w:w="1100" w:type="dxa"/>
            <w:vAlign w:val="bottom"/>
            <w:tcBorders>
              <w:right w:val="single" w:sz="8" w:color="9EACCA"/>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16.7%</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CCCC"/>
          </w:tcPr>
          <w:p>
            <w:pPr>
              <w:spacing w:after="0"/>
              <w:rPr>
                <w:sz w:val="22"/>
                <w:szCs w:val="22"/>
                <w:color w:val="auto"/>
              </w:rPr>
            </w:pPr>
          </w:p>
        </w:tc>
        <w:tc>
          <w:tcPr>
            <w:tcW w:w="11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CCCC"/>
          </w:tcPr>
          <w:p>
            <w:pPr>
              <w:spacing w:after="0"/>
              <w:rPr>
                <w:sz w:val="22"/>
                <w:szCs w:val="22"/>
                <w:color w:val="auto"/>
              </w:rPr>
            </w:pPr>
          </w:p>
        </w:tc>
        <w:tc>
          <w:tcPr>
            <w:tcW w:w="118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w w:val="98"/>
              </w:rPr>
              <w:t>January 2020</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24"/>
                <w:szCs w:val="24"/>
                <w:color w:val="auto"/>
              </w:rPr>
            </w:pPr>
          </w:p>
        </w:tc>
        <w:tc>
          <w:tcPr>
            <w:tcW w:w="1060" w:type="dxa"/>
            <w:vAlign w:val="bottom"/>
            <w:tcBorders>
              <w:right w:val="single" w:sz="8" w:color="9EACCA"/>
            </w:tcBorders>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24"/>
                <w:szCs w:val="24"/>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34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06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1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141"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As reflected in the table above, in December 2019, the compensation committee approved an adjustment to the base salary of Mr. Brandman from $300,000 to $350,000 effective January 2020 to reflect his role change to General Counsel and Corporate Secretary earlier in 2019. The compensation committee also approved a salary of $320,000 for Ms. Blackwood when she joined the Company in December 2019. In February 2020, the compensation committee approved adjustments to the base salaries of Messrs. Fahs, Moore and Clark, which were intended to be effective in April 2020.</w:t>
      </w:r>
    </w:p>
    <w:p>
      <w:pPr>
        <w:spacing w:after="0" w:line="10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However, on March 25, 2020, in light of the unprecedented impact of COVID-19 and the Company’s temporary closure of its stores to the public, the independent members of the Board also discussed and approved the voluntary reduction in base salaries for the NEOs by 30% and a reduction in the base salary for the CEO to $1. Upon the reopening of the Company’s stores, our executive officers returned to full pay in June 2020 and the previously approved salary increases became effective on July 5, 2020. Eligible associates who were impacted with a salary reduction or delayed salary increase due to the pandemic in spring 2020 also received salary increases effective in July 2020.</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Cash Incentive Program—Short Term Incentive Plan (STIP)</w:t>
      </w:r>
    </w:p>
    <w:p>
      <w:pPr>
        <w:spacing w:after="0" w:line="139"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 fiscal year 2020, our executives participated in the STIP, which is an annual cash incentive program. The primary purpose of the STIP is to focus management on key measures that drive financial performance and to provide competitive bonus opportunities tied to the achievement of our annual financial and strategic growth objectives.</w:t>
      </w:r>
    </w:p>
    <w:p>
      <w:pPr>
        <w:spacing w:after="0" w:line="317"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sz w:val="1"/>
          <w:szCs w:val="1"/>
          <w:color w:val="auto"/>
        </w:rPr>
        <w:drawing>
          <wp:inline distT="0" distB="0" distL="0" distR="0">
            <wp:extent cx="299720" cy="24003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We believe that tying NEO bonuses to Company performance goals encourages collaboration across the executive leadership team. For fiscal 2020, STIP awards were based on achievement of a STIP Adjusted EBITDA goal (with Adjusted EBITDA as defined on Appendix A plus STIP expense and change in the margin on unearned revenue). In addition, beginning with the STIP and LTIP awards granted in fiscal 2020, the Company updated its definition of certain non-GAAP measures, including Adjusted EBITDA. Adjusted EBITDA no longer excludes new store pre-opening expenses and non-cash rent. The compensation committee has reserved the ability to adjust the actual Adjusted EBITDA results to exclude the effects of unplanned or unusual items (whether favorable or unfavorable).</w:t>
      </w:r>
    </w:p>
    <w:p>
      <w:pPr>
        <w:spacing w:after="0" w:line="95"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The compensation committee approved the STIP design, targets and Adjusted EBITDA goal in February 2020 as part of the annual compensation setting process. Each NEO’s target annual bonus under the STIP is expressed as a percentage of base salary with the targets ranging from 50% to 100% for 2020. Actual STIP awards were calculated by multiplying each NEO’s base salary by his or her payout percentage. For 2020, the STIP included threshold, target, and maximum levels of performance and corresponding payouts. Awards could be earned at more or less than target based on the pre-established scale set forth in the following table:</w:t>
      </w:r>
    </w:p>
    <w:p>
      <w:pPr>
        <w:spacing w:after="0" w:line="104" w:lineRule="exact"/>
        <w:rPr>
          <w:sz w:val="20"/>
          <w:szCs w:val="20"/>
          <w:color w:val="auto"/>
        </w:rPr>
      </w:pPr>
    </w:p>
    <w:tbl>
      <w:tblPr>
        <w:tblLayout w:type="fixed"/>
        <w:tblInd w:w="770" w:type="dxa"/>
        <w:tblCellMar>
          <w:top w:w="0" w:type="dxa"/>
          <w:left w:w="0" w:type="dxa"/>
          <w:bottom w:w="0" w:type="dxa"/>
          <w:right w:w="0" w:type="dxa"/>
        </w:tblCellMar>
      </w:tblPr>
      <w:tr>
        <w:trPr>
          <w:trHeight w:val="220"/>
        </w:trPr>
        <w:tc>
          <w:tcPr>
            <w:tcW w:w="4620" w:type="dxa"/>
            <w:vAlign w:val="bottom"/>
            <w:tcBorders>
              <w:top w:val="single" w:sz="8" w:color="3C5896"/>
              <w:left w:val="single" w:sz="8" w:color="3C5896"/>
              <w:right w:val="single" w:sz="8" w:color="9EACCA"/>
            </w:tcBorders>
            <w:shd w:val="clear" w:color="auto" w:fill="3C5896"/>
          </w:tcPr>
          <w:p>
            <w:pPr>
              <w:spacing w:after="0"/>
              <w:rPr>
                <w:sz w:val="19"/>
                <w:szCs w:val="19"/>
                <w:color w:val="auto"/>
              </w:rPr>
            </w:pPr>
          </w:p>
        </w:tc>
        <w:tc>
          <w:tcPr>
            <w:tcW w:w="2720" w:type="dxa"/>
            <w:vAlign w:val="bottom"/>
            <w:tcBorders>
              <w:top w:val="single" w:sz="8" w:color="3C5896"/>
              <w:right w:val="single" w:sz="8" w:color="9EACCA"/>
            </w:tcBorders>
            <w:shd w:val="clear" w:color="auto" w:fill="3C5896"/>
          </w:tcPr>
          <w:p>
            <w:pPr>
              <w:jc w:val="center"/>
              <w:spacing w:after="0" w:line="220" w:lineRule="exact"/>
              <w:rPr>
                <w:sz w:val="20"/>
                <w:szCs w:val="20"/>
                <w:color w:val="auto"/>
              </w:rPr>
            </w:pPr>
            <w:r>
              <w:rPr>
                <w:rFonts w:ascii="Arial" w:cs="Arial" w:eastAsia="Arial" w:hAnsi="Arial"/>
                <w:sz w:val="17"/>
                <w:szCs w:val="17"/>
                <w:b w:val="1"/>
                <w:bCs w:val="1"/>
                <w:color w:val="FFFFFF"/>
              </w:rPr>
              <w:t>STIP Adjusted EBITDA</w:t>
            </w:r>
            <w:r>
              <w:rPr>
                <w:rFonts w:ascii="Arial" w:cs="Arial" w:eastAsia="Arial" w:hAnsi="Arial"/>
                <w:sz w:val="25"/>
                <w:szCs w:val="25"/>
                <w:b w:val="1"/>
                <w:bCs w:val="1"/>
                <w:color w:val="FFFFFF"/>
                <w:vertAlign w:val="superscript"/>
              </w:rPr>
              <w:t>(1)</w:t>
            </w:r>
          </w:p>
        </w:tc>
        <w:tc>
          <w:tcPr>
            <w:tcW w:w="40" w:type="dxa"/>
            <w:vAlign w:val="bottom"/>
            <w:tcBorders>
              <w:top w:val="single" w:sz="8" w:color="3C5896"/>
            </w:tcBorders>
            <w:shd w:val="clear" w:color="auto" w:fill="3C5896"/>
          </w:tcPr>
          <w:p>
            <w:pPr>
              <w:spacing w:after="0"/>
              <w:rPr>
                <w:sz w:val="19"/>
                <w:szCs w:val="19"/>
                <w:color w:val="auto"/>
              </w:rPr>
            </w:pPr>
          </w:p>
        </w:tc>
        <w:tc>
          <w:tcPr>
            <w:tcW w:w="1820" w:type="dxa"/>
            <w:vAlign w:val="bottom"/>
            <w:tcBorders>
              <w:top w:val="single" w:sz="8" w:color="3C5896"/>
              <w:right w:val="single" w:sz="8" w:color="3C5896"/>
            </w:tcBorders>
            <w:shd w:val="clear" w:color="auto" w:fill="3C5896"/>
          </w:tcPr>
          <w:p>
            <w:pPr>
              <w:jc w:val="right"/>
              <w:ind w:right="590"/>
              <w:spacing w:after="0"/>
              <w:rPr>
                <w:sz w:val="20"/>
                <w:szCs w:val="20"/>
                <w:color w:val="auto"/>
              </w:rPr>
            </w:pPr>
            <w:r>
              <w:rPr>
                <w:rFonts w:ascii="Arial" w:cs="Arial" w:eastAsia="Arial" w:hAnsi="Arial"/>
                <w:sz w:val="18"/>
                <w:szCs w:val="18"/>
                <w:b w:val="1"/>
                <w:bCs w:val="1"/>
                <w:color w:val="FFFFFF"/>
              </w:rPr>
              <w:t>Payout</w:t>
            </w:r>
          </w:p>
        </w:tc>
      </w:tr>
      <w:tr>
        <w:trPr>
          <w:trHeight w:val="252"/>
        </w:trPr>
        <w:tc>
          <w:tcPr>
            <w:tcW w:w="4620" w:type="dxa"/>
            <w:vAlign w:val="bottom"/>
            <w:tcBorders>
              <w:left w:val="single" w:sz="8" w:color="3C5896"/>
              <w:right w:val="single" w:sz="8" w:color="9EACCA"/>
            </w:tcBorders>
            <w:shd w:val="clear" w:color="auto" w:fill="3C5896"/>
          </w:tcPr>
          <w:p>
            <w:pPr>
              <w:spacing w:after="0"/>
              <w:rPr>
                <w:sz w:val="21"/>
                <w:szCs w:val="21"/>
                <w:color w:val="auto"/>
              </w:rPr>
            </w:pPr>
          </w:p>
        </w:tc>
        <w:tc>
          <w:tcPr>
            <w:tcW w:w="2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($million)</w:t>
            </w:r>
          </w:p>
        </w:tc>
        <w:tc>
          <w:tcPr>
            <w:tcW w:w="40" w:type="dxa"/>
            <w:vAlign w:val="bottom"/>
            <w:shd w:val="clear" w:color="auto" w:fill="3C5896"/>
          </w:tcPr>
          <w:p>
            <w:pPr>
              <w:spacing w:after="0"/>
              <w:rPr>
                <w:sz w:val="21"/>
                <w:szCs w:val="21"/>
                <w:color w:val="auto"/>
              </w:rPr>
            </w:pPr>
          </w:p>
        </w:tc>
        <w:tc>
          <w:tcPr>
            <w:tcW w:w="1820" w:type="dxa"/>
            <w:vAlign w:val="bottom"/>
            <w:tcBorders>
              <w:right w:val="single" w:sz="8" w:color="3C5896"/>
            </w:tcBorders>
            <w:shd w:val="clear" w:color="auto" w:fill="3C5896"/>
          </w:tcPr>
          <w:p>
            <w:pPr>
              <w:jc w:val="right"/>
              <w:ind w:right="330"/>
              <w:spacing w:after="0"/>
              <w:rPr>
                <w:sz w:val="20"/>
                <w:szCs w:val="20"/>
                <w:color w:val="auto"/>
              </w:rPr>
            </w:pPr>
            <w:r>
              <w:rPr>
                <w:rFonts w:ascii="Arial" w:cs="Arial" w:eastAsia="Arial" w:hAnsi="Arial"/>
                <w:sz w:val="18"/>
                <w:szCs w:val="18"/>
                <w:b w:val="1"/>
                <w:bCs w:val="1"/>
                <w:color w:val="FFFFFF"/>
              </w:rPr>
              <w:t>(% of Target)</w:t>
            </w:r>
          </w:p>
        </w:tc>
      </w:tr>
      <w:tr>
        <w:trPr>
          <w:trHeight w:val="250"/>
        </w:trPr>
        <w:tc>
          <w:tcPr>
            <w:tcW w:w="46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Maximum</w:t>
            </w:r>
          </w:p>
        </w:tc>
        <w:tc>
          <w:tcPr>
            <w:tcW w:w="27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6"/>
              </w:rPr>
              <w:t>$ 255.7</w:t>
            </w:r>
          </w:p>
        </w:tc>
        <w:tc>
          <w:tcPr>
            <w:tcW w:w="1860" w:type="dxa"/>
            <w:vAlign w:val="bottom"/>
            <w:tcBorders>
              <w:right w:val="single" w:sz="8" w:color="3C5896"/>
            </w:tcBorders>
            <w:gridSpan w:val="2"/>
          </w:tcPr>
          <w:p>
            <w:pPr>
              <w:jc w:val="right"/>
              <w:ind w:right="470"/>
              <w:spacing w:after="0"/>
              <w:rPr>
                <w:sz w:val="20"/>
                <w:szCs w:val="20"/>
                <w:color w:val="auto"/>
              </w:rPr>
            </w:pPr>
            <w:r>
              <w:rPr>
                <w:rFonts w:ascii="Arial" w:cs="Arial" w:eastAsia="Arial" w:hAnsi="Arial"/>
                <w:sz w:val="18"/>
                <w:szCs w:val="18"/>
                <w:color w:val="auto"/>
              </w:rPr>
              <w:t>200%</w:t>
            </w:r>
          </w:p>
        </w:tc>
      </w:tr>
      <w:tr>
        <w:trPr>
          <w:trHeight w:val="277"/>
        </w:trPr>
        <w:tc>
          <w:tcPr>
            <w:tcW w:w="46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Target</w:t>
            </w:r>
          </w:p>
        </w:tc>
        <w:tc>
          <w:tcPr>
            <w:tcW w:w="27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6"/>
              </w:rPr>
              <w:t>$ 234.6</w:t>
            </w:r>
          </w:p>
        </w:tc>
        <w:tc>
          <w:tcPr>
            <w:tcW w:w="1860" w:type="dxa"/>
            <w:vAlign w:val="bottom"/>
            <w:tcBorders>
              <w:right w:val="single" w:sz="8" w:color="3C5896"/>
            </w:tcBorders>
            <w:gridSpan w:val="2"/>
            <w:shd w:val="clear" w:color="auto" w:fill="CCCCCC"/>
          </w:tcPr>
          <w:p>
            <w:pPr>
              <w:jc w:val="right"/>
              <w:ind w:right="470"/>
              <w:spacing w:after="0"/>
              <w:rPr>
                <w:sz w:val="20"/>
                <w:szCs w:val="20"/>
                <w:color w:val="auto"/>
              </w:rPr>
            </w:pPr>
            <w:r>
              <w:rPr>
                <w:rFonts w:ascii="Arial" w:cs="Arial" w:eastAsia="Arial" w:hAnsi="Arial"/>
                <w:sz w:val="18"/>
                <w:szCs w:val="18"/>
                <w:color w:val="auto"/>
              </w:rPr>
              <w:t>100%</w:t>
            </w:r>
          </w:p>
        </w:tc>
      </w:tr>
      <w:tr>
        <w:trPr>
          <w:trHeight w:val="263"/>
        </w:trPr>
        <w:tc>
          <w:tcPr>
            <w:tcW w:w="46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Threshold</w:t>
            </w:r>
          </w:p>
        </w:tc>
        <w:tc>
          <w:tcPr>
            <w:tcW w:w="27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6"/>
              </w:rPr>
              <w:t>$ 211.1</w:t>
            </w:r>
          </w:p>
        </w:tc>
        <w:tc>
          <w:tcPr>
            <w:tcW w:w="1860" w:type="dxa"/>
            <w:vAlign w:val="bottom"/>
            <w:tcBorders>
              <w:right w:val="single" w:sz="8" w:color="3C5896"/>
            </w:tcBorders>
            <w:gridSpan w:val="2"/>
          </w:tcPr>
          <w:p>
            <w:pPr>
              <w:jc w:val="right"/>
              <w:ind w:right="470"/>
              <w:spacing w:after="0"/>
              <w:rPr>
                <w:sz w:val="20"/>
                <w:szCs w:val="20"/>
                <w:color w:val="auto"/>
              </w:rPr>
            </w:pPr>
            <w:r>
              <w:rPr>
                <w:rFonts w:ascii="Arial" w:cs="Arial" w:eastAsia="Arial" w:hAnsi="Arial"/>
                <w:sz w:val="18"/>
                <w:szCs w:val="18"/>
                <w:color w:val="auto"/>
              </w:rPr>
              <w:t>50%</w:t>
            </w:r>
          </w:p>
        </w:tc>
      </w:tr>
      <w:tr>
        <w:trPr>
          <w:trHeight w:val="284"/>
        </w:trPr>
        <w:tc>
          <w:tcPr>
            <w:tcW w:w="4620" w:type="dxa"/>
            <w:vAlign w:val="bottom"/>
            <w:tcBorders>
              <w:left w:val="single" w:sz="8" w:color="3C5896"/>
              <w:bottom w:val="single" w:sz="8" w:color="CCCCCC"/>
              <w:right w:val="single" w:sz="8" w:color="9EACCA"/>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Actual</w:t>
            </w:r>
          </w:p>
        </w:tc>
        <w:tc>
          <w:tcPr>
            <w:tcW w:w="272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6"/>
              </w:rPr>
              <w:t>$ 230.5</w:t>
            </w:r>
          </w:p>
        </w:tc>
        <w:tc>
          <w:tcPr>
            <w:tcW w:w="1860" w:type="dxa"/>
            <w:vAlign w:val="bottom"/>
            <w:tcBorders>
              <w:bottom w:val="single" w:sz="8" w:color="CCCCCC"/>
              <w:right w:val="single" w:sz="8" w:color="3C5896"/>
            </w:tcBorders>
            <w:gridSpan w:val="2"/>
            <w:shd w:val="clear" w:color="auto" w:fill="CCCCCC"/>
          </w:tcPr>
          <w:p>
            <w:pPr>
              <w:jc w:val="right"/>
              <w:ind w:right="470"/>
              <w:spacing w:after="0"/>
              <w:rPr>
                <w:sz w:val="20"/>
                <w:szCs w:val="20"/>
                <w:color w:val="auto"/>
              </w:rPr>
            </w:pPr>
            <w:r>
              <w:rPr>
                <w:rFonts w:ascii="Arial" w:cs="Arial" w:eastAsia="Arial" w:hAnsi="Arial"/>
                <w:sz w:val="18"/>
                <w:szCs w:val="18"/>
                <w:b w:val="1"/>
                <w:bCs w:val="1"/>
                <w:color w:val="auto"/>
              </w:rPr>
              <w:t>91.22%</w:t>
            </w:r>
          </w:p>
        </w:tc>
      </w:tr>
      <w:tr>
        <w:trPr>
          <w:trHeight w:val="20"/>
        </w:trPr>
        <w:tc>
          <w:tcPr>
            <w:tcW w:w="46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27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820" w:type="dxa"/>
            <w:vAlign w:val="bottom"/>
            <w:tcBorders>
              <w:right w:val="single" w:sz="8" w:color="3C5896"/>
            </w:tcBorders>
            <w:shd w:val="clear" w:color="auto" w:fill="3C5896"/>
          </w:tcPr>
          <w:p>
            <w:pPr>
              <w:spacing w:after="0" w:line="20" w:lineRule="exact"/>
              <w:rPr>
                <w:sz w:val="1"/>
                <w:szCs w:val="1"/>
                <w:color w:val="auto"/>
              </w:rPr>
            </w:pPr>
          </w:p>
        </w:tc>
      </w:tr>
    </w:tbl>
    <w:p>
      <w:pPr>
        <w:spacing w:after="0" w:line="78" w:lineRule="exact"/>
        <w:rPr>
          <w:sz w:val="20"/>
          <w:szCs w:val="20"/>
          <w:color w:val="auto"/>
        </w:rPr>
      </w:pPr>
    </w:p>
    <w:p>
      <w:pPr>
        <w:ind w:left="1120" w:hanging="358"/>
        <w:spacing w:after="0" w:line="260"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See Appendix A to this proxy statement for an explanation of STIP Adjusted EBITDA and a reconciliation to the most directly comparable GAAP measure</w:t>
      </w:r>
    </w:p>
    <w:p>
      <w:pPr>
        <w:spacing w:after="0" w:line="74"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For performance percentages between the specified threshold, target, and maximum levels, payouts were interpolated on a straight-line basis.</w:t>
      </w:r>
    </w:p>
    <w:p>
      <w:pPr>
        <w:spacing w:after="0" w:line="7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For fiscal 2020, the Company’s STIP Adjusted EBITDA achieved was $230.5 million, resulting in a formulaic payout percentage of 91.22%.</w:t>
      </w:r>
    </w:p>
    <w:p>
      <w:pPr>
        <w:spacing w:after="0" w:line="89"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Pursuant to the STIP, the compensation committee has the ability to exercise positive or negative discretion and award a greater or lesser amount to our NEOs than the amount determined by the scale above if it determines that circumstances so warrant. The committee took into account the Company’s performance during an unprecedented and challenging year, especially the strong performance following the temporary store closures which were reflected in third quarter and fourth quarter 2020 results. As part of those considerations, the compensation committee used discretion to increase the incentive payout of STIP for executive officers by up to 8.78% to equal payment at 100% of STIP target. A discretionary bonus to provide a target STIP payout was also made to all eligible non-executive officer associates.</w:t>
      </w:r>
    </w:p>
    <w:p>
      <w:pPr>
        <w:spacing w:after="0" w:line="100"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The NEOs earned STIP awards for fiscal 2020 as follows, which are included in the “Non-Equity Incentive Plan Compensation” column of the “Summary Compensation Table” later in this proxy statement. The discretionary bonus payments are outlined in the STIP awards table below and are included in the “Bonus” column of the “Summary Compensation Table” later in this proxy statement.</w:t>
      </w:r>
    </w:p>
    <w:p>
      <w:pPr>
        <w:spacing w:after="0" w:line="118"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2220" w:type="dxa"/>
            <w:vAlign w:val="bottom"/>
            <w:tcBorders>
              <w:top w:val="single" w:sz="8" w:color="3C5896"/>
              <w:left w:val="single" w:sz="8" w:color="3C5896"/>
              <w:right w:val="single" w:sz="8" w:color="9EACCA"/>
            </w:tcBorders>
            <w:shd w:val="clear" w:color="auto" w:fill="3C5896"/>
          </w:tcPr>
          <w:p>
            <w:pPr>
              <w:spacing w:after="0"/>
              <w:rPr>
                <w:sz w:val="18"/>
                <w:szCs w:val="18"/>
                <w:color w:val="auto"/>
              </w:rPr>
            </w:pPr>
          </w:p>
        </w:tc>
        <w:tc>
          <w:tcPr>
            <w:tcW w:w="9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11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Target STIP</w:t>
            </w:r>
          </w:p>
        </w:tc>
        <w:tc>
          <w:tcPr>
            <w:tcW w:w="128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126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Discretionary</w:t>
            </w:r>
          </w:p>
        </w:tc>
        <w:tc>
          <w:tcPr>
            <w:tcW w:w="154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40" w:type="dxa"/>
            <w:vAlign w:val="bottom"/>
            <w:tcBorders>
              <w:top w:val="single" w:sz="8" w:color="3C5896"/>
            </w:tcBorders>
            <w:shd w:val="clear" w:color="auto" w:fill="3C5896"/>
          </w:tcPr>
          <w:p>
            <w:pPr>
              <w:spacing w:after="0"/>
              <w:rPr>
                <w:sz w:val="18"/>
                <w:szCs w:val="18"/>
                <w:color w:val="auto"/>
              </w:rPr>
            </w:pPr>
          </w:p>
        </w:tc>
        <w:tc>
          <w:tcPr>
            <w:tcW w:w="840" w:type="dxa"/>
            <w:vAlign w:val="bottom"/>
            <w:tcBorders>
              <w:top w:val="single" w:sz="8" w:color="3C5896"/>
              <w:right w:val="single" w:sz="8" w:color="3C5896"/>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Final</w:t>
            </w: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rPr>
              <w:t>Base</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(as a</w:t>
            </w:r>
          </w:p>
        </w:tc>
        <w:tc>
          <w:tcPr>
            <w:tcW w:w="1280" w:type="dxa"/>
            <w:vAlign w:val="bottom"/>
            <w:tcBorders>
              <w:right w:val="single" w:sz="8" w:color="9EACCA"/>
            </w:tcBorders>
            <w:vMerge w:val="continue"/>
            <w:shd w:val="clear" w:color="auto" w:fill="3C5896"/>
          </w:tcPr>
          <w:p>
            <w:pPr>
              <w:spacing w:after="0"/>
              <w:rPr>
                <w:sz w:val="16"/>
                <w:szCs w:val="16"/>
                <w:color w:val="auto"/>
              </w:rPr>
            </w:pP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Bonus (as a</w:t>
            </w:r>
          </w:p>
        </w:tc>
        <w:tc>
          <w:tcPr>
            <w:tcW w:w="154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vMerge w:val="continue"/>
            <w:shd w:val="clear" w:color="auto" w:fill="3C589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Salary as</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Percentage</w:t>
            </w:r>
          </w:p>
        </w:tc>
        <w:tc>
          <w:tcPr>
            <w:tcW w:w="128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Factor as a</w:t>
            </w: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Percentage</w:t>
            </w:r>
          </w:p>
        </w:tc>
        <w:tc>
          <w:tcPr>
            <w:tcW w:w="15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STIP Payout</w:t>
            </w: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STIP</w:t>
            </w: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vMerge w:val="restart"/>
            <w:shd w:val="clear" w:color="auto" w:fill="3C5896"/>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of July 5,</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of Base</w:t>
            </w:r>
          </w:p>
        </w:tc>
        <w:tc>
          <w:tcPr>
            <w:tcW w:w="128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Percentage of</w:t>
            </w: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of Base</w:t>
            </w:r>
          </w:p>
        </w:tc>
        <w:tc>
          <w:tcPr>
            <w:tcW w:w="15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(as a percentage</w:t>
            </w: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6"/>
        </w:trPr>
        <w:tc>
          <w:tcPr>
            <w:tcW w:w="2220" w:type="dxa"/>
            <w:vAlign w:val="bottom"/>
            <w:tcBorders>
              <w:left w:val="single" w:sz="8" w:color="3C5896"/>
              <w:right w:val="single" w:sz="8" w:color="9EACCA"/>
            </w:tcBorders>
            <w:vMerge w:val="continue"/>
            <w:shd w:val="clear" w:color="auto" w:fill="3C5896"/>
          </w:tcPr>
          <w:p>
            <w:pPr>
              <w:spacing w:after="0"/>
              <w:rPr>
                <w:sz w:val="22"/>
                <w:szCs w:val="22"/>
                <w:color w:val="auto"/>
              </w:rPr>
            </w:pPr>
          </w:p>
        </w:tc>
        <w:tc>
          <w:tcPr>
            <w:tcW w:w="9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11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6"/>
              </w:rPr>
              <w:t>Salary)</w:t>
            </w:r>
          </w:p>
        </w:tc>
        <w:tc>
          <w:tcPr>
            <w:tcW w:w="12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1260" w:type="dxa"/>
            <w:vAlign w:val="bottom"/>
            <w:tcBorders>
              <w:right w:val="single" w:sz="8" w:color="9EACCA"/>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93"/>
              </w:rPr>
              <w:t>Salary)</w:t>
            </w:r>
            <w:r>
              <w:rPr>
                <w:rFonts w:ascii="Arial" w:cs="Arial" w:eastAsia="Arial" w:hAnsi="Arial"/>
                <w:sz w:val="26"/>
                <w:szCs w:val="26"/>
                <w:b w:val="1"/>
                <w:bCs w:val="1"/>
                <w:color w:val="FFFFFF"/>
                <w:w w:val="93"/>
                <w:vertAlign w:val="superscript"/>
              </w:rPr>
              <w:t>(1)</w:t>
            </w:r>
          </w:p>
        </w:tc>
        <w:tc>
          <w:tcPr>
            <w:tcW w:w="1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of Base Salary)</w:t>
            </w:r>
          </w:p>
        </w:tc>
        <w:tc>
          <w:tcPr>
            <w:tcW w:w="40" w:type="dxa"/>
            <w:vAlign w:val="bottom"/>
            <w:shd w:val="clear" w:color="auto" w:fill="3C5896"/>
          </w:tcPr>
          <w:p>
            <w:pPr>
              <w:spacing w:after="0"/>
              <w:rPr>
                <w:sz w:val="22"/>
                <w:szCs w:val="22"/>
                <w:color w:val="auto"/>
              </w:rPr>
            </w:pPr>
          </w:p>
        </w:tc>
        <w:tc>
          <w:tcPr>
            <w:tcW w:w="84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Amount</w:t>
            </w:r>
          </w:p>
        </w:tc>
        <w:tc>
          <w:tcPr>
            <w:tcW w:w="0" w:type="dxa"/>
            <w:vAlign w:val="bottom"/>
          </w:tcPr>
          <w:p>
            <w:pPr>
              <w:spacing w:after="0"/>
              <w:rPr>
                <w:sz w:val="1"/>
                <w:szCs w:val="1"/>
                <w:color w:val="auto"/>
              </w:rPr>
            </w:pPr>
          </w:p>
        </w:tc>
      </w:tr>
      <w:tr>
        <w:trPr>
          <w:trHeight w:val="250"/>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L. Reade Fahs</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$955,000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100%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91.22%</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8.78%</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$955,000</w:t>
            </w:r>
          </w:p>
        </w:tc>
        <w:tc>
          <w:tcPr>
            <w:tcW w:w="0" w:type="dxa"/>
            <w:vAlign w:val="bottom"/>
          </w:tcPr>
          <w:p>
            <w:pPr>
              <w:spacing w:after="0"/>
              <w:rPr>
                <w:sz w:val="1"/>
                <w:szCs w:val="1"/>
                <w:color w:val="auto"/>
              </w:rPr>
            </w:pPr>
          </w:p>
        </w:tc>
      </w:tr>
      <w:tr>
        <w:trPr>
          <w:trHeight w:val="263"/>
        </w:trPr>
        <w:tc>
          <w:tcPr>
            <w:tcW w:w="22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8"/>
                <w:szCs w:val="18"/>
                <w:color w:val="auto"/>
              </w:rPr>
              <w:t>Patrick R. Moore</w:t>
            </w:r>
          </w:p>
        </w:tc>
        <w:tc>
          <w:tcPr>
            <w:tcW w:w="9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rPr>
              <w:t>$500,000</w:t>
            </w:r>
          </w:p>
        </w:tc>
        <w:tc>
          <w:tcPr>
            <w:tcW w:w="1120" w:type="dxa"/>
            <w:vAlign w:val="bottom"/>
            <w:tcBorders>
              <w:right w:val="single" w:sz="8" w:color="9EACCA"/>
            </w:tcBorders>
            <w:shd w:val="clear" w:color="auto" w:fill="CCCCCC"/>
          </w:tcPr>
          <w:p>
            <w:pPr>
              <w:jc w:val="right"/>
              <w:ind w:right="190"/>
              <w:spacing w:after="0"/>
              <w:rPr>
                <w:sz w:val="20"/>
                <w:szCs w:val="20"/>
                <w:color w:val="auto"/>
              </w:rPr>
            </w:pPr>
            <w:r>
              <w:rPr>
                <w:rFonts w:ascii="Arial" w:cs="Arial" w:eastAsia="Arial" w:hAnsi="Arial"/>
                <w:sz w:val="18"/>
                <w:szCs w:val="18"/>
                <w:color w:val="auto"/>
              </w:rPr>
              <w:t>65%</w:t>
            </w:r>
          </w:p>
        </w:tc>
        <w:tc>
          <w:tcPr>
            <w:tcW w:w="1280" w:type="dxa"/>
            <w:vAlign w:val="bottom"/>
            <w:tcBorders>
              <w:right w:val="single" w:sz="8" w:color="9EACCA"/>
            </w:tcBorders>
            <w:shd w:val="clear" w:color="auto" w:fill="CCCCCC"/>
          </w:tcPr>
          <w:p>
            <w:pPr>
              <w:jc w:val="right"/>
              <w:ind w:right="170"/>
              <w:spacing w:after="0"/>
              <w:rPr>
                <w:sz w:val="20"/>
                <w:szCs w:val="20"/>
                <w:color w:val="auto"/>
              </w:rPr>
            </w:pPr>
            <w:r>
              <w:rPr>
                <w:rFonts w:ascii="Arial" w:cs="Arial" w:eastAsia="Arial" w:hAnsi="Arial"/>
                <w:sz w:val="18"/>
                <w:szCs w:val="18"/>
                <w:color w:val="auto"/>
              </w:rPr>
              <w:t>59.29%</w:t>
            </w:r>
          </w:p>
        </w:tc>
        <w:tc>
          <w:tcPr>
            <w:tcW w:w="1260" w:type="dxa"/>
            <w:vAlign w:val="bottom"/>
            <w:tcBorders>
              <w:right w:val="single" w:sz="8" w:color="9EACCA"/>
            </w:tcBorders>
            <w:shd w:val="clear" w:color="auto" w:fill="CCCCCC"/>
          </w:tcPr>
          <w:p>
            <w:pPr>
              <w:jc w:val="right"/>
              <w:ind w:right="230"/>
              <w:spacing w:after="0"/>
              <w:rPr>
                <w:sz w:val="20"/>
                <w:szCs w:val="20"/>
                <w:color w:val="auto"/>
              </w:rPr>
            </w:pPr>
            <w:r>
              <w:rPr>
                <w:rFonts w:ascii="Arial" w:cs="Arial" w:eastAsia="Arial" w:hAnsi="Arial"/>
                <w:sz w:val="18"/>
                <w:szCs w:val="18"/>
                <w:color w:val="auto"/>
              </w:rPr>
              <w:t>5.71%</w:t>
            </w:r>
          </w:p>
        </w:tc>
        <w:tc>
          <w:tcPr>
            <w:tcW w:w="154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65%</w:t>
            </w:r>
          </w:p>
        </w:tc>
        <w:tc>
          <w:tcPr>
            <w:tcW w:w="880" w:type="dxa"/>
            <w:vAlign w:val="bottom"/>
            <w:tcBorders>
              <w:right w:val="single" w:sz="8" w:color="3C5896"/>
            </w:tcBorders>
            <w:gridSpan w:val="2"/>
            <w:shd w:val="clear" w:color="auto" w:fill="CCCCCC"/>
          </w:tcPr>
          <w:p>
            <w:pPr>
              <w:jc w:val="center"/>
              <w:spacing w:after="0"/>
              <w:rPr>
                <w:sz w:val="20"/>
                <w:szCs w:val="20"/>
                <w:color w:val="auto"/>
              </w:rPr>
            </w:pPr>
            <w:r>
              <w:rPr>
                <w:rFonts w:ascii="Arial" w:cs="Arial" w:eastAsia="Arial" w:hAnsi="Arial"/>
                <w:sz w:val="18"/>
                <w:szCs w:val="18"/>
                <w:color w:val="auto"/>
                <w:highlight w:val="lightGray"/>
              </w:rPr>
              <w:t>$325,000</w:t>
            </w:r>
          </w:p>
        </w:tc>
        <w:tc>
          <w:tcPr>
            <w:tcW w:w="0" w:type="dxa"/>
            <w:vAlign w:val="bottom"/>
          </w:tcPr>
          <w:p>
            <w:pPr>
              <w:spacing w:after="0"/>
              <w:rPr>
                <w:sz w:val="1"/>
                <w:szCs w:val="1"/>
                <w:color w:val="auto"/>
              </w:rPr>
            </w:pPr>
          </w:p>
        </w:tc>
      </w:tr>
      <w:tr>
        <w:trPr>
          <w:trHeight w:val="250"/>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Bill Clark</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$350,000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63"/>
        </w:trPr>
        <w:tc>
          <w:tcPr>
            <w:tcW w:w="22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8"/>
                <w:szCs w:val="18"/>
                <w:color w:val="auto"/>
              </w:rPr>
              <w:t>Jared Brandman</w:t>
            </w:r>
          </w:p>
        </w:tc>
        <w:tc>
          <w:tcPr>
            <w:tcW w:w="9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rPr>
              <w:t>$350,000</w:t>
            </w:r>
          </w:p>
        </w:tc>
        <w:tc>
          <w:tcPr>
            <w:tcW w:w="1120" w:type="dxa"/>
            <w:vAlign w:val="bottom"/>
            <w:tcBorders>
              <w:right w:val="single" w:sz="8" w:color="9EACCA"/>
            </w:tcBorders>
            <w:shd w:val="clear" w:color="auto" w:fill="CCCCCC"/>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shd w:val="clear" w:color="auto" w:fill="CCCCCC"/>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shd w:val="clear" w:color="auto" w:fill="CCCCCC"/>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shd w:val="clear" w:color="auto" w:fill="CCCCCC"/>
          </w:tcPr>
          <w:p>
            <w:pPr>
              <w:jc w:val="center"/>
              <w:spacing w:after="0"/>
              <w:rPr>
                <w:sz w:val="20"/>
                <w:szCs w:val="20"/>
                <w:color w:val="auto"/>
              </w:rPr>
            </w:pPr>
            <w:r>
              <w:rPr>
                <w:rFonts w:ascii="Arial" w:cs="Arial" w:eastAsia="Arial" w:hAnsi="Arial"/>
                <w:sz w:val="18"/>
                <w:szCs w:val="18"/>
                <w:color w:val="auto"/>
                <w:highlight w:val="lightGray"/>
              </w:rPr>
              <w:t>$175,000</w:t>
            </w:r>
          </w:p>
        </w:tc>
        <w:tc>
          <w:tcPr>
            <w:tcW w:w="0" w:type="dxa"/>
            <w:vAlign w:val="bottom"/>
          </w:tcPr>
          <w:p>
            <w:pPr>
              <w:spacing w:after="0"/>
              <w:rPr>
                <w:sz w:val="1"/>
                <w:szCs w:val="1"/>
                <w:color w:val="auto"/>
              </w:rPr>
            </w:pPr>
          </w:p>
        </w:tc>
      </w:tr>
      <w:tr>
        <w:trPr>
          <w:trHeight w:val="284"/>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Joan Blackwood</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0"/>
        </w:trPr>
        <w:tc>
          <w:tcPr>
            <w:tcW w:w="22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900" w:type="dxa"/>
            <w:vAlign w:val="bottom"/>
            <w:tcBorders>
              <w:right w:val="single" w:sz="8" w:color="3C5896"/>
            </w:tcBorders>
            <w:shd w:val="clear" w:color="auto" w:fill="3C5896"/>
          </w:tcPr>
          <w:p>
            <w:pPr>
              <w:spacing w:after="0" w:line="20" w:lineRule="exact"/>
              <w:rPr>
                <w:sz w:val="1"/>
                <w:szCs w:val="1"/>
                <w:color w:val="auto"/>
              </w:rPr>
            </w:pPr>
          </w:p>
        </w:tc>
        <w:tc>
          <w:tcPr>
            <w:tcW w:w="1120" w:type="dxa"/>
            <w:vAlign w:val="bottom"/>
            <w:tcBorders>
              <w:right w:val="single" w:sz="8" w:color="3C5896"/>
            </w:tcBorders>
            <w:shd w:val="clear" w:color="auto" w:fill="3C5896"/>
          </w:tcPr>
          <w:p>
            <w:pPr>
              <w:spacing w:after="0" w:line="20" w:lineRule="exact"/>
              <w:rPr>
                <w:sz w:val="1"/>
                <w:szCs w:val="1"/>
                <w:color w:val="auto"/>
              </w:rPr>
            </w:pPr>
          </w:p>
        </w:tc>
        <w:tc>
          <w:tcPr>
            <w:tcW w:w="1280" w:type="dxa"/>
            <w:vAlign w:val="bottom"/>
            <w:tcBorders>
              <w:right w:val="single" w:sz="8" w:color="3C5896"/>
            </w:tcBorders>
            <w:shd w:val="clear" w:color="auto" w:fill="3C5896"/>
          </w:tcPr>
          <w:p>
            <w:pPr>
              <w:spacing w:after="0" w:line="20" w:lineRule="exact"/>
              <w:rPr>
                <w:sz w:val="1"/>
                <w:szCs w:val="1"/>
                <w:color w:val="auto"/>
              </w:rPr>
            </w:pPr>
          </w:p>
        </w:tc>
        <w:tc>
          <w:tcPr>
            <w:tcW w:w="1260" w:type="dxa"/>
            <w:vAlign w:val="bottom"/>
            <w:tcBorders>
              <w:right w:val="single" w:sz="8" w:color="3C5896"/>
            </w:tcBorders>
            <w:shd w:val="clear" w:color="auto" w:fill="3C5896"/>
          </w:tcPr>
          <w:p>
            <w:pPr>
              <w:spacing w:after="0" w:line="20" w:lineRule="exact"/>
              <w:rPr>
                <w:sz w:val="1"/>
                <w:szCs w:val="1"/>
                <w:color w:val="auto"/>
              </w:rPr>
            </w:pPr>
          </w:p>
        </w:tc>
        <w:tc>
          <w:tcPr>
            <w:tcW w:w="15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58" w:lineRule="exact"/>
        <w:rPr>
          <w:sz w:val="20"/>
          <w:szCs w:val="20"/>
          <w:color w:val="auto"/>
        </w:rPr>
      </w:pPr>
    </w:p>
    <w:p>
      <w:pPr>
        <w:ind w:left="1120" w:hanging="358"/>
        <w:spacing w:after="0"/>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discretionary bonus noted above is disclosed in the Bonus column of the Summary Compensation Table.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139"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Plan”). The 2017 Omnibus Plan replaced the 2014</w:t>
      </w:r>
    </w:p>
    <w:p>
      <w:pPr>
        <w:spacing w:after="0" w:line="28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3114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Stock Incentive Plan for Key Employees of Nautilus Parent, Inc. and its Subsidiaries (the “2014 Stock Plan,” and together with the 2017 Omnibus Plan, the “Equity Incentive Plans”). The purpose of our 2017 Omnibus Plan is to provide a means through which to attract and retain key personnel and to provide a means whereby our directors, officers, employees, consultants and advisors can acquire and maintain an equity interest in the Company, or be paid incentive compensation, including incentive compensation measured by reference to the value of our common stock, thereby strengthening their commitment to the Company’s long-term success and aligning their interests with those of our stockholders.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2020 LTIP Awards</w:t>
      </w:r>
    </w:p>
    <w:p>
      <w:pPr>
        <w:spacing w:after="0" w:line="135"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In February 2020, following an evaluation, with the assistance of Meridian, of the equity-based incentives for our executive officers, the compensation committee adopted a new long-term incentive program (“LTIP”). As part of our normal annual compensation cycle, all of our NEOs were granted the following awards under the 2017 Omnibus Plan: (1) time-vesting stock options (representing 25% of the total target value of fiscal 2020 LTIP awards for each NEO), (2) performance-vesting restricted stock units (“PSUs”) (representing 50% of the total target value of fiscal 2020 LTIP awards for each NEO), and (3) time-vesting restricted stock units (“RSUs”) (representing the remaining 25% of the total target value of fiscal 2020 LTIP awards for each NEO).</w:t>
      </w:r>
    </w:p>
    <w:p>
      <w:pPr>
        <w:spacing w:after="0" w:line="95"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The following table reflects the target grant value and division of stock options, PSUs and RSUs granted to each NEO in February 2020.</w:t>
      </w:r>
    </w:p>
    <w:p>
      <w:pPr>
        <w:spacing w:after="0" w:line="97"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020" w:type="dxa"/>
            <w:vAlign w:val="bottom"/>
            <w:tcBorders>
              <w:top w:val="single" w:sz="8" w:color="3C5896"/>
              <w:right w:val="single" w:sz="8" w:color="9EACCA"/>
            </w:tcBorders>
            <w:shd w:val="clear" w:color="auto" w:fill="3C5896"/>
          </w:tcPr>
          <w:p>
            <w:pPr>
              <w:spacing w:after="0"/>
              <w:rPr>
                <w:sz w:val="17"/>
                <w:szCs w:val="17"/>
                <w:color w:val="auto"/>
              </w:rPr>
            </w:pPr>
          </w:p>
        </w:tc>
        <w:tc>
          <w:tcPr>
            <w:tcW w:w="200" w:type="dxa"/>
            <w:vAlign w:val="bottom"/>
            <w:tcBorders>
              <w:top w:val="single" w:sz="8" w:color="3C5896"/>
            </w:tcBorders>
            <w:shd w:val="clear" w:color="auto" w:fill="3C5896"/>
          </w:tcPr>
          <w:p>
            <w:pPr>
              <w:spacing w:after="0"/>
              <w:rPr>
                <w:sz w:val="17"/>
                <w:szCs w:val="17"/>
                <w:color w:val="auto"/>
              </w:rPr>
            </w:pPr>
          </w:p>
        </w:tc>
        <w:tc>
          <w:tcPr>
            <w:tcW w:w="940" w:type="dxa"/>
            <w:vAlign w:val="bottom"/>
            <w:tcBorders>
              <w:top w:val="single" w:sz="8" w:color="3C5896"/>
              <w:right w:val="single" w:sz="8" w:color="9EACCA"/>
            </w:tcBorders>
            <w:vMerge w:val="restart"/>
            <w:shd w:val="clear" w:color="auto" w:fill="3C5896"/>
          </w:tcPr>
          <w:p>
            <w:pPr>
              <w:jc w:val="center"/>
              <w:ind w:right="190"/>
              <w:spacing w:after="0"/>
              <w:rPr>
                <w:sz w:val="20"/>
                <w:szCs w:val="20"/>
                <w:color w:val="auto"/>
              </w:rPr>
            </w:pPr>
            <w:r>
              <w:rPr>
                <w:rFonts w:ascii="Arial" w:cs="Arial" w:eastAsia="Arial" w:hAnsi="Arial"/>
                <w:sz w:val="18"/>
                <w:szCs w:val="18"/>
                <w:b w:val="1"/>
                <w:bCs w:val="1"/>
                <w:color w:val="FFFFFF"/>
                <w:w w:val="98"/>
              </w:rPr>
              <w:t>Target</w:t>
            </w:r>
          </w:p>
        </w:tc>
        <w:tc>
          <w:tcPr>
            <w:tcW w:w="40" w:type="dxa"/>
            <w:vAlign w:val="bottom"/>
            <w:tcBorders>
              <w:top w:val="single" w:sz="8" w:color="3C5896"/>
            </w:tcBorders>
            <w:shd w:val="clear" w:color="auto" w:fill="3C5896"/>
          </w:tcPr>
          <w:p>
            <w:pPr>
              <w:spacing w:after="0"/>
              <w:rPr>
                <w:sz w:val="17"/>
                <w:szCs w:val="17"/>
                <w:color w:val="auto"/>
              </w:rPr>
            </w:pPr>
          </w:p>
        </w:tc>
        <w:tc>
          <w:tcPr>
            <w:tcW w:w="132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7"/>
              </w:rPr>
              <w:t>Time-Vesting</w:t>
            </w:r>
          </w:p>
        </w:tc>
        <w:tc>
          <w:tcPr>
            <w:tcW w:w="40" w:type="dxa"/>
            <w:vAlign w:val="bottom"/>
            <w:tcBorders>
              <w:top w:val="single" w:sz="8" w:color="3C5896"/>
            </w:tcBorders>
            <w:shd w:val="clear" w:color="auto" w:fill="3C5896"/>
          </w:tcPr>
          <w:p>
            <w:pPr>
              <w:spacing w:after="0"/>
              <w:rPr>
                <w:sz w:val="17"/>
                <w:szCs w:val="17"/>
                <w:color w:val="auto"/>
              </w:rPr>
            </w:pPr>
          </w:p>
        </w:tc>
        <w:tc>
          <w:tcPr>
            <w:tcW w:w="2020" w:type="dxa"/>
            <w:vAlign w:val="bottom"/>
            <w:tcBorders>
              <w:top w:val="single" w:sz="8" w:color="3C5896"/>
              <w:right w:val="single" w:sz="8" w:color="9EACCA"/>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Performance-Vesting</w:t>
            </w:r>
          </w:p>
        </w:tc>
        <w:tc>
          <w:tcPr>
            <w:tcW w:w="1560" w:type="dxa"/>
            <w:vAlign w:val="bottom"/>
            <w:tcBorders>
              <w:top w:val="single" w:sz="8" w:color="3C5896"/>
              <w:right w:val="single" w:sz="8" w:color="3C5896"/>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7"/>
              </w:rPr>
              <w:t>Time-Vesting</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020" w:type="dxa"/>
            <w:vAlign w:val="bottom"/>
            <w:tcBorders>
              <w:right w:val="single" w:sz="8" w:color="9EACCA"/>
            </w:tcBorders>
            <w:shd w:val="clear" w:color="auto" w:fill="3C5896"/>
          </w:tcPr>
          <w:p>
            <w:pPr>
              <w:spacing w:after="0"/>
              <w:rPr>
                <w:sz w:val="16"/>
                <w:szCs w:val="16"/>
                <w:color w:val="auto"/>
              </w:rPr>
            </w:pPr>
          </w:p>
        </w:tc>
        <w:tc>
          <w:tcPr>
            <w:tcW w:w="200" w:type="dxa"/>
            <w:vAlign w:val="bottom"/>
            <w:shd w:val="clear" w:color="auto" w:fill="3C5896"/>
          </w:tcPr>
          <w:p>
            <w:pPr>
              <w:spacing w:after="0"/>
              <w:rPr>
                <w:sz w:val="16"/>
                <w:szCs w:val="16"/>
                <w:color w:val="auto"/>
              </w:rPr>
            </w:pPr>
          </w:p>
        </w:tc>
        <w:tc>
          <w:tcPr>
            <w:tcW w:w="94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32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20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Restricted Stock Units</w:t>
            </w:r>
          </w:p>
        </w:tc>
        <w:tc>
          <w:tcPr>
            <w:tcW w:w="15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Restricted Stock</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020" w:type="dxa"/>
            <w:vAlign w:val="bottom"/>
            <w:tcBorders>
              <w:right w:val="single" w:sz="8" w:color="9EACCA"/>
            </w:tcBorders>
            <w:vMerge w:val="restart"/>
            <w:shd w:val="clear" w:color="auto" w:fill="3C5896"/>
          </w:tcPr>
          <w:p>
            <w:pPr>
              <w:ind w:left="420"/>
              <w:spacing w:after="0"/>
              <w:rPr>
                <w:sz w:val="20"/>
                <w:szCs w:val="20"/>
                <w:color w:val="auto"/>
              </w:rPr>
            </w:pPr>
            <w:r>
              <w:rPr>
                <w:rFonts w:ascii="Arial" w:cs="Arial" w:eastAsia="Arial" w:hAnsi="Arial"/>
                <w:sz w:val="18"/>
                <w:szCs w:val="18"/>
                <w:b w:val="1"/>
                <w:bCs w:val="1"/>
                <w:color w:val="FFFFFF"/>
              </w:rPr>
              <w:t>Named Executive Officer</w:t>
            </w:r>
          </w:p>
        </w:tc>
        <w:tc>
          <w:tcPr>
            <w:tcW w:w="1140" w:type="dxa"/>
            <w:vAlign w:val="bottom"/>
            <w:tcBorders>
              <w:right w:val="single" w:sz="8" w:color="9EACCA"/>
            </w:tcBorders>
            <w:gridSpan w:val="2"/>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6"/>
              </w:rPr>
              <w:t>Grant Value</w:t>
            </w:r>
          </w:p>
        </w:tc>
        <w:tc>
          <w:tcPr>
            <w:tcW w:w="40" w:type="dxa"/>
            <w:vAlign w:val="bottom"/>
            <w:shd w:val="clear" w:color="auto" w:fill="3C5896"/>
          </w:tcPr>
          <w:p>
            <w:pPr>
              <w:spacing w:after="0"/>
              <w:rPr>
                <w:sz w:val="16"/>
                <w:szCs w:val="16"/>
                <w:color w:val="auto"/>
              </w:rPr>
            </w:pPr>
          </w:p>
        </w:tc>
        <w:tc>
          <w:tcPr>
            <w:tcW w:w="13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Stock Options</w:t>
            </w:r>
          </w:p>
        </w:tc>
        <w:tc>
          <w:tcPr>
            <w:tcW w:w="40" w:type="dxa"/>
            <w:vAlign w:val="bottom"/>
            <w:shd w:val="clear" w:color="auto" w:fill="3C5896"/>
          </w:tcPr>
          <w:p>
            <w:pPr>
              <w:spacing w:after="0"/>
              <w:rPr>
                <w:sz w:val="16"/>
                <w:szCs w:val="16"/>
                <w:color w:val="auto"/>
              </w:rPr>
            </w:pPr>
          </w:p>
        </w:tc>
        <w:tc>
          <w:tcPr>
            <w:tcW w:w="20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(PSUs)</w:t>
            </w:r>
          </w:p>
        </w:tc>
        <w:tc>
          <w:tcPr>
            <w:tcW w:w="15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Units (RSUs)</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020" w:type="dxa"/>
            <w:vAlign w:val="bottom"/>
            <w:tcBorders>
              <w:right w:val="single" w:sz="8" w:color="9EACCA"/>
            </w:tcBorders>
            <w:vMerge w:val="continue"/>
            <w:shd w:val="clear" w:color="auto" w:fill="3C5896"/>
          </w:tcPr>
          <w:p>
            <w:pPr>
              <w:spacing w:after="0"/>
              <w:rPr>
                <w:sz w:val="21"/>
                <w:szCs w:val="21"/>
                <w:color w:val="auto"/>
              </w:rPr>
            </w:pPr>
          </w:p>
        </w:tc>
        <w:tc>
          <w:tcPr>
            <w:tcW w:w="200" w:type="dxa"/>
            <w:vAlign w:val="bottom"/>
            <w:shd w:val="clear" w:color="auto" w:fill="3C5896"/>
          </w:tcPr>
          <w:p>
            <w:pPr>
              <w:spacing w:after="0"/>
              <w:rPr>
                <w:sz w:val="21"/>
                <w:szCs w:val="21"/>
                <w:color w:val="auto"/>
              </w:rPr>
            </w:pPr>
          </w:p>
        </w:tc>
        <w:tc>
          <w:tcPr>
            <w:tcW w:w="940" w:type="dxa"/>
            <w:vAlign w:val="bottom"/>
            <w:tcBorders>
              <w:right w:val="single" w:sz="8" w:color="9EACCA"/>
            </w:tcBorders>
            <w:shd w:val="clear" w:color="auto" w:fill="3C5896"/>
          </w:tcPr>
          <w:p>
            <w:pPr>
              <w:jc w:val="center"/>
              <w:ind w:right="150"/>
              <w:spacing w:after="0"/>
              <w:rPr>
                <w:sz w:val="20"/>
                <w:szCs w:val="20"/>
                <w:color w:val="auto"/>
              </w:rPr>
            </w:pPr>
            <w:r>
              <w:rPr>
                <w:rFonts w:ascii="Arial" w:cs="Arial" w:eastAsia="Arial" w:hAnsi="Arial"/>
                <w:sz w:val="18"/>
                <w:szCs w:val="18"/>
                <w:b w:val="1"/>
                <w:bCs w:val="1"/>
                <w:color w:val="FFFFFF"/>
                <w:w w:val="99"/>
              </w:rPr>
              <w:t>($)</w:t>
            </w:r>
          </w:p>
        </w:tc>
        <w:tc>
          <w:tcPr>
            <w:tcW w:w="136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206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15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w w:val="99"/>
              </w:rPr>
              <w:t>2,250,000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41,089</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32,310</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0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shd w:val="clear" w:color="auto" w:fill="CCCCCC"/>
          </w:tcPr>
          <w:p>
            <w:pPr>
              <w:jc w:val="right"/>
              <w:ind w:right="30"/>
              <w:spacing w:after="0"/>
              <w:rPr>
                <w:sz w:val="20"/>
                <w:szCs w:val="20"/>
                <w:color w:val="auto"/>
              </w:rPr>
            </w:pPr>
            <w:r>
              <w:rPr>
                <w:rFonts w:ascii="Arial" w:cs="Arial" w:eastAsia="Arial" w:hAnsi="Arial"/>
                <w:sz w:val="18"/>
                <w:szCs w:val="18"/>
                <w:color w:val="auto"/>
                <w:w w:val="99"/>
              </w:rPr>
              <w:t>1,000,000</w:t>
            </w:r>
          </w:p>
        </w:tc>
        <w:tc>
          <w:tcPr>
            <w:tcW w:w="13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18,262</w:t>
            </w:r>
          </w:p>
        </w:tc>
        <w:tc>
          <w:tcPr>
            <w:tcW w:w="2060" w:type="dxa"/>
            <w:vAlign w:val="bottom"/>
            <w:tcBorders>
              <w:right w:val="single" w:sz="8" w:color="9EACCA"/>
            </w:tcBorders>
            <w:gridSpan w:val="2"/>
            <w:shd w:val="clear" w:color="auto" w:fill="CCCCCC"/>
          </w:tcPr>
          <w:p>
            <w:pPr>
              <w:jc w:val="right"/>
              <w:ind w:right="690"/>
              <w:spacing w:after="0"/>
              <w:rPr>
                <w:sz w:val="20"/>
                <w:szCs w:val="20"/>
                <w:color w:val="auto"/>
              </w:rPr>
            </w:pPr>
            <w:r>
              <w:rPr>
                <w:rFonts w:ascii="Arial" w:cs="Arial" w:eastAsia="Arial" w:hAnsi="Arial"/>
                <w:sz w:val="18"/>
                <w:szCs w:val="18"/>
                <w:color w:val="auto"/>
              </w:rPr>
              <w:t>14,360</w:t>
            </w:r>
          </w:p>
        </w:tc>
        <w:tc>
          <w:tcPr>
            <w:tcW w:w="156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rPr>
              <w:t>320,000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5,844</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4,596</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0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shd w:val="clear" w:color="auto" w:fill="CCCCCC"/>
          </w:tcPr>
          <w:p>
            <w:pPr>
              <w:jc w:val="right"/>
              <w:ind w:right="30"/>
              <w:spacing w:after="0"/>
              <w:rPr>
                <w:sz w:val="20"/>
                <w:szCs w:val="20"/>
                <w:color w:val="auto"/>
              </w:rPr>
            </w:pPr>
            <w:r>
              <w:rPr>
                <w:rFonts w:ascii="Arial" w:cs="Arial" w:eastAsia="Arial" w:hAnsi="Arial"/>
                <w:sz w:val="18"/>
                <w:szCs w:val="18"/>
                <w:color w:val="auto"/>
              </w:rPr>
              <w:t>250,000</w:t>
            </w:r>
          </w:p>
        </w:tc>
        <w:tc>
          <w:tcPr>
            <w:tcW w:w="13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4,566</w:t>
            </w:r>
          </w:p>
        </w:tc>
        <w:tc>
          <w:tcPr>
            <w:tcW w:w="2060" w:type="dxa"/>
            <w:vAlign w:val="bottom"/>
            <w:tcBorders>
              <w:right w:val="single" w:sz="8" w:color="9EACCA"/>
            </w:tcBorders>
            <w:gridSpan w:val="2"/>
            <w:shd w:val="clear" w:color="auto" w:fill="CCCCCC"/>
          </w:tcPr>
          <w:p>
            <w:pPr>
              <w:jc w:val="right"/>
              <w:ind w:right="690"/>
              <w:spacing w:after="0"/>
              <w:rPr>
                <w:sz w:val="20"/>
                <w:szCs w:val="20"/>
                <w:color w:val="auto"/>
              </w:rPr>
            </w:pPr>
            <w:r>
              <w:rPr>
                <w:rFonts w:ascii="Arial" w:cs="Arial" w:eastAsia="Arial" w:hAnsi="Arial"/>
                <w:sz w:val="18"/>
                <w:szCs w:val="18"/>
                <w:color w:val="auto"/>
              </w:rPr>
              <w:t>3,590</w:t>
            </w:r>
          </w:p>
        </w:tc>
        <w:tc>
          <w:tcPr>
            <w:tcW w:w="156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rPr>
              <w:t>250,000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4,566</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3,590</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020" w:type="dxa"/>
            <w:vAlign w:val="bottom"/>
            <w:tcBorders>
              <w:right w:val="single" w:sz="8" w:color="3C5896"/>
            </w:tcBorders>
            <w:shd w:val="clear" w:color="auto" w:fill="3C5896"/>
          </w:tcPr>
          <w:p>
            <w:pPr>
              <w:spacing w:after="0" w:line="20" w:lineRule="exact"/>
              <w:rPr>
                <w:sz w:val="1"/>
                <w:szCs w:val="1"/>
                <w:color w:val="auto"/>
              </w:rPr>
            </w:pPr>
          </w:p>
        </w:tc>
        <w:tc>
          <w:tcPr>
            <w:tcW w:w="200" w:type="dxa"/>
            <w:vAlign w:val="bottom"/>
            <w:shd w:val="clear" w:color="auto" w:fill="3C5896"/>
          </w:tcPr>
          <w:p>
            <w:pPr>
              <w:spacing w:after="0" w:line="20" w:lineRule="exact"/>
              <w:rPr>
                <w:sz w:val="1"/>
                <w:szCs w:val="1"/>
                <w:color w:val="auto"/>
              </w:rPr>
            </w:pPr>
          </w:p>
        </w:tc>
        <w:tc>
          <w:tcPr>
            <w:tcW w:w="9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3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2020" w:type="dxa"/>
            <w:vAlign w:val="bottom"/>
            <w:tcBorders>
              <w:right w:val="single" w:sz="8" w:color="3C5896"/>
            </w:tcBorders>
            <w:shd w:val="clear" w:color="auto" w:fill="3C5896"/>
          </w:tcPr>
          <w:p>
            <w:pPr>
              <w:spacing w:after="0" w:line="20" w:lineRule="exact"/>
              <w:rPr>
                <w:sz w:val="1"/>
                <w:szCs w:val="1"/>
                <w:color w:val="auto"/>
              </w:rPr>
            </w:pPr>
          </w:p>
        </w:tc>
        <w:tc>
          <w:tcPr>
            <w:tcW w:w="15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12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i w:val="1"/>
          <w:iCs w:val="1"/>
          <w:color w:val="auto"/>
        </w:rPr>
        <w:t>2020 Stock Option Awards</w:t>
      </w:r>
      <w:r>
        <w:rPr>
          <w:rFonts w:ascii="Arial" w:cs="Arial" w:eastAsia="Arial" w:hAnsi="Arial"/>
          <w:sz w:val="17"/>
          <w:szCs w:val="17"/>
          <w:color w:val="auto"/>
        </w:rPr>
        <w:t>. The options granted in fiscal 2020 vest in three equal annual installments, with one-third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number of shares underlying the options vesting on each of the first, second, and third anniversaries of February 28, 2020, subject to the executive’s continued employment through the applicable vesting date.</w:t>
      </w:r>
    </w:p>
    <w:p>
      <w:pPr>
        <w:spacing w:after="0" w:line="51"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i w:val="1"/>
          <w:iCs w:val="1"/>
          <w:color w:val="auto"/>
        </w:rPr>
        <w:t>2020 PSU Awards</w:t>
      </w:r>
      <w:r>
        <w:rPr>
          <w:rFonts w:ascii="Arial" w:cs="Arial" w:eastAsia="Arial" w:hAnsi="Arial"/>
          <w:sz w:val="18"/>
          <w:szCs w:val="18"/>
          <w:color w:val="auto"/>
        </w:rPr>
        <w:t>. PSU awards are earned over a three-year performance period and are conditioned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achievement of certain Adjusted EBITDA growth targets, as set forth in the PSU award agreement. Vesting is based on an achievement factor which, in each case, ranges from a 50% payout for threshold performance, 100% for target performance, and 200% for maximum performance. To the extent that performance falls between the applicable threshold, target or maximum levels, payouts will be determined using linear interpolation. PSU performance goals and the target awards for our executive officers are established each February, shortly after the beginning of the fiscal year. The PSU awards granted in fiscal 2020 will be settled after the end of the respective three-year performance period, which began on the first day of our 2020 fiscal year and ends on the last day of our 2022 fiscal year. Beginning with the STIP and LTIP awards granted in fiscal 2020, the Company has updated its definition of Adjusted EBITDA, which will no longer exclude new store pre-opening expenses and non-cash rent. As a note, the 2019 PSUs remain subject to the prior definition of Adjusted EBITDA. These definitions are set forth in Appendix A to this proxy statement.</w:t>
      </w:r>
    </w:p>
    <w:p>
      <w:pPr>
        <w:spacing w:after="0" w:line="85"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i w:val="1"/>
          <w:iCs w:val="1"/>
          <w:color w:val="auto"/>
        </w:rPr>
        <w:t>2020 RSU Awards</w:t>
      </w:r>
      <w:r>
        <w:rPr>
          <w:rFonts w:ascii="Arial" w:cs="Arial" w:eastAsia="Arial" w:hAnsi="Arial"/>
          <w:sz w:val="18"/>
          <w:szCs w:val="18"/>
          <w:color w:val="auto"/>
        </w:rPr>
        <w:t>. The RSUs granted in fiscal 2020 vest in three equal annual installments, with one-third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number of shares underlying the RSUs vesting on each of the first, second, and third anniversaries of February 28, 2020, subject to the executive’s continued employment through the applicable vesting period.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Management Stockholder’s Agreement</w:t>
      </w:r>
    </w:p>
    <w:p>
      <w:pPr>
        <w:spacing w:after="0" w:line="135"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Each of our NEOs, other than Mr. Clark and Ms. Blackwood, is party to a Management Stockholder’s Agreement with the Company. The Management Stockholder’s Agreement, along with an applicable option agreement, generally govern each such NEO’s rights with respect to shares of common stock of the Company held by such NEO prior to our IPO, including such NEO’s stock option awards and contain certain rights and obligations of the parties thereto. The pre-IPO options are subject to certain put and call rights pursuant to the Management Stockholder’s Agreement.</w:t>
      </w:r>
    </w:p>
    <w:p>
      <w:pPr>
        <w:spacing w:after="0" w:line="307"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sz w:val="1"/>
          <w:szCs w:val="1"/>
          <w:color w:val="auto"/>
        </w:rPr>
        <w:drawing>
          <wp:inline distT="0" distB="0" distL="0" distR="0">
            <wp:extent cx="299720" cy="2400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for 2021 STIP and LTIP Awards</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For fiscal 2021, the compensation committee has approved new performance metrics for the STIP and LTIP awards under the 2017 Omnibus Plan. The 2021 STIP awards are based off Adjusted Operating Income instead of Adjusted EBITDA, which was the metric used in prior years. We moved to Adjusted Operating Income for the STIP following the introduction of this non-GAAP measure in our Fiscal 2020 Outlook, as it reflects our profits, excluding interest and taxes, is a common profitability measure for companies, and injects heightened accountability for sound investment decisions and returns on those investments by our executives. Adjusted Operating Income under the STIP is defined as net income (loss),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103"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The LTIP awards granted in 2021 include the same vehicle mix as in 2020 of 25% time-based stock options, 50% PSUs and the remaining 25% in time-based RSUs. For fiscal 2021, the compensation committee approved new performance metrics for the PSUs. The 2021 PSUs will be based off two performance growth measures, Adjusted Operating Income and return on invested capital (ROIC), which will be weighted, 75% and 25%, respectively, for the three year performance period. As described above, Adjusted Operating Income is a common profitability measure. ROIC is a standard measure of a company’s ability to produce profitable return on all aspects of investment necessary to generate those returns and is a key measure for investor assessment of company performance.</w:t>
      </w:r>
    </w:p>
    <w:p>
      <w:pPr>
        <w:spacing w:after="0" w:line="86"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The compensation committee took into account feedback from stockholders and the evolution of our public reporting and fiscal outlook measures in transitioning to these new performance metrics for our 2021 awards.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3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 Our NEOs are eligible for specified benefits, such as group health, dental, disability and life insurance. These benefits are intended to provide competitive and adequate protection in case of sickness and the NEOs participate in these plans on the same basis as all other employees.</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 value of these perquisites and other personal benefits are reflected in the “All Other Compensation” column to the “Summary Compensation Table” and the accompanying footnotes below.</w:t>
      </w:r>
    </w:p>
    <w:p>
      <w:pPr>
        <w:spacing w:after="0" w:line="82" w:lineRule="exact"/>
        <w:rPr>
          <w:sz w:val="20"/>
          <w:szCs w:val="20"/>
          <w:color w:val="auto"/>
        </w:rPr>
      </w:pPr>
    </w:p>
    <w:p>
      <w:pPr>
        <w:jc w:val="both"/>
        <w:ind w:left="760"/>
        <w:spacing w:after="0" w:line="258" w:lineRule="auto"/>
        <w:rPr>
          <w:sz w:val="20"/>
          <w:szCs w:val="20"/>
          <w:color w:val="auto"/>
        </w:rPr>
      </w:pPr>
      <w:r>
        <w:rPr>
          <w:rFonts w:ascii="Arial" w:cs="Arial" w:eastAsia="Arial" w:hAnsi="Arial"/>
          <w:sz w:val="18"/>
          <w:szCs w:val="18"/>
          <w:i w:val="1"/>
          <w:iCs w:val="1"/>
          <w:color w:val="auto"/>
        </w:rPr>
        <w:t>401(k) Savings Plan</w:t>
      </w:r>
      <w:r>
        <w:rPr>
          <w:rFonts w:ascii="Arial" w:cs="Arial" w:eastAsia="Arial" w:hAnsi="Arial"/>
          <w:sz w:val="18"/>
          <w:szCs w:val="18"/>
          <w:color w:val="auto"/>
        </w:rPr>
        <w:t>. Our eligible U.S. employees, including our NEOs, participate in the National Vision, Inc. 401(k)</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Savings Plan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75"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Associate Stock Purchase Plan</w:t>
      </w:r>
      <w:r>
        <w:rPr>
          <w:rFonts w:ascii="Arial" w:cs="Arial" w:eastAsia="Arial" w:hAnsi="Arial"/>
          <w:sz w:val="18"/>
          <w:szCs w:val="18"/>
          <w:color w:val="auto"/>
        </w:rPr>
        <w:t>. We have maintained an Associate Stock Purchase Plan (the “ASPP”) since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ASPP provides all our eligible U.S. employees, including our NEOs, the opportunity to purchase up to $25,000 in our common stock annually at a 10% discount to the market price of our stock.</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39" w:lineRule="exact"/>
        <w:rPr>
          <w:sz w:val="20"/>
          <w:szCs w:val="20"/>
          <w:color w:val="auto"/>
        </w:rPr>
      </w:pPr>
    </w:p>
    <w:p>
      <w:pPr>
        <w:jc w:val="both"/>
        <w:ind w:left="760"/>
        <w:spacing w:after="0" w:line="268" w:lineRule="auto"/>
        <w:rPr>
          <w:sz w:val="20"/>
          <w:szCs w:val="20"/>
          <w:color w:val="auto"/>
        </w:rPr>
      </w:pPr>
      <w:r>
        <w:rPr>
          <w:rFonts w:ascii="Arial" w:cs="Arial" w:eastAsia="Arial" w:hAnsi="Arial"/>
          <w:sz w:val="17"/>
          <w:szCs w:val="17"/>
          <w:color w:val="auto"/>
        </w:rPr>
        <w:t>The Company provides severance benefits to its executives in order to offer competitive total compensation packages and to be competitive in the Company’s executive attraction and retention efforts. On December 11, 2018, the Board of Directors adopted and approved the National Vision Holdings, Inc. Executive Severance Plan (the “Executive Severance Plan”), which replaced our prior severance plan. The Executive Severance Plan provides for severance payments and benefits to eligible executives, including our NEOs, upon a termination of employment by the Company without cause or by the executive for good reason (each as defined in the Executive Severance Plan), in each case, subject to the (i) executive’s execution and non-revocation of a release of claims in favor of the Company and (ii)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p>
    <w:p>
      <w:pPr>
        <w:spacing w:after="0" w:line="30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In addition, our NEOs have agreed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twenty-four months after termination; Messrs. Moore and Brandman for eighteen months after termination; and Messrs. Clark and Ms. Blackwood for twelve months after termination.</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Stock Ownership Guidelines</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Board of Directors adopted stock ownership guidelines (the “Guidelines”) applicable to our executive officers. These Guidelines align the interests of our management and directors with those of our stockholders. Such executive officers will be required to hold a specific level of equity ownership, as a multiple of annual base salary or annual cash retainer, as applicable, as follows:</w:t>
      </w:r>
    </w:p>
    <w:p>
      <w:pPr>
        <w:spacing w:after="0" w:line="109" w:lineRule="exact"/>
        <w:rPr>
          <w:sz w:val="20"/>
          <w:szCs w:val="20"/>
          <w:color w:val="auto"/>
        </w:rPr>
      </w:pPr>
    </w:p>
    <w:p>
      <w:pPr>
        <w:ind w:left="1340" w:hanging="218"/>
        <w:spacing w:after="0"/>
        <w:tabs>
          <w:tab w:leader="none" w:pos="1340" w:val="left"/>
        </w:tabs>
        <w:numPr>
          <w:ilvl w:val="0"/>
          <w:numId w:val="35"/>
        </w:numPr>
        <w:rPr>
          <w:rFonts w:ascii="Arial" w:cs="Arial" w:eastAsia="Arial" w:hAnsi="Arial"/>
          <w:sz w:val="18"/>
          <w:szCs w:val="18"/>
          <w:color w:val="3C5896"/>
        </w:rPr>
      </w:pPr>
      <w:r>
        <w:rPr>
          <w:rFonts w:ascii="Arial" w:cs="Arial" w:eastAsia="Arial" w:hAnsi="Arial"/>
          <w:sz w:val="18"/>
          <w:szCs w:val="18"/>
          <w:color w:val="auto"/>
        </w:rPr>
        <w:t>Chief Executive Officer: 6x annual base salary.</w:t>
      </w:r>
    </w:p>
    <w:p>
      <w:pPr>
        <w:spacing w:after="0" w:line="103" w:lineRule="exact"/>
        <w:rPr>
          <w:rFonts w:ascii="Arial" w:cs="Arial" w:eastAsia="Arial" w:hAnsi="Arial"/>
          <w:sz w:val="18"/>
          <w:szCs w:val="18"/>
          <w:color w:val="3C5896"/>
        </w:rPr>
      </w:pPr>
    </w:p>
    <w:p>
      <w:pPr>
        <w:ind w:left="1340" w:hanging="218"/>
        <w:spacing w:after="0"/>
        <w:tabs>
          <w:tab w:leader="none" w:pos="1340" w:val="left"/>
        </w:tabs>
        <w:numPr>
          <w:ilvl w:val="0"/>
          <w:numId w:val="35"/>
        </w:numPr>
        <w:rPr>
          <w:rFonts w:ascii="Arial" w:cs="Arial" w:eastAsia="Arial" w:hAnsi="Arial"/>
          <w:sz w:val="18"/>
          <w:szCs w:val="18"/>
          <w:color w:val="3C5896"/>
        </w:rPr>
      </w:pPr>
      <w:r>
        <w:rPr>
          <w:rFonts w:ascii="Arial" w:cs="Arial" w:eastAsia="Arial" w:hAnsi="Arial"/>
          <w:sz w:val="18"/>
          <w:szCs w:val="18"/>
          <w:color w:val="auto"/>
        </w:rPr>
        <w:t>Other Executive Officers: 3x annual base salary.</w:t>
      </w:r>
    </w:p>
    <w:p>
      <w:pPr>
        <w:spacing w:after="0" w:line="10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p>
    <w:p>
      <w:pPr>
        <w:spacing w:after="0" w:line="94"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 As of the January 2, 2021, Messrs. Fahs, Moore and Brandman have met or exceeded their current ownership requirements and the remaining executive officers are subject to the restrictions in the guidelines until their ownership requirements are met.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Policies</w:t>
      </w:r>
    </w:p>
    <w:p>
      <w:pPr>
        <w:spacing w:after="0" w:line="139" w:lineRule="exact"/>
        <w:rPr>
          <w:sz w:val="20"/>
          <w:szCs w:val="20"/>
          <w:color w:val="auto"/>
        </w:rPr>
      </w:pPr>
    </w:p>
    <w:p>
      <w:pPr>
        <w:jc w:val="both"/>
        <w:ind w:left="7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Our NEOs are subject to our hedging and pledging policies as outlined in the Company’s Securities Trading Policy described on page </w:t>
      </w:r>
      <w:hyperlink w:anchor="page23">
        <w:r>
          <w:rPr>
            <w:rFonts w:ascii="Arial" w:cs="Arial" w:eastAsia="Arial" w:hAnsi="Arial"/>
            <w:sz w:val="18"/>
            <w:szCs w:val="18"/>
            <w:u w:val="single" w:color="auto"/>
            <w:color w:val="0000EE"/>
          </w:rPr>
          <w:t>20</w:t>
        </w:r>
      </w:hyperlink>
      <w:r>
        <w:rPr>
          <w:rFonts w:ascii="Arial" w:cs="Arial" w:eastAsia="Arial" w:hAnsi="Arial"/>
          <w:sz w:val="18"/>
          <w:szCs w:val="18"/>
          <w:color w:val="auto"/>
        </w:rPr>
        <w: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Risk Assessment</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programs encourage inappropriate risk-taking. Based on its review, the compensation committee concluded that risks arising from the company’s compensation plans, programs and policies, considered as a whole, including applicable risk-mitigation features, are not reasonably likely to have a material adverse effect on the company.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and Accounting Considerations</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w:t>
      </w:r>
    </w:p>
    <w:p>
      <w:pPr>
        <w:spacing w:after="0" w:line="9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 The Company may award compensation that is not exempt from the deduction limits of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sz w:val="1"/>
          <w:szCs w:val="1"/>
          <w:color w:val="auto"/>
        </w:rPr>
        <w:drawing>
          <wp:inline distT="0" distB="0" distL="0" distR="0">
            <wp:extent cx="299720" cy="24003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Report</w:t>
      </w:r>
    </w:p>
    <w:p>
      <w:pPr>
        <w:spacing w:after="0" w:line="13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January 2, 2021 filed with the Securities and Exchange Commission.</w:t>
      </w:r>
    </w:p>
    <w:p>
      <w:pPr>
        <w:spacing w:after="0" w:line="7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V. Taylor, Jr.,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Heather Cianfrocco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Randy Peeler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Tables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years ended January 2, 2021, December 28, 2019 and December 29, 2018.</w:t>
      </w:r>
    </w:p>
    <w:p>
      <w:pPr>
        <w:spacing w:after="0" w:line="102" w:lineRule="exact"/>
        <w:rPr>
          <w:sz w:val="20"/>
          <w:szCs w:val="20"/>
          <w:color w:val="auto"/>
        </w:rPr>
      </w:pPr>
    </w:p>
    <w:tbl>
      <w:tblPr>
        <w:tblLayout w:type="fixed"/>
        <w:tblInd w:w="770" w:type="dxa"/>
        <w:tblCellMar>
          <w:top w:w="0" w:type="dxa"/>
          <w:left w:w="0" w:type="dxa"/>
          <w:bottom w:w="0" w:type="dxa"/>
          <w:right w:w="0" w:type="dxa"/>
        </w:tblCellMar>
      </w:tblPr>
      <w:tr>
        <w:trPr>
          <w:trHeight w:val="162"/>
        </w:trPr>
        <w:tc>
          <w:tcPr>
            <w:tcW w:w="1520" w:type="dxa"/>
            <w:vAlign w:val="bottom"/>
            <w:tcBorders>
              <w:top w:val="single" w:sz="8" w:color="3C5896"/>
              <w:left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42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20" w:type="dxa"/>
            <w:vAlign w:val="bottom"/>
            <w:tcBorders>
              <w:top w:val="single" w:sz="8" w:color="3C5896"/>
              <w:right w:val="single" w:sz="8" w:color="9EACCA"/>
            </w:tcBorders>
            <w:shd w:val="clear" w:color="auto" w:fill="3C5896"/>
          </w:tcPr>
          <w:p>
            <w:pPr>
              <w:spacing w:after="0"/>
              <w:rPr>
                <w:sz w:val="14"/>
                <w:szCs w:val="14"/>
                <w:color w:val="auto"/>
              </w:rPr>
            </w:pPr>
          </w:p>
        </w:tc>
        <w:tc>
          <w:tcPr>
            <w:tcW w:w="120" w:type="dxa"/>
            <w:vAlign w:val="bottom"/>
            <w:tcBorders>
              <w:top w:val="single" w:sz="8" w:color="3C5896"/>
            </w:tcBorders>
            <w:shd w:val="clear" w:color="auto" w:fill="3C5896"/>
          </w:tcPr>
          <w:p>
            <w:pPr>
              <w:spacing w:after="0"/>
              <w:rPr>
                <w:sz w:val="14"/>
                <w:szCs w:val="14"/>
                <w:color w:val="auto"/>
              </w:rPr>
            </w:pPr>
          </w:p>
        </w:tc>
        <w:tc>
          <w:tcPr>
            <w:tcW w:w="580" w:type="dxa"/>
            <w:vAlign w:val="bottom"/>
            <w:tcBorders>
              <w:top w:val="single" w:sz="8" w:color="3C5896"/>
              <w:right w:val="single" w:sz="8" w:color="9EACCA"/>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720" w:type="dxa"/>
            <w:vAlign w:val="bottom"/>
            <w:tcBorders>
              <w:top w:val="single" w:sz="8" w:color="3C5896"/>
              <w:right w:val="single" w:sz="8" w:color="9EACCA"/>
            </w:tcBorders>
            <w:shd w:val="clear" w:color="auto" w:fill="3C5896"/>
          </w:tcPr>
          <w:p>
            <w:pPr>
              <w:spacing w:after="0"/>
              <w:rPr>
                <w:sz w:val="14"/>
                <w:szCs w:val="14"/>
                <w:color w:val="auto"/>
              </w:rPr>
            </w:pPr>
          </w:p>
        </w:tc>
        <w:tc>
          <w:tcPr>
            <w:tcW w:w="260" w:type="dxa"/>
            <w:vAlign w:val="bottom"/>
            <w:tcBorders>
              <w:top w:val="single" w:sz="8" w:color="3C5896"/>
            </w:tcBorders>
            <w:shd w:val="clear" w:color="auto" w:fill="3C5896"/>
          </w:tcPr>
          <w:p>
            <w:pPr>
              <w:spacing w:after="0"/>
              <w:rPr>
                <w:sz w:val="14"/>
                <w:szCs w:val="14"/>
                <w:color w:val="auto"/>
              </w:rPr>
            </w:pPr>
          </w:p>
        </w:tc>
        <w:tc>
          <w:tcPr>
            <w:tcW w:w="920" w:type="dxa"/>
            <w:vAlign w:val="bottom"/>
            <w:tcBorders>
              <w:top w:val="single" w:sz="8" w:color="3C5896"/>
              <w:right w:val="single" w:sz="8" w:color="9EACCA"/>
            </w:tcBorders>
            <w:shd w:val="clear" w:color="auto" w:fill="3C5896"/>
          </w:tcPr>
          <w:p>
            <w:pPr>
              <w:spacing w:after="0"/>
              <w:rPr>
                <w:sz w:val="14"/>
                <w:szCs w:val="14"/>
                <w:color w:val="auto"/>
              </w:rPr>
            </w:pPr>
          </w:p>
        </w:tc>
        <w:tc>
          <w:tcPr>
            <w:tcW w:w="1160" w:type="dxa"/>
            <w:vAlign w:val="bottom"/>
            <w:tcBorders>
              <w:top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300" w:type="dxa"/>
            <w:vAlign w:val="bottom"/>
            <w:tcBorders>
              <w:top w:val="single" w:sz="8" w:color="3C5896"/>
            </w:tcBorders>
            <w:shd w:val="clear" w:color="auto" w:fill="3C5896"/>
          </w:tcPr>
          <w:p>
            <w:pPr>
              <w:spacing w:after="0"/>
              <w:rPr>
                <w:sz w:val="14"/>
                <w:szCs w:val="14"/>
                <w:color w:val="auto"/>
              </w:rPr>
            </w:pPr>
          </w:p>
        </w:tc>
        <w:tc>
          <w:tcPr>
            <w:tcW w:w="860" w:type="dxa"/>
            <w:vAlign w:val="bottom"/>
            <w:tcBorders>
              <w:top w:val="single" w:sz="8" w:color="3C5896"/>
              <w:right w:val="single" w:sz="8" w:color="9EACCA"/>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20" w:type="dxa"/>
            <w:vAlign w:val="bottom"/>
            <w:tcBorders>
              <w:top w:val="single" w:sz="8" w:color="3C5896"/>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spacing w:after="0"/>
              <w:rPr>
                <w:sz w:val="10"/>
                <w:szCs w:val="10"/>
                <w:color w:val="auto"/>
              </w:rPr>
            </w:pPr>
          </w:p>
        </w:tc>
        <w:tc>
          <w:tcPr>
            <w:tcW w:w="260" w:type="dxa"/>
            <w:vAlign w:val="bottom"/>
            <w:shd w:val="clear" w:color="auto" w:fill="3C5896"/>
          </w:tcPr>
          <w:p>
            <w:pPr>
              <w:spacing w:after="0"/>
              <w:rPr>
                <w:sz w:val="10"/>
                <w:szCs w:val="10"/>
                <w:color w:val="auto"/>
              </w:rPr>
            </w:pPr>
          </w:p>
        </w:tc>
        <w:tc>
          <w:tcPr>
            <w:tcW w:w="920" w:type="dxa"/>
            <w:vAlign w:val="bottom"/>
            <w:tcBorders>
              <w:right w:val="single" w:sz="8" w:color="9EACCA"/>
            </w:tcBorders>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4"/>
              </w:rPr>
              <w:t>Pension Value</w:t>
            </w:r>
          </w:p>
        </w:tc>
        <w:tc>
          <w:tcPr>
            <w:tcW w:w="300" w:type="dxa"/>
            <w:vAlign w:val="bottom"/>
            <w:shd w:val="clear" w:color="auto" w:fill="3C5896"/>
          </w:tcPr>
          <w:p>
            <w:pPr>
              <w:spacing w:after="0"/>
              <w:rPr>
                <w:sz w:val="10"/>
                <w:szCs w:val="10"/>
                <w:color w:val="auto"/>
              </w:rPr>
            </w:pPr>
          </w:p>
        </w:tc>
        <w:tc>
          <w:tcPr>
            <w:tcW w:w="86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spacing w:after="0"/>
              <w:rPr>
                <w:sz w:val="10"/>
                <w:szCs w:val="10"/>
                <w:color w:val="auto"/>
              </w:rPr>
            </w:pPr>
          </w:p>
        </w:tc>
        <w:tc>
          <w:tcPr>
            <w:tcW w:w="118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and Nonqualified</w:t>
            </w:r>
          </w:p>
        </w:tc>
        <w:tc>
          <w:tcPr>
            <w:tcW w:w="300" w:type="dxa"/>
            <w:vAlign w:val="bottom"/>
            <w:shd w:val="clear" w:color="auto" w:fill="3C5896"/>
          </w:tcPr>
          <w:p>
            <w:pPr>
              <w:spacing w:after="0"/>
              <w:rPr>
                <w:sz w:val="10"/>
                <w:szCs w:val="10"/>
                <w:color w:val="auto"/>
              </w:rPr>
            </w:pPr>
          </w:p>
        </w:tc>
        <w:tc>
          <w:tcPr>
            <w:tcW w:w="86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w w:val="95"/>
              </w:rPr>
              <w:t>Stock</w:t>
            </w: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vMerge w:val="restart"/>
            <w:shd w:val="clear" w:color="auto" w:fill="3C5896"/>
          </w:tcPr>
          <w:p>
            <w:pPr>
              <w:jc w:val="center"/>
              <w:ind w:right="51"/>
              <w:spacing w:after="0"/>
              <w:rPr>
                <w:sz w:val="20"/>
                <w:szCs w:val="20"/>
                <w:color w:val="auto"/>
              </w:rPr>
            </w:pPr>
            <w:r>
              <w:rPr>
                <w:rFonts w:ascii="Arial" w:cs="Arial" w:eastAsia="Arial" w:hAnsi="Arial"/>
                <w:sz w:val="13"/>
                <w:szCs w:val="13"/>
                <w:b w:val="1"/>
                <w:bCs w:val="1"/>
                <w:color w:val="FFFFFF"/>
                <w:w w:val="95"/>
              </w:rPr>
              <w:t>Option</w:t>
            </w:r>
          </w:p>
        </w:tc>
        <w:tc>
          <w:tcPr>
            <w:tcW w:w="1180" w:type="dxa"/>
            <w:vAlign w:val="bottom"/>
            <w:tcBorders>
              <w:right w:val="single" w:sz="8" w:color="9EACCA"/>
            </w:tcBorders>
            <w:gridSpan w:val="2"/>
            <w:vMerge w:val="continue"/>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Deferred</w:t>
            </w:r>
          </w:p>
        </w:tc>
        <w:tc>
          <w:tcPr>
            <w:tcW w:w="116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vMerge w:val="restart"/>
            <w:shd w:val="clear" w:color="auto" w:fill="3C5896"/>
          </w:tcPr>
          <w:p>
            <w:pPr>
              <w:ind w:left="160"/>
              <w:spacing w:after="0"/>
              <w:rPr>
                <w:sz w:val="20"/>
                <w:szCs w:val="20"/>
                <w:color w:val="auto"/>
              </w:rPr>
            </w:pPr>
            <w:r>
              <w:rPr>
                <w:rFonts w:ascii="Arial" w:cs="Arial" w:eastAsia="Arial" w:hAnsi="Arial"/>
                <w:sz w:val="13"/>
                <w:szCs w:val="13"/>
                <w:b w:val="1"/>
                <w:bCs w:val="1"/>
                <w:color w:val="FFFFFF"/>
              </w:rPr>
              <w:t>Name and Principal</w:t>
            </w: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vMerge w:val="restart"/>
            <w:shd w:val="clear" w:color="auto" w:fill="3C5896"/>
          </w:tcPr>
          <w:p>
            <w:pPr>
              <w:ind w:left="60"/>
              <w:spacing w:after="0"/>
              <w:rPr>
                <w:sz w:val="20"/>
                <w:szCs w:val="20"/>
                <w:color w:val="auto"/>
              </w:rPr>
            </w:pPr>
            <w:r>
              <w:rPr>
                <w:rFonts w:ascii="Arial" w:cs="Arial" w:eastAsia="Arial" w:hAnsi="Arial"/>
                <w:sz w:val="13"/>
                <w:szCs w:val="13"/>
                <w:b w:val="1"/>
                <w:bCs w:val="1"/>
                <w:color w:val="FFFFFF"/>
              </w:rPr>
              <w:t>Salary</w:t>
            </w: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vMerge w:val="restart"/>
            <w:shd w:val="clear" w:color="auto" w:fill="3C5896"/>
          </w:tcPr>
          <w:p>
            <w:pPr>
              <w:jc w:val="right"/>
              <w:ind w:right="110"/>
              <w:spacing w:after="0"/>
              <w:rPr>
                <w:sz w:val="20"/>
                <w:szCs w:val="20"/>
                <w:color w:val="auto"/>
              </w:rPr>
            </w:pPr>
            <w:r>
              <w:rPr>
                <w:rFonts w:ascii="Arial" w:cs="Arial" w:eastAsia="Arial" w:hAnsi="Arial"/>
                <w:sz w:val="13"/>
                <w:szCs w:val="13"/>
                <w:b w:val="1"/>
                <w:bCs w:val="1"/>
                <w:color w:val="FFFFFF"/>
                <w:w w:val="93"/>
              </w:rPr>
              <w:t>Bonus</w:t>
            </w:r>
          </w:p>
        </w:tc>
        <w:tc>
          <w:tcPr>
            <w:tcW w:w="740" w:type="dxa"/>
            <w:vAlign w:val="bottom"/>
            <w:tcBorders>
              <w:right w:val="single" w:sz="8" w:color="9EACCA"/>
            </w:tcBorders>
            <w:vMerge w:val="continue"/>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vMerge w:val="continue"/>
            <w:shd w:val="clear" w:color="auto" w:fill="3C5896"/>
          </w:tcPr>
          <w:p>
            <w:pPr>
              <w:spacing w:after="0"/>
              <w:rPr>
                <w:sz w:val="10"/>
                <w:szCs w:val="10"/>
                <w:color w:val="auto"/>
              </w:rPr>
            </w:pPr>
          </w:p>
        </w:tc>
        <w:tc>
          <w:tcPr>
            <w:tcW w:w="118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Incentive Plan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16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restart"/>
            <w:shd w:val="clear" w:color="auto" w:fill="3C5896"/>
          </w:tcPr>
          <w:p>
            <w:pPr>
              <w:jc w:val="right"/>
              <w:ind w:right="19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vMerge w:val="continue"/>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vMerge w:val="restart"/>
            <w:shd w:val="clear" w:color="auto" w:fill="3C5896"/>
          </w:tcPr>
          <w:p>
            <w:pPr>
              <w:jc w:val="center"/>
              <w:ind w:right="50"/>
              <w:spacing w:after="0"/>
              <w:rPr>
                <w:sz w:val="20"/>
                <w:szCs w:val="20"/>
                <w:color w:val="auto"/>
              </w:rPr>
            </w:pPr>
            <w:r>
              <w:rPr>
                <w:rFonts w:ascii="Arial" w:cs="Arial" w:eastAsia="Arial" w:hAnsi="Arial"/>
                <w:sz w:val="13"/>
                <w:szCs w:val="13"/>
                <w:b w:val="1"/>
                <w:bCs w:val="1"/>
                <w:color w:val="FFFFFF"/>
                <w:w w:val="92"/>
              </w:rPr>
              <w:t>Year</w:t>
            </w: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vMerge w:val="continue"/>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ind w:right="10"/>
              <w:spacing w:after="0" w:line="122" w:lineRule="exact"/>
              <w:rPr>
                <w:sz w:val="20"/>
                <w:szCs w:val="20"/>
                <w:color w:val="auto"/>
              </w:rPr>
            </w:pPr>
            <w:r>
              <w:rPr>
                <w:rFonts w:ascii="Arial" w:cs="Arial" w:eastAsia="Arial" w:hAnsi="Arial"/>
                <w:sz w:val="13"/>
                <w:szCs w:val="13"/>
                <w:b w:val="1"/>
                <w:bCs w:val="1"/>
                <w:color w:val="FFFFFF"/>
                <w:w w:val="97"/>
              </w:rPr>
              <w:t>Awards</w:t>
            </w: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jc w:val="center"/>
              <w:ind w:right="51"/>
              <w:spacing w:after="0" w:line="122" w:lineRule="exact"/>
              <w:rPr>
                <w:sz w:val="20"/>
                <w:szCs w:val="20"/>
                <w:color w:val="auto"/>
              </w:rPr>
            </w:pPr>
            <w:r>
              <w:rPr>
                <w:rFonts w:ascii="Arial" w:cs="Arial" w:eastAsia="Arial" w:hAnsi="Arial"/>
                <w:sz w:val="13"/>
                <w:szCs w:val="13"/>
                <w:b w:val="1"/>
                <w:bCs w:val="1"/>
                <w:color w:val="FFFFFF"/>
                <w:w w:val="93"/>
              </w:rPr>
              <w:t>Awards</w:t>
            </w:r>
          </w:p>
        </w:tc>
        <w:tc>
          <w:tcPr>
            <w:tcW w:w="118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Earnings</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continue"/>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20" w:type="dxa"/>
            <w:vAlign w:val="bottom"/>
            <w:tcBorders>
              <w:left w:val="single" w:sz="8" w:color="3C5896"/>
              <w:bottom w:val="single" w:sz="8" w:color="auto"/>
              <w:right w:val="single" w:sz="8" w:color="9EACCA"/>
            </w:tcBorders>
            <w:shd w:val="clear" w:color="auto" w:fill="3C5896"/>
          </w:tcPr>
          <w:p>
            <w:pPr>
              <w:ind w:left="520"/>
              <w:spacing w:after="0"/>
              <w:rPr>
                <w:sz w:val="20"/>
                <w:szCs w:val="20"/>
                <w:color w:val="auto"/>
              </w:rPr>
            </w:pPr>
            <w:r>
              <w:rPr>
                <w:rFonts w:ascii="Arial" w:cs="Arial" w:eastAsia="Arial" w:hAnsi="Arial"/>
                <w:sz w:val="13"/>
                <w:szCs w:val="13"/>
                <w:b w:val="1"/>
                <w:bCs w:val="1"/>
                <w:color w:val="FFFFFF"/>
              </w:rPr>
              <w:t>Position</w:t>
            </w:r>
          </w:p>
        </w:tc>
        <w:tc>
          <w:tcPr>
            <w:tcW w:w="80" w:type="dxa"/>
            <w:vAlign w:val="bottom"/>
            <w:tcBorders>
              <w:bottom w:val="single" w:sz="8" w:color="auto"/>
            </w:tcBorders>
            <w:shd w:val="clear" w:color="auto" w:fill="3C5896"/>
          </w:tcPr>
          <w:p>
            <w:pPr>
              <w:spacing w:after="0"/>
              <w:rPr>
                <w:sz w:val="15"/>
                <w:szCs w:val="15"/>
                <w:color w:val="auto"/>
              </w:rPr>
            </w:pPr>
          </w:p>
        </w:tc>
        <w:tc>
          <w:tcPr>
            <w:tcW w:w="420" w:type="dxa"/>
            <w:vAlign w:val="bottom"/>
            <w:tcBorders>
              <w:bottom w:val="single" w:sz="8" w:color="auto"/>
              <w:right w:val="single" w:sz="8" w:color="9EACCA"/>
            </w:tcBorders>
            <w:vMerge w:val="continue"/>
            <w:shd w:val="clear" w:color="auto" w:fill="3C5896"/>
          </w:tcPr>
          <w:p>
            <w:pPr>
              <w:spacing w:after="0"/>
              <w:rPr>
                <w:sz w:val="15"/>
                <w:szCs w:val="15"/>
                <w:color w:val="auto"/>
              </w:rPr>
            </w:pPr>
          </w:p>
        </w:tc>
        <w:tc>
          <w:tcPr>
            <w:tcW w:w="700" w:type="dxa"/>
            <w:vAlign w:val="bottom"/>
            <w:tcBorders>
              <w:bottom w:val="single" w:sz="8" w:color="auto"/>
              <w:right w:val="single" w:sz="8" w:color="9EACCA"/>
            </w:tcBorders>
            <w:gridSpan w:val="2"/>
            <w:shd w:val="clear" w:color="auto" w:fill="3C5896"/>
          </w:tcPr>
          <w:p>
            <w:pPr>
              <w:jc w:val="center"/>
              <w:spacing w:after="0" w:line="175"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(2)</w:t>
            </w:r>
          </w:p>
        </w:tc>
        <w:tc>
          <w:tcPr>
            <w:tcW w:w="700" w:type="dxa"/>
            <w:vAlign w:val="bottom"/>
            <w:tcBorders>
              <w:bottom w:val="single" w:sz="8" w:color="auto"/>
              <w:right w:val="single" w:sz="8" w:color="9EACCA"/>
            </w:tcBorders>
            <w:gridSpan w:val="2"/>
            <w:shd w:val="clear" w:color="auto" w:fill="3C5896"/>
          </w:tcPr>
          <w:p>
            <w:pPr>
              <w:jc w:val="right"/>
              <w:ind w:right="150"/>
              <w:spacing w:after="0" w:line="17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(3)</w:t>
            </w:r>
          </w:p>
        </w:tc>
        <w:tc>
          <w:tcPr>
            <w:tcW w:w="740" w:type="dxa"/>
            <w:vAlign w:val="bottom"/>
            <w:tcBorders>
              <w:bottom w:val="single" w:sz="8" w:color="auto"/>
              <w:right w:val="single" w:sz="8" w:color="9EACCA"/>
            </w:tcBorders>
            <w:shd w:val="clear" w:color="auto" w:fill="3C5896"/>
          </w:tcPr>
          <w:p>
            <w:pPr>
              <w:jc w:val="center"/>
              <w:spacing w:after="0" w:line="175"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(4)</w:t>
            </w:r>
          </w:p>
        </w:tc>
        <w:tc>
          <w:tcPr>
            <w:tcW w:w="780" w:type="dxa"/>
            <w:vAlign w:val="bottom"/>
            <w:tcBorders>
              <w:bottom w:val="single" w:sz="8" w:color="auto"/>
              <w:right w:val="single" w:sz="8" w:color="9EACCA"/>
            </w:tcBorders>
            <w:gridSpan w:val="2"/>
            <w:shd w:val="clear" w:color="auto" w:fill="3C5896"/>
          </w:tcPr>
          <w:p>
            <w:pPr>
              <w:jc w:val="center"/>
              <w:spacing w:after="0" w:line="175"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(5)</w:t>
            </w:r>
          </w:p>
        </w:tc>
        <w:tc>
          <w:tcPr>
            <w:tcW w:w="1180" w:type="dxa"/>
            <w:vAlign w:val="bottom"/>
            <w:tcBorders>
              <w:bottom w:val="single" w:sz="8" w:color="auto"/>
              <w:right w:val="single" w:sz="8" w:color="9EACCA"/>
            </w:tcBorders>
            <w:gridSpan w:val="2"/>
            <w:shd w:val="clear" w:color="auto" w:fill="3C5896"/>
          </w:tcPr>
          <w:p>
            <w:pPr>
              <w:jc w:val="center"/>
              <w:spacing w:after="0" w:line="175"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(6)</w:t>
            </w:r>
          </w:p>
        </w:tc>
        <w:tc>
          <w:tcPr>
            <w:tcW w:w="1160" w:type="dxa"/>
            <w:vAlign w:val="bottom"/>
            <w:tcBorders>
              <w:bottom w:val="single" w:sz="8" w:color="auto"/>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tcBorders>
              <w:bottom w:val="single" w:sz="8" w:color="auto"/>
              <w:right w:val="single" w:sz="8" w:color="9EACCA"/>
            </w:tcBorders>
            <w:gridSpan w:val="2"/>
            <w:shd w:val="clear" w:color="auto" w:fill="3C5896"/>
          </w:tcPr>
          <w:p>
            <w:pPr>
              <w:jc w:val="center"/>
              <w:spacing w:after="0" w:line="175"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(7)</w:t>
            </w:r>
          </w:p>
        </w:tc>
        <w:tc>
          <w:tcPr>
            <w:tcW w:w="760" w:type="dxa"/>
            <w:vAlign w:val="bottom"/>
            <w:tcBorders>
              <w:bottom w:val="single" w:sz="8" w:color="auto"/>
              <w:right w:val="single" w:sz="8" w:color="3C5896"/>
            </w:tcBorders>
            <w:gridSpan w:val="2"/>
            <w:shd w:val="clear" w:color="auto" w:fill="3C5896"/>
          </w:tcPr>
          <w:p>
            <w:pPr>
              <w:jc w:val="right"/>
              <w:ind w:right="25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4"/>
        </w:trPr>
        <w:tc>
          <w:tcPr>
            <w:tcW w:w="152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L. Reade Fahs</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743,827</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83,849</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1,687,551</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562,508</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871,151</w:t>
            </w:r>
          </w:p>
        </w:tc>
        <w:tc>
          <w:tcPr>
            <w:tcW w:w="500" w:type="dxa"/>
            <w:vAlign w:val="bottom"/>
          </w:tcPr>
          <w:p>
            <w:pPr>
              <w:spacing w:after="0"/>
              <w:rPr>
                <w:sz w:val="15"/>
                <w:szCs w:val="15"/>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27,442</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3,976,328</w:t>
            </w:r>
          </w:p>
        </w:tc>
        <w:tc>
          <w:tcPr>
            <w:tcW w:w="0" w:type="dxa"/>
            <w:vAlign w:val="bottom"/>
          </w:tcPr>
          <w:p>
            <w:pPr>
              <w:spacing w:after="0"/>
              <w:rPr>
                <w:sz w:val="1"/>
                <w:szCs w:val="1"/>
                <w:color w:val="auto"/>
              </w:rPr>
            </w:pPr>
          </w:p>
        </w:tc>
      </w:tr>
      <w:tr>
        <w:trPr>
          <w:trHeight w:val="171"/>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Chief Executive</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919,211</w:t>
            </w:r>
          </w:p>
        </w:tc>
        <w:tc>
          <w:tcPr>
            <w:tcW w:w="120" w:type="dxa"/>
            <w:vAlign w:val="bottom"/>
          </w:tcPr>
          <w:p>
            <w:pPr>
              <w:spacing w:after="0"/>
              <w:rPr>
                <w:sz w:val="14"/>
                <w:szCs w:val="14"/>
                <w:color w:val="auto"/>
              </w:rPr>
            </w:pPr>
          </w:p>
        </w:tc>
        <w:tc>
          <w:tcPr>
            <w:tcW w:w="58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1,125,024</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1,125,001</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1,281,776</w:t>
            </w:r>
          </w:p>
        </w:tc>
        <w:tc>
          <w:tcPr>
            <w:tcW w:w="500" w:type="dxa"/>
            <w:vAlign w:val="bottom"/>
          </w:tcPr>
          <w:p>
            <w:pPr>
              <w:spacing w:after="0"/>
              <w:rPr>
                <w:sz w:val="14"/>
                <w:szCs w:val="14"/>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36,815</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4,487,827</w:t>
            </w:r>
          </w:p>
        </w:tc>
        <w:tc>
          <w:tcPr>
            <w:tcW w:w="0" w:type="dxa"/>
            <w:vAlign w:val="bottom"/>
          </w:tcPr>
          <w:p>
            <w:pPr>
              <w:spacing w:after="0"/>
              <w:rPr>
                <w:sz w:val="1"/>
                <w:szCs w:val="1"/>
                <w:color w:val="auto"/>
              </w:rPr>
            </w:pPr>
          </w:p>
        </w:tc>
      </w:tr>
      <w:tr>
        <w:trPr>
          <w:trHeight w:val="17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Officer</w:t>
            </w: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2018</w:t>
            </w:r>
          </w:p>
        </w:tc>
        <w:tc>
          <w:tcPr>
            <w:tcW w:w="7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14"/>
                <w:szCs w:val="14"/>
                <w:color w:val="auto"/>
              </w:rPr>
            </w:pPr>
          </w:p>
        </w:tc>
        <w:tc>
          <w:tcPr>
            <w:tcW w:w="580" w:type="dxa"/>
            <w:vAlign w:val="bottom"/>
            <w:tcBorders>
              <w:right w:val="single" w:sz="8" w:color="9EACCA"/>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tcBorders>
              <w:right w:val="single" w:sz="8" w:color="9EACCA"/>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9EACCA"/>
            </w:tcBorders>
            <w:gridSpan w:val="2"/>
            <w:vMerge w:val="restart"/>
          </w:tcPr>
          <w:p>
            <w:pPr>
              <w:jc w:val="right"/>
              <w:ind w:right="208"/>
              <w:spacing w:after="0"/>
              <w:rPr>
                <w:sz w:val="20"/>
                <w:szCs w:val="20"/>
                <w:color w:val="auto"/>
              </w:rPr>
            </w:pPr>
            <w:r>
              <w:rPr>
                <w:rFonts w:ascii="Arial" w:cs="Arial" w:eastAsia="Arial" w:hAnsi="Arial"/>
                <w:sz w:val="14"/>
                <w:szCs w:val="14"/>
                <w:color w:val="auto"/>
              </w:rPr>
              <w:t>688,635</w:t>
            </w:r>
          </w:p>
        </w:tc>
        <w:tc>
          <w:tcPr>
            <w:tcW w:w="500" w:type="dxa"/>
            <w:vAlign w:val="bottom"/>
          </w:tcPr>
          <w:p>
            <w:pPr>
              <w:spacing w:after="0"/>
              <w:rPr>
                <w:sz w:val="14"/>
                <w:szCs w:val="14"/>
                <w:color w:val="auto"/>
              </w:rPr>
            </w:pPr>
          </w:p>
        </w:tc>
        <w:tc>
          <w:tcPr>
            <w:tcW w:w="660" w:type="dxa"/>
            <w:vAlign w:val="bottom"/>
            <w:tcBorders>
              <w:right w:val="single" w:sz="8" w:color="9EACCA"/>
            </w:tcBorders>
            <w:vMerge w:val="restart"/>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vMerge w:val="restart"/>
          </w:tcPr>
          <w:p>
            <w:pPr>
              <w:jc w:val="right"/>
              <w:ind w:right="248"/>
              <w:spacing w:after="0"/>
              <w:rPr>
                <w:sz w:val="20"/>
                <w:szCs w:val="20"/>
                <w:color w:val="auto"/>
              </w:rPr>
            </w:pPr>
            <w:r>
              <w:rPr>
                <w:rFonts w:ascii="Arial" w:cs="Arial" w:eastAsia="Arial" w:hAnsi="Arial"/>
                <w:sz w:val="14"/>
                <w:szCs w:val="14"/>
                <w:color w:val="auto"/>
              </w:rPr>
              <w:t>14,035</w:t>
            </w:r>
          </w:p>
        </w:tc>
        <w:tc>
          <w:tcPr>
            <w:tcW w:w="760" w:type="dxa"/>
            <w:vAlign w:val="bottom"/>
            <w:tcBorders>
              <w:right w:val="single" w:sz="8" w:color="3C5896"/>
            </w:tcBorders>
            <w:gridSpan w:val="2"/>
            <w:vMerge w:val="restart"/>
          </w:tcPr>
          <w:p>
            <w:pPr>
              <w:jc w:val="right"/>
              <w:ind w:right="10"/>
              <w:spacing w:after="0"/>
              <w:rPr>
                <w:sz w:val="20"/>
                <w:szCs w:val="20"/>
                <w:color w:val="auto"/>
              </w:rPr>
            </w:pPr>
            <w:r>
              <w:rPr>
                <w:rFonts w:ascii="Arial" w:cs="Arial" w:eastAsia="Arial" w:hAnsi="Arial"/>
                <w:sz w:val="14"/>
                <w:szCs w:val="14"/>
                <w:color w:val="auto"/>
              </w:rPr>
              <w:t>1,602,670</w:t>
            </w:r>
          </w:p>
        </w:tc>
        <w:tc>
          <w:tcPr>
            <w:tcW w:w="0" w:type="dxa"/>
            <w:vAlign w:val="bottom"/>
          </w:tcPr>
          <w:p>
            <w:pPr>
              <w:spacing w:after="0"/>
              <w:rPr>
                <w:sz w:val="1"/>
                <w:szCs w:val="1"/>
                <w:color w:val="auto"/>
              </w:rPr>
            </w:pPr>
          </w:p>
        </w:tc>
      </w:tr>
      <w:tr>
        <w:trPr>
          <w:trHeight w:val="78"/>
        </w:trPr>
        <w:tc>
          <w:tcPr>
            <w:tcW w:w="1520" w:type="dxa"/>
            <w:vAlign w:val="bottom"/>
            <w:tcBorders>
              <w:left w:val="single" w:sz="8" w:color="3C5896"/>
              <w:right w:val="single" w:sz="8" w:color="9EACCA"/>
            </w:tcBorders>
          </w:tcPr>
          <w:p>
            <w:pPr>
              <w:spacing w:after="0"/>
              <w:rPr>
                <w:sz w:val="6"/>
                <w:szCs w:val="6"/>
                <w:color w:val="auto"/>
              </w:rPr>
            </w:pPr>
          </w:p>
        </w:tc>
        <w:tc>
          <w:tcPr>
            <w:tcW w:w="500" w:type="dxa"/>
            <w:vAlign w:val="bottom"/>
            <w:tcBorders>
              <w:right w:val="single" w:sz="8" w:color="9EACCA"/>
            </w:tcBorders>
            <w:gridSpan w:val="2"/>
            <w:vMerge w:val="continue"/>
          </w:tcPr>
          <w:p>
            <w:pPr>
              <w:spacing w:after="0"/>
              <w:rPr>
                <w:sz w:val="6"/>
                <w:szCs w:val="6"/>
                <w:color w:val="auto"/>
              </w:rPr>
            </w:pPr>
          </w:p>
        </w:tc>
        <w:tc>
          <w:tcPr>
            <w:tcW w:w="700" w:type="dxa"/>
            <w:vAlign w:val="bottom"/>
            <w:tcBorders>
              <w:right w:val="single" w:sz="8" w:color="9EACCA"/>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9EACCA"/>
            </w:tcBorders>
            <w:vMerge w:val="continue"/>
          </w:tcPr>
          <w:p>
            <w:pPr>
              <w:spacing w:after="0"/>
              <w:rPr>
                <w:sz w:val="6"/>
                <w:szCs w:val="6"/>
                <w:color w:val="auto"/>
              </w:rPr>
            </w:pPr>
          </w:p>
        </w:tc>
        <w:tc>
          <w:tcPr>
            <w:tcW w:w="740" w:type="dxa"/>
            <w:vAlign w:val="bottom"/>
            <w:tcBorders>
              <w:right w:val="single" w:sz="8" w:color="9EACCA"/>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right w:val="single" w:sz="8" w:color="9EACCA"/>
            </w:tcBorders>
            <w:vMerge w:val="continue"/>
          </w:tcPr>
          <w:p>
            <w:pPr>
              <w:spacing w:after="0"/>
              <w:rPr>
                <w:sz w:val="6"/>
                <w:szCs w:val="6"/>
                <w:color w:val="auto"/>
              </w:rPr>
            </w:pPr>
          </w:p>
        </w:tc>
        <w:tc>
          <w:tcPr>
            <w:tcW w:w="1180" w:type="dxa"/>
            <w:vAlign w:val="bottom"/>
            <w:tcBorders>
              <w:right w:val="single" w:sz="8" w:color="9EACCA"/>
            </w:tcBorders>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Borders>
              <w:right w:val="single" w:sz="8" w:color="9EACCA"/>
            </w:tcBorders>
            <w:vMerge w:val="continue"/>
          </w:tcPr>
          <w:p>
            <w:pPr>
              <w:spacing w:after="0"/>
              <w:rPr>
                <w:sz w:val="6"/>
                <w:szCs w:val="6"/>
                <w:color w:val="auto"/>
              </w:rPr>
            </w:pPr>
          </w:p>
        </w:tc>
        <w:tc>
          <w:tcPr>
            <w:tcW w:w="1160" w:type="dxa"/>
            <w:vAlign w:val="bottom"/>
            <w:tcBorders>
              <w:right w:val="single" w:sz="8" w:color="9EACCA"/>
            </w:tcBorders>
            <w:gridSpan w:val="2"/>
            <w:vMerge w:val="continue"/>
          </w:tcPr>
          <w:p>
            <w:pPr>
              <w:spacing w:after="0"/>
              <w:rPr>
                <w:sz w:val="6"/>
                <w:szCs w:val="6"/>
                <w:color w:val="auto"/>
              </w:rPr>
            </w:pPr>
          </w:p>
        </w:tc>
        <w:tc>
          <w:tcPr>
            <w:tcW w:w="760" w:type="dxa"/>
            <w:vAlign w:val="bottom"/>
            <w:tcBorders>
              <w:right w:val="single" w:sz="8" w:color="3C58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52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Patrick R. Moore</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447,115</w:t>
            </w:r>
          </w:p>
        </w:tc>
        <w:tc>
          <w:tcPr>
            <w:tcW w:w="700" w:type="dxa"/>
            <w:vAlign w:val="bottom"/>
            <w:tcBorders>
              <w:right w:val="single" w:sz="8" w:color="9EACCA"/>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28,550</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750,023</w:t>
            </w:r>
          </w:p>
        </w:tc>
        <w:tc>
          <w:tcPr>
            <w:tcW w:w="7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250,007</w:t>
            </w:r>
          </w:p>
        </w:tc>
        <w:tc>
          <w:tcPr>
            <w:tcW w:w="118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296,450</w:t>
            </w:r>
          </w:p>
        </w:tc>
        <w:tc>
          <w:tcPr>
            <w:tcW w:w="500" w:type="dxa"/>
            <w:vAlign w:val="bottom"/>
            <w:shd w:val="clear" w:color="auto" w:fill="CCCCCC"/>
          </w:tcPr>
          <w:p>
            <w:pPr>
              <w:spacing w:after="0"/>
              <w:rPr>
                <w:sz w:val="17"/>
                <w:szCs w:val="17"/>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7,287</w:t>
            </w:r>
          </w:p>
        </w:tc>
        <w:tc>
          <w:tcPr>
            <w:tcW w:w="760" w:type="dxa"/>
            <w:vAlign w:val="bottom"/>
            <w:tcBorders>
              <w:right w:val="single" w:sz="8" w:color="3C5896"/>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rPr>
              <w:t>1,779,432</w:t>
            </w:r>
          </w:p>
        </w:tc>
        <w:tc>
          <w:tcPr>
            <w:tcW w:w="0" w:type="dxa"/>
            <w:vAlign w:val="bottom"/>
          </w:tcPr>
          <w:p>
            <w:pPr>
              <w:spacing w:after="0"/>
              <w:rPr>
                <w:sz w:val="1"/>
                <w:szCs w:val="1"/>
                <w:color w:val="auto"/>
              </w:rPr>
            </w:pPr>
          </w:p>
        </w:tc>
      </w:tr>
      <w:tr>
        <w:trPr>
          <w:trHeight w:val="171"/>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444,231</w:t>
            </w: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600,031</w:t>
            </w: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300,014</w:t>
            </w: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rPr>
              <w:t>371,669</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jc w:val="right"/>
              <w:ind w:right="248"/>
              <w:spacing w:after="0"/>
              <w:rPr>
                <w:sz w:val="20"/>
                <w:szCs w:val="20"/>
                <w:color w:val="auto"/>
              </w:rPr>
            </w:pPr>
            <w:r>
              <w:rPr>
                <w:rFonts w:ascii="Arial" w:cs="Arial" w:eastAsia="Arial" w:hAnsi="Arial"/>
                <w:sz w:val="14"/>
                <w:szCs w:val="14"/>
                <w:color w:val="auto"/>
              </w:rPr>
              <w:t>8,153</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9"/>
              </w:rPr>
              <w:t>1,724,098</w:t>
            </w:r>
          </w:p>
        </w:tc>
        <w:tc>
          <w:tcPr>
            <w:tcW w:w="0" w:type="dxa"/>
            <w:vAlign w:val="bottom"/>
          </w:tcPr>
          <w:p>
            <w:pPr>
              <w:spacing w:after="0"/>
              <w:rPr>
                <w:sz w:val="1"/>
                <w:szCs w:val="1"/>
                <w:color w:val="auto"/>
              </w:rPr>
            </w:pPr>
          </w:p>
        </w:tc>
      </w:tr>
      <w:tr>
        <w:trPr>
          <w:trHeight w:val="153"/>
        </w:trPr>
        <w:tc>
          <w:tcPr>
            <w:tcW w:w="1520" w:type="dxa"/>
            <w:vAlign w:val="bottom"/>
            <w:tcBorders>
              <w:left w:val="single" w:sz="8" w:color="3C5896"/>
              <w:right w:val="single" w:sz="8" w:color="9EACCA"/>
            </w:tcBorders>
            <w:shd w:val="clear" w:color="auto" w:fill="CCCCCC"/>
          </w:tcPr>
          <w:p>
            <w:pPr>
              <w:ind w:left="180"/>
              <w:spacing w:after="0" w:line="153" w:lineRule="exact"/>
              <w:rPr>
                <w:sz w:val="20"/>
                <w:szCs w:val="20"/>
                <w:color w:val="auto"/>
              </w:rPr>
            </w:pPr>
            <w:r>
              <w:rPr>
                <w:rFonts w:ascii="Arial" w:cs="Arial" w:eastAsia="Arial" w:hAnsi="Arial"/>
                <w:sz w:val="14"/>
                <w:szCs w:val="14"/>
                <w:color w:val="auto"/>
              </w:rPr>
              <w:t>President and Chief</w:t>
            </w:r>
          </w:p>
        </w:tc>
        <w:tc>
          <w:tcPr>
            <w:tcW w:w="80" w:type="dxa"/>
            <w:vAlign w:val="bottom"/>
            <w:shd w:val="clear" w:color="auto" w:fill="CCCCCC"/>
          </w:tcPr>
          <w:p>
            <w:pPr>
              <w:spacing w:after="0"/>
              <w:rPr>
                <w:sz w:val="13"/>
                <w:szCs w:val="13"/>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CCCC"/>
          </w:tcPr>
          <w:p>
            <w:pPr>
              <w:spacing w:after="0"/>
              <w:rPr>
                <w:sz w:val="13"/>
                <w:szCs w:val="13"/>
                <w:color w:val="auto"/>
              </w:rPr>
            </w:pPr>
          </w:p>
        </w:tc>
        <w:tc>
          <w:tcPr>
            <w:tcW w:w="6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421,923</w:t>
            </w:r>
          </w:p>
        </w:tc>
        <w:tc>
          <w:tcPr>
            <w:tcW w:w="120" w:type="dxa"/>
            <w:vAlign w:val="bottom"/>
            <w:shd w:val="clear" w:color="auto" w:fill="CCCCCC"/>
          </w:tcPr>
          <w:p>
            <w:pPr>
              <w:spacing w:after="0"/>
              <w:rPr>
                <w:sz w:val="13"/>
                <w:szCs w:val="13"/>
                <w:color w:val="auto"/>
              </w:rPr>
            </w:pPr>
          </w:p>
        </w:tc>
        <w:tc>
          <w:tcPr>
            <w:tcW w:w="580" w:type="dxa"/>
            <w:vAlign w:val="bottom"/>
            <w:tcBorders>
              <w:right w:val="single" w:sz="8" w:color="9EACCA"/>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3"/>
                <w:szCs w:val="13"/>
                <w:color w:val="auto"/>
              </w:rPr>
            </w:pPr>
          </w:p>
        </w:tc>
        <w:tc>
          <w:tcPr>
            <w:tcW w:w="720" w:type="dxa"/>
            <w:vAlign w:val="bottom"/>
            <w:tcBorders>
              <w:right w:val="single" w:sz="8" w:color="9EACCA"/>
            </w:tcBorders>
            <w:vMerge w:val="restart"/>
            <w:shd w:val="clear" w:color="auto" w:fill="CCCCCC"/>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CCCC"/>
          </w:tcPr>
          <w:p>
            <w:pPr>
              <w:spacing w:after="0"/>
              <w:rPr>
                <w:sz w:val="13"/>
                <w:szCs w:val="13"/>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161,418</w:t>
            </w:r>
          </w:p>
        </w:tc>
        <w:tc>
          <w:tcPr>
            <w:tcW w:w="500" w:type="dxa"/>
            <w:vAlign w:val="bottom"/>
            <w:shd w:val="clear" w:color="auto" w:fill="CCCCCC"/>
          </w:tcPr>
          <w:p>
            <w:pPr>
              <w:spacing w:after="0"/>
              <w:rPr>
                <w:sz w:val="13"/>
                <w:szCs w:val="13"/>
                <w:color w:val="auto"/>
              </w:rPr>
            </w:pPr>
          </w:p>
        </w:tc>
        <w:tc>
          <w:tcPr>
            <w:tcW w:w="660" w:type="dxa"/>
            <w:vAlign w:val="bottom"/>
            <w:tcBorders>
              <w:right w:val="single" w:sz="8" w:color="9EACCA"/>
            </w:tcBorders>
            <w:vMerge w:val="restart"/>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13"/>
                <w:szCs w:val="13"/>
                <w:color w:val="auto"/>
              </w:rPr>
            </w:pPr>
          </w:p>
        </w:tc>
        <w:tc>
          <w:tcPr>
            <w:tcW w:w="86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7,404</w:t>
            </w:r>
          </w:p>
        </w:tc>
        <w:tc>
          <w:tcPr>
            <w:tcW w:w="40" w:type="dxa"/>
            <w:vAlign w:val="bottom"/>
            <w:shd w:val="clear" w:color="auto" w:fill="CCCCCC"/>
          </w:tcPr>
          <w:p>
            <w:pPr>
              <w:spacing w:after="0"/>
              <w:rPr>
                <w:sz w:val="13"/>
                <w:szCs w:val="13"/>
                <w:color w:val="auto"/>
              </w:rPr>
            </w:pPr>
          </w:p>
        </w:tc>
        <w:tc>
          <w:tcPr>
            <w:tcW w:w="720" w:type="dxa"/>
            <w:vAlign w:val="bottom"/>
            <w:tcBorders>
              <w:right w:val="single" w:sz="8" w:color="3C5896"/>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rPr>
              <w:t>590,745</w:t>
            </w:r>
          </w:p>
        </w:tc>
        <w:tc>
          <w:tcPr>
            <w:tcW w:w="0" w:type="dxa"/>
            <w:vAlign w:val="bottom"/>
          </w:tcPr>
          <w:p>
            <w:pPr>
              <w:spacing w:after="0"/>
              <w:rPr>
                <w:sz w:val="1"/>
                <w:szCs w:val="1"/>
                <w:color w:val="auto"/>
              </w:rPr>
            </w:pPr>
          </w:p>
        </w:tc>
      </w:tr>
      <w:tr>
        <w:trPr>
          <w:trHeight w:val="91"/>
        </w:trPr>
        <w:tc>
          <w:tcPr>
            <w:tcW w:w="1520" w:type="dxa"/>
            <w:vAlign w:val="bottom"/>
            <w:tcBorders>
              <w:left w:val="single" w:sz="8" w:color="3C5896"/>
              <w:right w:val="single" w:sz="8" w:color="9EACCA"/>
            </w:tcBorders>
            <w:vMerge w:val="restart"/>
            <w:shd w:val="clear" w:color="auto" w:fill="CCCCCC"/>
          </w:tcPr>
          <w:p>
            <w:pPr>
              <w:ind w:left="180"/>
              <w:spacing w:after="0"/>
              <w:rPr>
                <w:sz w:val="20"/>
                <w:szCs w:val="20"/>
                <w:color w:val="auto"/>
              </w:rPr>
            </w:pPr>
            <w:r>
              <w:rPr>
                <w:rFonts w:ascii="Arial" w:cs="Arial" w:eastAsia="Arial" w:hAnsi="Arial"/>
                <w:sz w:val="14"/>
                <w:szCs w:val="14"/>
                <w:color w:val="auto"/>
              </w:rPr>
              <w:t>Financial Officer</w:t>
            </w:r>
          </w:p>
        </w:tc>
        <w:tc>
          <w:tcPr>
            <w:tcW w:w="80" w:type="dxa"/>
            <w:vAlign w:val="bottom"/>
            <w:shd w:val="clear" w:color="auto" w:fill="CCCCCC"/>
          </w:tcPr>
          <w:p>
            <w:pPr>
              <w:spacing w:after="0"/>
              <w:rPr>
                <w:sz w:val="7"/>
                <w:szCs w:val="7"/>
                <w:color w:val="auto"/>
              </w:rPr>
            </w:pPr>
          </w:p>
        </w:tc>
        <w:tc>
          <w:tcPr>
            <w:tcW w:w="420" w:type="dxa"/>
            <w:vAlign w:val="bottom"/>
            <w:tcBorders>
              <w:right w:val="single" w:sz="8" w:color="9EACCA"/>
            </w:tcBorders>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620" w:type="dxa"/>
            <w:vAlign w:val="bottom"/>
            <w:tcBorders>
              <w:right w:val="single" w:sz="8" w:color="9EACCA"/>
            </w:tcBorders>
            <w:vMerge w:val="continue"/>
            <w:shd w:val="clear" w:color="auto" w:fill="CCCCCC"/>
          </w:tcPr>
          <w:p>
            <w:pPr>
              <w:spacing w:after="0"/>
              <w:rPr>
                <w:sz w:val="7"/>
                <w:szCs w:val="7"/>
                <w:color w:val="auto"/>
              </w:rPr>
            </w:pPr>
          </w:p>
        </w:tc>
        <w:tc>
          <w:tcPr>
            <w:tcW w:w="120" w:type="dxa"/>
            <w:vAlign w:val="bottom"/>
            <w:shd w:val="clear" w:color="auto" w:fill="CCCCCC"/>
          </w:tcPr>
          <w:p>
            <w:pPr>
              <w:spacing w:after="0"/>
              <w:rPr>
                <w:sz w:val="7"/>
                <w:szCs w:val="7"/>
                <w:color w:val="auto"/>
              </w:rPr>
            </w:pPr>
          </w:p>
        </w:tc>
        <w:tc>
          <w:tcPr>
            <w:tcW w:w="580" w:type="dxa"/>
            <w:vAlign w:val="bottom"/>
            <w:tcBorders>
              <w:right w:val="single" w:sz="8" w:color="9EACCA"/>
            </w:tcBorders>
            <w:vMerge w:val="continue"/>
            <w:shd w:val="clear" w:color="auto" w:fill="CCCCCC"/>
          </w:tcPr>
          <w:p>
            <w:pPr>
              <w:spacing w:after="0"/>
              <w:rPr>
                <w:sz w:val="7"/>
                <w:szCs w:val="7"/>
                <w:color w:val="auto"/>
              </w:rPr>
            </w:pPr>
          </w:p>
        </w:tc>
        <w:tc>
          <w:tcPr>
            <w:tcW w:w="740" w:type="dxa"/>
            <w:vAlign w:val="bottom"/>
            <w:tcBorders>
              <w:right w:val="single" w:sz="8" w:color="9EACCA"/>
            </w:tcBorders>
            <w:vMerge w:val="continue"/>
            <w:shd w:val="clear" w:color="auto" w:fill="CCCCCC"/>
          </w:tcPr>
          <w:p>
            <w:pPr>
              <w:spacing w:after="0"/>
              <w:rPr>
                <w:sz w:val="7"/>
                <w:szCs w:val="7"/>
                <w:color w:val="auto"/>
              </w:rPr>
            </w:pPr>
          </w:p>
        </w:tc>
        <w:tc>
          <w:tcPr>
            <w:tcW w:w="60" w:type="dxa"/>
            <w:vAlign w:val="bottom"/>
            <w:shd w:val="clear" w:color="auto" w:fill="CCCCCC"/>
          </w:tcPr>
          <w:p>
            <w:pPr>
              <w:spacing w:after="0"/>
              <w:rPr>
                <w:sz w:val="7"/>
                <w:szCs w:val="7"/>
                <w:color w:val="auto"/>
              </w:rPr>
            </w:pPr>
          </w:p>
        </w:tc>
        <w:tc>
          <w:tcPr>
            <w:tcW w:w="720" w:type="dxa"/>
            <w:vAlign w:val="bottom"/>
            <w:tcBorders>
              <w:right w:val="single" w:sz="8" w:color="9EACCA"/>
            </w:tcBorders>
            <w:vMerge w:val="continue"/>
            <w:shd w:val="clear" w:color="auto" w:fill="CCCCCC"/>
          </w:tcPr>
          <w:p>
            <w:pPr>
              <w:spacing w:after="0"/>
              <w:rPr>
                <w:sz w:val="7"/>
                <w:szCs w:val="7"/>
                <w:color w:val="auto"/>
              </w:rPr>
            </w:pPr>
          </w:p>
        </w:tc>
        <w:tc>
          <w:tcPr>
            <w:tcW w:w="260" w:type="dxa"/>
            <w:vAlign w:val="bottom"/>
            <w:shd w:val="clear" w:color="auto" w:fill="CCCCCC"/>
          </w:tcPr>
          <w:p>
            <w:pPr>
              <w:spacing w:after="0"/>
              <w:rPr>
                <w:sz w:val="7"/>
                <w:szCs w:val="7"/>
                <w:color w:val="auto"/>
              </w:rPr>
            </w:pPr>
          </w:p>
        </w:tc>
        <w:tc>
          <w:tcPr>
            <w:tcW w:w="920" w:type="dxa"/>
            <w:vAlign w:val="bottom"/>
            <w:tcBorders>
              <w:right w:val="single" w:sz="8" w:color="9EACCA"/>
            </w:tcBorders>
            <w:vMerge w:val="continue"/>
            <w:shd w:val="clear" w:color="auto" w:fill="CCCCCC"/>
          </w:tcPr>
          <w:p>
            <w:pPr>
              <w:spacing w:after="0"/>
              <w:rPr>
                <w:sz w:val="7"/>
                <w:szCs w:val="7"/>
                <w:color w:val="auto"/>
              </w:rPr>
            </w:pPr>
          </w:p>
        </w:tc>
        <w:tc>
          <w:tcPr>
            <w:tcW w:w="500" w:type="dxa"/>
            <w:vAlign w:val="bottom"/>
            <w:shd w:val="clear" w:color="auto" w:fill="CCCCCC"/>
          </w:tcPr>
          <w:p>
            <w:pPr>
              <w:spacing w:after="0"/>
              <w:rPr>
                <w:sz w:val="7"/>
                <w:szCs w:val="7"/>
                <w:color w:val="auto"/>
              </w:rPr>
            </w:pPr>
          </w:p>
        </w:tc>
        <w:tc>
          <w:tcPr>
            <w:tcW w:w="660" w:type="dxa"/>
            <w:vAlign w:val="bottom"/>
            <w:tcBorders>
              <w:right w:val="single" w:sz="8" w:color="9EACCA"/>
            </w:tcBorders>
            <w:vMerge w:val="continue"/>
            <w:shd w:val="clear" w:color="auto" w:fill="CCCCCC"/>
          </w:tcPr>
          <w:p>
            <w:pPr>
              <w:spacing w:after="0"/>
              <w:rPr>
                <w:sz w:val="7"/>
                <w:szCs w:val="7"/>
                <w:color w:val="auto"/>
              </w:rPr>
            </w:pPr>
          </w:p>
        </w:tc>
        <w:tc>
          <w:tcPr>
            <w:tcW w:w="300" w:type="dxa"/>
            <w:vAlign w:val="bottom"/>
            <w:shd w:val="clear" w:color="auto" w:fill="CCCCCC"/>
          </w:tcPr>
          <w:p>
            <w:pPr>
              <w:spacing w:after="0"/>
              <w:rPr>
                <w:sz w:val="7"/>
                <w:szCs w:val="7"/>
                <w:color w:val="auto"/>
              </w:rPr>
            </w:pPr>
          </w:p>
        </w:tc>
        <w:tc>
          <w:tcPr>
            <w:tcW w:w="860" w:type="dxa"/>
            <w:vAlign w:val="bottom"/>
            <w:tcBorders>
              <w:right w:val="single" w:sz="8" w:color="9EACCA"/>
            </w:tcBorders>
            <w:vMerge w:val="continue"/>
            <w:shd w:val="clear" w:color="auto" w:fill="CCCCCC"/>
          </w:tcPr>
          <w:p>
            <w:pPr>
              <w:spacing w:after="0"/>
              <w:rPr>
                <w:sz w:val="7"/>
                <w:szCs w:val="7"/>
                <w:color w:val="auto"/>
              </w:rPr>
            </w:pPr>
          </w:p>
        </w:tc>
        <w:tc>
          <w:tcPr>
            <w:tcW w:w="40" w:type="dxa"/>
            <w:vAlign w:val="bottom"/>
            <w:shd w:val="clear" w:color="auto" w:fill="CCCCCC"/>
          </w:tcPr>
          <w:p>
            <w:pPr>
              <w:spacing w:after="0"/>
              <w:rPr>
                <w:sz w:val="7"/>
                <w:szCs w:val="7"/>
                <w:color w:val="auto"/>
              </w:rPr>
            </w:pPr>
          </w:p>
        </w:tc>
        <w:tc>
          <w:tcPr>
            <w:tcW w:w="720" w:type="dxa"/>
            <w:vAlign w:val="bottom"/>
            <w:tcBorders>
              <w:right w:val="single" w:sz="8" w:color="3C5896"/>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520" w:type="dxa"/>
            <w:vAlign w:val="bottom"/>
            <w:tcBorders>
              <w:left w:val="single" w:sz="8" w:color="3C5896"/>
              <w:bottom w:val="single" w:sz="8" w:color="CCCCCC"/>
              <w:right w:val="single" w:sz="8" w:color="9EACCA"/>
            </w:tcBorders>
            <w:vMerge w:val="continue"/>
            <w:shd w:val="clear" w:color="auto" w:fill="CCCCCC"/>
          </w:tcPr>
          <w:p>
            <w:pPr>
              <w:spacing w:after="0"/>
              <w:rPr>
                <w:sz w:val="8"/>
                <w:szCs w:val="8"/>
                <w:color w:val="auto"/>
              </w:rPr>
            </w:pPr>
          </w:p>
        </w:tc>
        <w:tc>
          <w:tcPr>
            <w:tcW w:w="80" w:type="dxa"/>
            <w:vAlign w:val="bottom"/>
            <w:tcBorders>
              <w:bottom w:val="single" w:sz="8" w:color="CCCCCC"/>
            </w:tcBorders>
            <w:shd w:val="clear" w:color="auto" w:fill="CCCCCC"/>
          </w:tcPr>
          <w:p>
            <w:pPr>
              <w:spacing w:after="0"/>
              <w:rPr>
                <w:sz w:val="8"/>
                <w:szCs w:val="8"/>
                <w:color w:val="auto"/>
              </w:rPr>
            </w:pPr>
          </w:p>
        </w:tc>
        <w:tc>
          <w:tcPr>
            <w:tcW w:w="420" w:type="dxa"/>
            <w:vAlign w:val="bottom"/>
            <w:tcBorders>
              <w:bottom w:val="single" w:sz="8" w:color="CCCCCC"/>
              <w:right w:val="single" w:sz="8" w:color="9EACCA"/>
            </w:tcBorders>
            <w:shd w:val="clear" w:color="auto" w:fill="CCCCCC"/>
          </w:tcPr>
          <w:p>
            <w:pPr>
              <w:spacing w:after="0"/>
              <w:rPr>
                <w:sz w:val="8"/>
                <w:szCs w:val="8"/>
                <w:color w:val="auto"/>
              </w:rPr>
            </w:pPr>
          </w:p>
        </w:tc>
        <w:tc>
          <w:tcPr>
            <w:tcW w:w="80" w:type="dxa"/>
            <w:vAlign w:val="bottom"/>
            <w:tcBorders>
              <w:bottom w:val="single" w:sz="8" w:color="CCCCCC"/>
            </w:tcBorders>
            <w:shd w:val="clear" w:color="auto" w:fill="CCCCCC"/>
          </w:tcPr>
          <w:p>
            <w:pPr>
              <w:spacing w:after="0"/>
              <w:rPr>
                <w:sz w:val="8"/>
                <w:szCs w:val="8"/>
                <w:color w:val="auto"/>
              </w:rPr>
            </w:pPr>
          </w:p>
        </w:tc>
        <w:tc>
          <w:tcPr>
            <w:tcW w:w="620" w:type="dxa"/>
            <w:vAlign w:val="bottom"/>
            <w:tcBorders>
              <w:bottom w:val="single" w:sz="8" w:color="CCCCCC"/>
              <w:right w:val="single" w:sz="8" w:color="9EACCA"/>
            </w:tcBorders>
            <w:shd w:val="clear" w:color="auto" w:fill="CCCCCC"/>
          </w:tcPr>
          <w:p>
            <w:pPr>
              <w:spacing w:after="0"/>
              <w:rPr>
                <w:sz w:val="8"/>
                <w:szCs w:val="8"/>
                <w:color w:val="auto"/>
              </w:rPr>
            </w:pPr>
          </w:p>
        </w:tc>
        <w:tc>
          <w:tcPr>
            <w:tcW w:w="120" w:type="dxa"/>
            <w:vAlign w:val="bottom"/>
            <w:tcBorders>
              <w:bottom w:val="single" w:sz="8" w:color="CCCCCC"/>
            </w:tcBorders>
            <w:shd w:val="clear" w:color="auto" w:fill="CCCCCC"/>
          </w:tcPr>
          <w:p>
            <w:pPr>
              <w:spacing w:after="0"/>
              <w:rPr>
                <w:sz w:val="8"/>
                <w:szCs w:val="8"/>
                <w:color w:val="auto"/>
              </w:rPr>
            </w:pPr>
          </w:p>
        </w:tc>
        <w:tc>
          <w:tcPr>
            <w:tcW w:w="580" w:type="dxa"/>
            <w:vAlign w:val="bottom"/>
            <w:tcBorders>
              <w:bottom w:val="single" w:sz="8" w:color="CCCCCC"/>
              <w:right w:val="single" w:sz="8" w:color="9EACCA"/>
            </w:tcBorders>
            <w:shd w:val="clear" w:color="auto" w:fill="CCCCCC"/>
          </w:tcPr>
          <w:p>
            <w:pPr>
              <w:spacing w:after="0"/>
              <w:rPr>
                <w:sz w:val="8"/>
                <w:szCs w:val="8"/>
                <w:color w:val="auto"/>
              </w:rPr>
            </w:pPr>
          </w:p>
        </w:tc>
        <w:tc>
          <w:tcPr>
            <w:tcW w:w="740" w:type="dxa"/>
            <w:vAlign w:val="bottom"/>
            <w:tcBorders>
              <w:bottom w:val="single" w:sz="8" w:color="CCCCCC"/>
              <w:right w:val="single" w:sz="8" w:color="9EACCA"/>
            </w:tcBorders>
            <w:shd w:val="clear" w:color="auto" w:fill="CCCCCC"/>
          </w:tcPr>
          <w:p>
            <w:pPr>
              <w:spacing w:after="0"/>
              <w:rPr>
                <w:sz w:val="8"/>
                <w:szCs w:val="8"/>
                <w:color w:val="auto"/>
              </w:rPr>
            </w:pPr>
          </w:p>
        </w:tc>
        <w:tc>
          <w:tcPr>
            <w:tcW w:w="60" w:type="dxa"/>
            <w:vAlign w:val="bottom"/>
            <w:tcBorders>
              <w:bottom w:val="single" w:sz="8" w:color="CCCCCC"/>
            </w:tcBorders>
            <w:shd w:val="clear" w:color="auto" w:fill="CCCCCC"/>
          </w:tcPr>
          <w:p>
            <w:pPr>
              <w:spacing w:after="0"/>
              <w:rPr>
                <w:sz w:val="8"/>
                <w:szCs w:val="8"/>
                <w:color w:val="auto"/>
              </w:rPr>
            </w:pPr>
          </w:p>
        </w:tc>
        <w:tc>
          <w:tcPr>
            <w:tcW w:w="720" w:type="dxa"/>
            <w:vAlign w:val="bottom"/>
            <w:tcBorders>
              <w:bottom w:val="single" w:sz="8" w:color="CCCCCC"/>
              <w:right w:val="single" w:sz="8" w:color="9EACCA"/>
            </w:tcBorders>
            <w:shd w:val="clear" w:color="auto" w:fill="CCCCCC"/>
          </w:tcPr>
          <w:p>
            <w:pPr>
              <w:spacing w:after="0"/>
              <w:rPr>
                <w:sz w:val="8"/>
                <w:szCs w:val="8"/>
                <w:color w:val="auto"/>
              </w:rPr>
            </w:pPr>
          </w:p>
        </w:tc>
        <w:tc>
          <w:tcPr>
            <w:tcW w:w="260" w:type="dxa"/>
            <w:vAlign w:val="bottom"/>
            <w:tcBorders>
              <w:bottom w:val="single" w:sz="8" w:color="CCCCCC"/>
            </w:tcBorders>
            <w:shd w:val="clear" w:color="auto" w:fill="CCCCCC"/>
          </w:tcPr>
          <w:p>
            <w:pPr>
              <w:spacing w:after="0"/>
              <w:rPr>
                <w:sz w:val="8"/>
                <w:szCs w:val="8"/>
                <w:color w:val="auto"/>
              </w:rPr>
            </w:pPr>
          </w:p>
        </w:tc>
        <w:tc>
          <w:tcPr>
            <w:tcW w:w="920" w:type="dxa"/>
            <w:vAlign w:val="bottom"/>
            <w:tcBorders>
              <w:bottom w:val="single" w:sz="8" w:color="CCCCCC"/>
              <w:right w:val="single" w:sz="8" w:color="9EACCA"/>
            </w:tcBorders>
            <w:shd w:val="clear" w:color="auto" w:fill="CCCCCC"/>
          </w:tcPr>
          <w:p>
            <w:pPr>
              <w:spacing w:after="0"/>
              <w:rPr>
                <w:sz w:val="8"/>
                <w:szCs w:val="8"/>
                <w:color w:val="auto"/>
              </w:rPr>
            </w:pPr>
          </w:p>
        </w:tc>
        <w:tc>
          <w:tcPr>
            <w:tcW w:w="500" w:type="dxa"/>
            <w:vAlign w:val="bottom"/>
            <w:tcBorders>
              <w:bottom w:val="single" w:sz="8" w:color="CCCCCC"/>
            </w:tcBorders>
            <w:shd w:val="clear" w:color="auto" w:fill="CCCCCC"/>
          </w:tcPr>
          <w:p>
            <w:pPr>
              <w:spacing w:after="0"/>
              <w:rPr>
                <w:sz w:val="8"/>
                <w:szCs w:val="8"/>
                <w:color w:val="auto"/>
              </w:rPr>
            </w:pPr>
          </w:p>
        </w:tc>
        <w:tc>
          <w:tcPr>
            <w:tcW w:w="660" w:type="dxa"/>
            <w:vAlign w:val="bottom"/>
            <w:tcBorders>
              <w:bottom w:val="single" w:sz="8" w:color="CCCCCC"/>
              <w:right w:val="single" w:sz="8" w:color="9EACCA"/>
            </w:tcBorders>
            <w:shd w:val="clear" w:color="auto" w:fill="CCCCCC"/>
          </w:tcPr>
          <w:p>
            <w:pPr>
              <w:spacing w:after="0"/>
              <w:rPr>
                <w:sz w:val="8"/>
                <w:szCs w:val="8"/>
                <w:color w:val="auto"/>
              </w:rPr>
            </w:pPr>
          </w:p>
        </w:tc>
        <w:tc>
          <w:tcPr>
            <w:tcW w:w="300" w:type="dxa"/>
            <w:vAlign w:val="bottom"/>
            <w:tcBorders>
              <w:bottom w:val="single" w:sz="8" w:color="CCCCCC"/>
            </w:tcBorders>
            <w:shd w:val="clear" w:color="auto" w:fill="CCCCCC"/>
          </w:tcPr>
          <w:p>
            <w:pPr>
              <w:spacing w:after="0"/>
              <w:rPr>
                <w:sz w:val="8"/>
                <w:szCs w:val="8"/>
                <w:color w:val="auto"/>
              </w:rPr>
            </w:pPr>
          </w:p>
        </w:tc>
        <w:tc>
          <w:tcPr>
            <w:tcW w:w="860" w:type="dxa"/>
            <w:vAlign w:val="bottom"/>
            <w:tcBorders>
              <w:bottom w:val="single" w:sz="8" w:color="CCCCCC"/>
              <w:right w:val="single" w:sz="8" w:color="9EACCA"/>
            </w:tcBorders>
            <w:shd w:val="clear" w:color="auto" w:fill="CCCCCC"/>
          </w:tcPr>
          <w:p>
            <w:pPr>
              <w:spacing w:after="0"/>
              <w:rPr>
                <w:sz w:val="8"/>
                <w:szCs w:val="8"/>
                <w:color w:val="auto"/>
              </w:rPr>
            </w:pPr>
          </w:p>
        </w:tc>
        <w:tc>
          <w:tcPr>
            <w:tcW w:w="40" w:type="dxa"/>
            <w:vAlign w:val="bottom"/>
            <w:tcBorders>
              <w:bottom w:val="single" w:sz="8" w:color="CCCCCC"/>
            </w:tcBorders>
            <w:shd w:val="clear" w:color="auto" w:fill="CCCCCC"/>
          </w:tcPr>
          <w:p>
            <w:pPr>
              <w:spacing w:after="0"/>
              <w:rPr>
                <w:sz w:val="8"/>
                <w:szCs w:val="8"/>
                <w:color w:val="auto"/>
              </w:rPr>
            </w:pPr>
          </w:p>
        </w:tc>
        <w:tc>
          <w:tcPr>
            <w:tcW w:w="720" w:type="dxa"/>
            <w:vAlign w:val="bottom"/>
            <w:tcBorders>
              <w:bottom w:val="single" w:sz="8" w:color="CCCCCC"/>
              <w:right w:val="single" w:sz="8" w:color="3C5896"/>
            </w:tcBorders>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520" w:type="dxa"/>
            <w:vAlign w:val="bottom"/>
            <w:tcBorders>
              <w:left w:val="single" w:sz="8" w:color="3C5896"/>
              <w:right w:val="single" w:sz="8" w:color="9EACCA"/>
            </w:tcBorders>
          </w:tcPr>
          <w:p>
            <w:pPr>
              <w:ind w:left="20"/>
              <w:spacing w:after="0" w:line="221" w:lineRule="exact"/>
              <w:rPr>
                <w:sz w:val="20"/>
                <w:szCs w:val="20"/>
                <w:color w:val="auto"/>
              </w:rPr>
            </w:pPr>
            <w:r>
              <w:rPr>
                <w:rFonts w:ascii="Arial" w:cs="Arial" w:eastAsia="Arial" w:hAnsi="Arial"/>
                <w:sz w:val="14"/>
                <w:szCs w:val="14"/>
                <w:color w:val="auto"/>
              </w:rPr>
              <w:t>Bill Clark</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315,385</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15,365</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240,049</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80,004</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159,635</w:t>
            </w:r>
          </w:p>
        </w:tc>
        <w:tc>
          <w:tcPr>
            <w:tcW w:w="500" w:type="dxa"/>
            <w:vAlign w:val="bottom"/>
          </w:tcPr>
          <w:p>
            <w:pPr>
              <w:spacing w:after="0"/>
              <w:rPr>
                <w:sz w:val="19"/>
                <w:szCs w:val="19"/>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7,375</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817,813</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171,077</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50,000</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550,027</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250,005</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119,278</w:t>
            </w:r>
          </w:p>
        </w:tc>
        <w:tc>
          <w:tcPr>
            <w:tcW w:w="500" w:type="dxa"/>
            <w:vAlign w:val="bottom"/>
          </w:tcPr>
          <w:p>
            <w:pPr>
              <w:spacing w:after="0"/>
              <w:rPr>
                <w:sz w:val="14"/>
                <w:szCs w:val="14"/>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162,646</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1,303,033</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President, Chief</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People Officer</w:t>
            </w:r>
          </w:p>
        </w:tc>
        <w:tc>
          <w:tcPr>
            <w:tcW w:w="80" w:type="dxa"/>
            <w:vAlign w:val="bottom"/>
          </w:tcPr>
          <w:p>
            <w:pPr>
              <w:spacing w:after="0"/>
              <w:rPr>
                <w:sz w:val="15"/>
                <w:szCs w:val="15"/>
                <w:color w:val="auto"/>
              </w:rPr>
            </w:pPr>
          </w:p>
        </w:tc>
        <w:tc>
          <w:tcPr>
            <w:tcW w:w="420" w:type="dxa"/>
            <w:vAlign w:val="bottom"/>
            <w:tcBorders>
              <w:right w:val="single" w:sz="8" w:color="9EACCA"/>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9EACCA"/>
            </w:tcBorders>
          </w:tcPr>
          <w:p>
            <w:pPr>
              <w:spacing w:after="0"/>
              <w:rPr>
                <w:sz w:val="15"/>
                <w:szCs w:val="15"/>
                <w:color w:val="auto"/>
              </w:rPr>
            </w:pPr>
          </w:p>
        </w:tc>
        <w:tc>
          <w:tcPr>
            <w:tcW w:w="740" w:type="dxa"/>
            <w:vAlign w:val="bottom"/>
            <w:tcBorders>
              <w:right w:val="single" w:sz="8" w:color="9EACCA"/>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9EACCA"/>
            </w:tcBorders>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right w:val="single" w:sz="8" w:color="9EACCA"/>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Borders>
              <w:right w:val="single" w:sz="8" w:color="9EACCA"/>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9EACCA"/>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right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520" w:type="dxa"/>
            <w:vAlign w:val="bottom"/>
            <w:tcBorders>
              <w:left w:val="single" w:sz="8" w:color="3C5896"/>
              <w:right w:val="single" w:sz="8" w:color="9EACCA"/>
            </w:tcBorders>
            <w:shd w:val="clear" w:color="auto" w:fill="CCCCCC"/>
          </w:tcPr>
          <w:p>
            <w:pPr>
              <w:ind w:left="20"/>
              <w:spacing w:after="0" w:line="222" w:lineRule="exact"/>
              <w:rPr>
                <w:sz w:val="20"/>
                <w:szCs w:val="20"/>
                <w:color w:val="auto"/>
              </w:rPr>
            </w:pPr>
            <w:r>
              <w:rPr>
                <w:rFonts w:ascii="Arial" w:cs="Arial" w:eastAsia="Arial" w:hAnsi="Arial"/>
                <w:sz w:val="14"/>
                <w:szCs w:val="14"/>
                <w:color w:val="auto"/>
              </w:rPr>
              <w:t>Jared Brandman</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328,462</w:t>
            </w:r>
          </w:p>
        </w:tc>
        <w:tc>
          <w:tcPr>
            <w:tcW w:w="700" w:type="dxa"/>
            <w:vAlign w:val="bottom"/>
            <w:tcBorders>
              <w:right w:val="single" w:sz="8" w:color="9EACCA"/>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15,365</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187,506</w:t>
            </w:r>
          </w:p>
        </w:tc>
        <w:tc>
          <w:tcPr>
            <w:tcW w:w="7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62,509</w:t>
            </w:r>
          </w:p>
        </w:tc>
        <w:tc>
          <w:tcPr>
            <w:tcW w:w="118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159,635</w:t>
            </w:r>
          </w:p>
        </w:tc>
        <w:tc>
          <w:tcPr>
            <w:tcW w:w="50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6,809</w:t>
            </w:r>
          </w:p>
        </w:tc>
        <w:tc>
          <w:tcPr>
            <w:tcW w:w="760" w:type="dxa"/>
            <w:vAlign w:val="bottom"/>
            <w:tcBorders>
              <w:right w:val="single" w:sz="8" w:color="3C5896"/>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rPr>
              <w:t>760,286</w:t>
            </w:r>
          </w:p>
        </w:tc>
        <w:tc>
          <w:tcPr>
            <w:tcW w:w="0" w:type="dxa"/>
            <w:vAlign w:val="bottom"/>
          </w:tcPr>
          <w:p>
            <w:pPr>
              <w:spacing w:after="0"/>
              <w:rPr>
                <w:sz w:val="1"/>
                <w:szCs w:val="1"/>
                <w:color w:val="auto"/>
              </w:rPr>
            </w:pPr>
          </w:p>
        </w:tc>
      </w:tr>
      <w:tr>
        <w:trPr>
          <w:trHeight w:val="167"/>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298,915</w:t>
            </w: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425,031</w:t>
            </w: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125,008</w:t>
            </w: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rPr>
              <w:t>208,409</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jc w:val="right"/>
              <w:ind w:right="248"/>
              <w:spacing w:after="0"/>
              <w:rPr>
                <w:sz w:val="20"/>
                <w:szCs w:val="20"/>
                <w:color w:val="auto"/>
              </w:rPr>
            </w:pPr>
            <w:r>
              <w:rPr>
                <w:rFonts w:ascii="Arial" w:cs="Arial" w:eastAsia="Arial" w:hAnsi="Arial"/>
                <w:sz w:val="14"/>
                <w:szCs w:val="14"/>
                <w:color w:val="auto"/>
              </w:rPr>
              <w:t>5,550</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9"/>
              </w:rPr>
              <w:t>1,062,913</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President, General</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spacing w:after="0"/>
              <w:rPr>
                <w:sz w:val="14"/>
                <w:szCs w:val="14"/>
                <w:color w:val="auto"/>
              </w:rPr>
            </w:pP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spacing w:after="0"/>
              <w:rPr>
                <w:sz w:val="14"/>
                <w:szCs w:val="14"/>
                <w:color w:val="auto"/>
              </w:rPr>
            </w:pP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Counsel and</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spacing w:after="0"/>
              <w:rPr>
                <w:sz w:val="14"/>
                <w:szCs w:val="14"/>
                <w:color w:val="auto"/>
              </w:rPr>
            </w:pP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spacing w:after="0"/>
              <w:rPr>
                <w:sz w:val="14"/>
                <w:szCs w:val="14"/>
                <w:color w:val="auto"/>
              </w:rPr>
            </w:pP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2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Secretary</w:t>
            </w:r>
          </w:p>
        </w:tc>
        <w:tc>
          <w:tcPr>
            <w:tcW w:w="80" w:type="dxa"/>
            <w:vAlign w:val="bottom"/>
            <w:tcBorders>
              <w:bottom w:val="single" w:sz="8" w:color="CCCCCC"/>
            </w:tcBorders>
            <w:shd w:val="clear" w:color="auto" w:fill="CCCCCC"/>
          </w:tcPr>
          <w:p>
            <w:pPr>
              <w:spacing w:after="0"/>
              <w:rPr>
                <w:sz w:val="15"/>
                <w:szCs w:val="15"/>
                <w:color w:val="auto"/>
              </w:rPr>
            </w:pPr>
          </w:p>
        </w:tc>
        <w:tc>
          <w:tcPr>
            <w:tcW w:w="420" w:type="dxa"/>
            <w:vAlign w:val="bottom"/>
            <w:tcBorders>
              <w:bottom w:val="single" w:sz="8" w:color="CCCCCC"/>
              <w:right w:val="single" w:sz="8" w:color="9EACCA"/>
            </w:tcBorders>
            <w:shd w:val="clear" w:color="auto" w:fill="CCCCCC"/>
          </w:tcPr>
          <w:p>
            <w:pPr>
              <w:spacing w:after="0"/>
              <w:rPr>
                <w:sz w:val="15"/>
                <w:szCs w:val="15"/>
                <w:color w:val="auto"/>
              </w:rPr>
            </w:pPr>
          </w:p>
        </w:tc>
        <w:tc>
          <w:tcPr>
            <w:tcW w:w="80" w:type="dxa"/>
            <w:vAlign w:val="bottom"/>
            <w:tcBorders>
              <w:bottom w:val="single" w:sz="8" w:color="CCCCCC"/>
            </w:tcBorders>
            <w:shd w:val="clear" w:color="auto" w:fill="CCCCCC"/>
          </w:tcPr>
          <w:p>
            <w:pPr>
              <w:spacing w:after="0"/>
              <w:rPr>
                <w:sz w:val="15"/>
                <w:szCs w:val="15"/>
                <w:color w:val="auto"/>
              </w:rPr>
            </w:pPr>
          </w:p>
        </w:tc>
        <w:tc>
          <w:tcPr>
            <w:tcW w:w="620" w:type="dxa"/>
            <w:vAlign w:val="bottom"/>
            <w:tcBorders>
              <w:bottom w:val="single" w:sz="8" w:color="CCCCCC"/>
              <w:right w:val="single" w:sz="8" w:color="9EACCA"/>
            </w:tcBorders>
            <w:shd w:val="clear" w:color="auto" w:fill="CCCCCC"/>
          </w:tcPr>
          <w:p>
            <w:pPr>
              <w:spacing w:after="0"/>
              <w:rPr>
                <w:sz w:val="15"/>
                <w:szCs w:val="15"/>
                <w:color w:val="auto"/>
              </w:rPr>
            </w:pPr>
          </w:p>
        </w:tc>
        <w:tc>
          <w:tcPr>
            <w:tcW w:w="120" w:type="dxa"/>
            <w:vAlign w:val="bottom"/>
            <w:tcBorders>
              <w:bottom w:val="single" w:sz="8" w:color="CCCCCC"/>
            </w:tcBorders>
            <w:shd w:val="clear" w:color="auto" w:fill="CCCCCC"/>
          </w:tcPr>
          <w:p>
            <w:pPr>
              <w:spacing w:after="0"/>
              <w:rPr>
                <w:sz w:val="15"/>
                <w:szCs w:val="15"/>
                <w:color w:val="auto"/>
              </w:rPr>
            </w:pPr>
          </w:p>
        </w:tc>
        <w:tc>
          <w:tcPr>
            <w:tcW w:w="580" w:type="dxa"/>
            <w:vAlign w:val="bottom"/>
            <w:tcBorders>
              <w:bottom w:val="single" w:sz="8" w:color="CCCCCC"/>
              <w:right w:val="single" w:sz="8" w:color="9EACCA"/>
            </w:tcBorders>
            <w:shd w:val="clear" w:color="auto" w:fill="CCCCCC"/>
          </w:tcPr>
          <w:p>
            <w:pPr>
              <w:spacing w:after="0"/>
              <w:rPr>
                <w:sz w:val="15"/>
                <w:szCs w:val="15"/>
                <w:color w:val="auto"/>
              </w:rPr>
            </w:pPr>
          </w:p>
        </w:tc>
        <w:tc>
          <w:tcPr>
            <w:tcW w:w="740" w:type="dxa"/>
            <w:vAlign w:val="bottom"/>
            <w:tcBorders>
              <w:bottom w:val="single" w:sz="8" w:color="CCCCCC"/>
              <w:right w:val="single" w:sz="8" w:color="9EACCA"/>
            </w:tcBorders>
            <w:shd w:val="clear" w:color="auto" w:fill="CCCCCC"/>
          </w:tcPr>
          <w:p>
            <w:pPr>
              <w:spacing w:after="0"/>
              <w:rPr>
                <w:sz w:val="15"/>
                <w:szCs w:val="15"/>
                <w:color w:val="auto"/>
              </w:rPr>
            </w:pPr>
          </w:p>
        </w:tc>
        <w:tc>
          <w:tcPr>
            <w:tcW w:w="60" w:type="dxa"/>
            <w:vAlign w:val="bottom"/>
            <w:tcBorders>
              <w:bottom w:val="single" w:sz="8" w:color="CCCCCC"/>
            </w:tcBorders>
            <w:shd w:val="clear" w:color="auto" w:fill="CCCCCC"/>
          </w:tcPr>
          <w:p>
            <w:pPr>
              <w:spacing w:after="0"/>
              <w:rPr>
                <w:sz w:val="15"/>
                <w:szCs w:val="15"/>
                <w:color w:val="auto"/>
              </w:rPr>
            </w:pPr>
          </w:p>
        </w:tc>
        <w:tc>
          <w:tcPr>
            <w:tcW w:w="720" w:type="dxa"/>
            <w:vAlign w:val="bottom"/>
            <w:tcBorders>
              <w:bottom w:val="single" w:sz="8" w:color="CCCCCC"/>
              <w:right w:val="single" w:sz="8" w:color="9EACCA"/>
            </w:tcBorders>
            <w:shd w:val="clear" w:color="auto" w:fill="CCCCCC"/>
          </w:tcPr>
          <w:p>
            <w:pPr>
              <w:spacing w:after="0"/>
              <w:rPr>
                <w:sz w:val="15"/>
                <w:szCs w:val="15"/>
                <w:color w:val="auto"/>
              </w:rPr>
            </w:pPr>
          </w:p>
        </w:tc>
        <w:tc>
          <w:tcPr>
            <w:tcW w:w="260" w:type="dxa"/>
            <w:vAlign w:val="bottom"/>
            <w:tcBorders>
              <w:bottom w:val="single" w:sz="8" w:color="CCCCCC"/>
            </w:tcBorders>
            <w:shd w:val="clear" w:color="auto" w:fill="CCCCCC"/>
          </w:tcPr>
          <w:p>
            <w:pPr>
              <w:spacing w:after="0"/>
              <w:rPr>
                <w:sz w:val="15"/>
                <w:szCs w:val="15"/>
                <w:color w:val="auto"/>
              </w:rPr>
            </w:pPr>
          </w:p>
        </w:tc>
        <w:tc>
          <w:tcPr>
            <w:tcW w:w="920" w:type="dxa"/>
            <w:vAlign w:val="bottom"/>
            <w:tcBorders>
              <w:bottom w:val="single" w:sz="8" w:color="CCCCCC"/>
              <w:right w:val="single" w:sz="8" w:color="9EACCA"/>
            </w:tcBorders>
            <w:shd w:val="clear" w:color="auto" w:fill="CCCCCC"/>
          </w:tcPr>
          <w:p>
            <w:pPr>
              <w:spacing w:after="0"/>
              <w:rPr>
                <w:sz w:val="15"/>
                <w:szCs w:val="15"/>
                <w:color w:val="auto"/>
              </w:rPr>
            </w:pPr>
          </w:p>
        </w:tc>
        <w:tc>
          <w:tcPr>
            <w:tcW w:w="500" w:type="dxa"/>
            <w:vAlign w:val="bottom"/>
            <w:tcBorders>
              <w:bottom w:val="single" w:sz="8" w:color="CCCCCC"/>
            </w:tcBorders>
            <w:shd w:val="clear" w:color="auto" w:fill="CCCCCC"/>
          </w:tcPr>
          <w:p>
            <w:pPr>
              <w:spacing w:after="0"/>
              <w:rPr>
                <w:sz w:val="15"/>
                <w:szCs w:val="15"/>
                <w:color w:val="auto"/>
              </w:rPr>
            </w:pPr>
          </w:p>
        </w:tc>
        <w:tc>
          <w:tcPr>
            <w:tcW w:w="660" w:type="dxa"/>
            <w:vAlign w:val="bottom"/>
            <w:tcBorders>
              <w:bottom w:val="single" w:sz="8" w:color="CCCCCC"/>
              <w:right w:val="single" w:sz="8" w:color="9EACCA"/>
            </w:tcBorders>
            <w:shd w:val="clear" w:color="auto" w:fill="CCCCCC"/>
          </w:tcPr>
          <w:p>
            <w:pPr>
              <w:spacing w:after="0"/>
              <w:rPr>
                <w:sz w:val="15"/>
                <w:szCs w:val="15"/>
                <w:color w:val="auto"/>
              </w:rPr>
            </w:pPr>
          </w:p>
        </w:tc>
        <w:tc>
          <w:tcPr>
            <w:tcW w:w="300" w:type="dxa"/>
            <w:vAlign w:val="bottom"/>
            <w:tcBorders>
              <w:bottom w:val="single" w:sz="8" w:color="CCCCCC"/>
            </w:tcBorders>
            <w:shd w:val="clear" w:color="auto" w:fill="CCCCCC"/>
          </w:tcPr>
          <w:p>
            <w:pPr>
              <w:spacing w:after="0"/>
              <w:rPr>
                <w:sz w:val="15"/>
                <w:szCs w:val="15"/>
                <w:color w:val="auto"/>
              </w:rPr>
            </w:pPr>
          </w:p>
        </w:tc>
        <w:tc>
          <w:tcPr>
            <w:tcW w:w="860" w:type="dxa"/>
            <w:vAlign w:val="bottom"/>
            <w:tcBorders>
              <w:bottom w:val="single" w:sz="8" w:color="CCCCCC"/>
              <w:right w:val="single" w:sz="8" w:color="9EACCA"/>
            </w:tcBorders>
            <w:shd w:val="clear" w:color="auto" w:fill="CCCCCC"/>
          </w:tcPr>
          <w:p>
            <w:pPr>
              <w:spacing w:after="0"/>
              <w:rPr>
                <w:sz w:val="15"/>
                <w:szCs w:val="15"/>
                <w:color w:val="auto"/>
              </w:rPr>
            </w:pPr>
          </w:p>
        </w:tc>
        <w:tc>
          <w:tcPr>
            <w:tcW w:w="40" w:type="dxa"/>
            <w:vAlign w:val="bottom"/>
            <w:tcBorders>
              <w:bottom w:val="single" w:sz="8" w:color="CCCCCC"/>
            </w:tcBorders>
            <w:shd w:val="clear" w:color="auto" w:fill="CCCCCC"/>
          </w:tcPr>
          <w:p>
            <w:pPr>
              <w:spacing w:after="0"/>
              <w:rPr>
                <w:sz w:val="15"/>
                <w:szCs w:val="15"/>
                <w:color w:val="auto"/>
              </w:rPr>
            </w:pPr>
          </w:p>
        </w:tc>
        <w:tc>
          <w:tcPr>
            <w:tcW w:w="720" w:type="dxa"/>
            <w:vAlign w:val="bottom"/>
            <w:tcBorders>
              <w:bottom w:val="single" w:sz="8" w:color="CCCCCC"/>
              <w:right w:val="single" w:sz="8" w:color="3C5896"/>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20" w:type="dxa"/>
            <w:vAlign w:val="bottom"/>
            <w:tcBorders>
              <w:left w:val="single" w:sz="8" w:color="3C5896"/>
              <w:right w:val="single" w:sz="8" w:color="9EACCA"/>
            </w:tcBorders>
          </w:tcPr>
          <w:p>
            <w:pPr>
              <w:ind w:left="20"/>
              <w:spacing w:after="0" w:line="221" w:lineRule="exact"/>
              <w:rPr>
                <w:sz w:val="20"/>
                <w:szCs w:val="20"/>
                <w:color w:val="auto"/>
              </w:rPr>
            </w:pPr>
            <w:r>
              <w:rPr>
                <w:rFonts w:ascii="Arial" w:cs="Arial" w:eastAsia="Arial" w:hAnsi="Arial"/>
                <w:sz w:val="14"/>
                <w:szCs w:val="14"/>
                <w:color w:val="auto"/>
              </w:rPr>
              <w:t>Joan Blackwood</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302,769</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14,048</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187,506</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62,509</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145,952</w:t>
            </w:r>
          </w:p>
        </w:tc>
        <w:tc>
          <w:tcPr>
            <w:tcW w:w="500" w:type="dxa"/>
            <w:vAlign w:val="bottom"/>
          </w:tcPr>
          <w:p>
            <w:pPr>
              <w:spacing w:after="0"/>
              <w:rPr>
                <w:sz w:val="19"/>
                <w:szCs w:val="19"/>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35,074</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747,858</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President, Chief</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Marketing Officer</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20" w:type="dxa"/>
            <w:vAlign w:val="bottom"/>
            <w:tcBorders>
              <w:left w:val="single" w:sz="8" w:color="3C5896"/>
              <w:bottom w:val="single" w:sz="8" w:color="3C5896"/>
              <w:right w:val="single" w:sz="8" w:color="9EACCA"/>
            </w:tcBorders>
          </w:tcPr>
          <w:p>
            <w:pPr>
              <w:spacing w:after="0"/>
              <w:rPr>
                <w:sz w:val="6"/>
                <w:szCs w:val="6"/>
                <w:color w:val="auto"/>
              </w:rPr>
            </w:pPr>
          </w:p>
        </w:tc>
        <w:tc>
          <w:tcPr>
            <w:tcW w:w="80" w:type="dxa"/>
            <w:vAlign w:val="bottom"/>
            <w:tcBorders>
              <w:bottom w:val="single" w:sz="8" w:color="3C5896"/>
            </w:tcBorders>
          </w:tcPr>
          <w:p>
            <w:pPr>
              <w:spacing w:after="0"/>
              <w:rPr>
                <w:sz w:val="6"/>
                <w:szCs w:val="6"/>
                <w:color w:val="auto"/>
              </w:rPr>
            </w:pPr>
          </w:p>
        </w:tc>
        <w:tc>
          <w:tcPr>
            <w:tcW w:w="420" w:type="dxa"/>
            <w:vAlign w:val="bottom"/>
            <w:tcBorders>
              <w:bottom w:val="single" w:sz="8" w:color="3C5896"/>
              <w:right w:val="single" w:sz="8" w:color="9EACCA"/>
            </w:tcBorders>
          </w:tcPr>
          <w:p>
            <w:pPr>
              <w:spacing w:after="0"/>
              <w:rPr>
                <w:sz w:val="6"/>
                <w:szCs w:val="6"/>
                <w:color w:val="auto"/>
              </w:rPr>
            </w:pPr>
          </w:p>
        </w:tc>
        <w:tc>
          <w:tcPr>
            <w:tcW w:w="80" w:type="dxa"/>
            <w:vAlign w:val="bottom"/>
            <w:tcBorders>
              <w:bottom w:val="single" w:sz="8" w:color="3C5896"/>
            </w:tcBorders>
          </w:tcPr>
          <w:p>
            <w:pPr>
              <w:spacing w:after="0"/>
              <w:rPr>
                <w:sz w:val="6"/>
                <w:szCs w:val="6"/>
                <w:color w:val="auto"/>
              </w:rPr>
            </w:pPr>
          </w:p>
        </w:tc>
        <w:tc>
          <w:tcPr>
            <w:tcW w:w="620" w:type="dxa"/>
            <w:vAlign w:val="bottom"/>
            <w:tcBorders>
              <w:bottom w:val="single" w:sz="8" w:color="3C5896"/>
              <w:right w:val="single" w:sz="8" w:color="9EACCA"/>
            </w:tcBorders>
          </w:tcPr>
          <w:p>
            <w:pPr>
              <w:spacing w:after="0"/>
              <w:rPr>
                <w:sz w:val="6"/>
                <w:szCs w:val="6"/>
                <w:color w:val="auto"/>
              </w:rPr>
            </w:pPr>
          </w:p>
        </w:tc>
        <w:tc>
          <w:tcPr>
            <w:tcW w:w="120" w:type="dxa"/>
            <w:vAlign w:val="bottom"/>
            <w:tcBorders>
              <w:bottom w:val="single" w:sz="8" w:color="3C5896"/>
            </w:tcBorders>
          </w:tcPr>
          <w:p>
            <w:pPr>
              <w:spacing w:after="0"/>
              <w:rPr>
                <w:sz w:val="6"/>
                <w:szCs w:val="6"/>
                <w:color w:val="auto"/>
              </w:rPr>
            </w:pPr>
          </w:p>
        </w:tc>
        <w:tc>
          <w:tcPr>
            <w:tcW w:w="580" w:type="dxa"/>
            <w:vAlign w:val="bottom"/>
            <w:tcBorders>
              <w:bottom w:val="single" w:sz="8" w:color="3C5896"/>
              <w:right w:val="single" w:sz="8" w:color="9EACCA"/>
            </w:tcBorders>
          </w:tcPr>
          <w:p>
            <w:pPr>
              <w:spacing w:after="0"/>
              <w:rPr>
                <w:sz w:val="6"/>
                <w:szCs w:val="6"/>
                <w:color w:val="auto"/>
              </w:rPr>
            </w:pPr>
          </w:p>
        </w:tc>
        <w:tc>
          <w:tcPr>
            <w:tcW w:w="740" w:type="dxa"/>
            <w:vAlign w:val="bottom"/>
            <w:tcBorders>
              <w:bottom w:val="single" w:sz="8" w:color="3C5896"/>
              <w:right w:val="single" w:sz="8" w:color="9EACCA"/>
            </w:tcBorders>
          </w:tcPr>
          <w:p>
            <w:pPr>
              <w:spacing w:after="0"/>
              <w:rPr>
                <w:sz w:val="6"/>
                <w:szCs w:val="6"/>
                <w:color w:val="auto"/>
              </w:rPr>
            </w:pPr>
          </w:p>
        </w:tc>
        <w:tc>
          <w:tcPr>
            <w:tcW w:w="60" w:type="dxa"/>
            <w:vAlign w:val="bottom"/>
            <w:tcBorders>
              <w:bottom w:val="single" w:sz="8" w:color="3C5896"/>
            </w:tcBorders>
          </w:tcPr>
          <w:p>
            <w:pPr>
              <w:spacing w:after="0"/>
              <w:rPr>
                <w:sz w:val="6"/>
                <w:szCs w:val="6"/>
                <w:color w:val="auto"/>
              </w:rPr>
            </w:pPr>
          </w:p>
        </w:tc>
        <w:tc>
          <w:tcPr>
            <w:tcW w:w="720" w:type="dxa"/>
            <w:vAlign w:val="bottom"/>
            <w:tcBorders>
              <w:bottom w:val="single" w:sz="8" w:color="3C5896"/>
              <w:right w:val="single" w:sz="8" w:color="9EACCA"/>
            </w:tcBorders>
          </w:tcPr>
          <w:p>
            <w:pPr>
              <w:spacing w:after="0"/>
              <w:rPr>
                <w:sz w:val="6"/>
                <w:szCs w:val="6"/>
                <w:color w:val="auto"/>
              </w:rPr>
            </w:pPr>
          </w:p>
        </w:tc>
        <w:tc>
          <w:tcPr>
            <w:tcW w:w="260" w:type="dxa"/>
            <w:vAlign w:val="bottom"/>
            <w:tcBorders>
              <w:bottom w:val="single" w:sz="8" w:color="3C5896"/>
            </w:tcBorders>
          </w:tcPr>
          <w:p>
            <w:pPr>
              <w:spacing w:after="0"/>
              <w:rPr>
                <w:sz w:val="6"/>
                <w:szCs w:val="6"/>
                <w:color w:val="auto"/>
              </w:rPr>
            </w:pPr>
          </w:p>
        </w:tc>
        <w:tc>
          <w:tcPr>
            <w:tcW w:w="920" w:type="dxa"/>
            <w:vAlign w:val="bottom"/>
            <w:tcBorders>
              <w:bottom w:val="single" w:sz="8" w:color="3C5896"/>
              <w:right w:val="single" w:sz="8" w:color="9EACCA"/>
            </w:tcBorders>
          </w:tcPr>
          <w:p>
            <w:pPr>
              <w:spacing w:after="0"/>
              <w:rPr>
                <w:sz w:val="6"/>
                <w:szCs w:val="6"/>
                <w:color w:val="auto"/>
              </w:rPr>
            </w:pPr>
          </w:p>
        </w:tc>
        <w:tc>
          <w:tcPr>
            <w:tcW w:w="500" w:type="dxa"/>
            <w:vAlign w:val="bottom"/>
            <w:tcBorders>
              <w:bottom w:val="single" w:sz="8" w:color="3C5896"/>
            </w:tcBorders>
          </w:tcPr>
          <w:p>
            <w:pPr>
              <w:spacing w:after="0"/>
              <w:rPr>
                <w:sz w:val="6"/>
                <w:szCs w:val="6"/>
                <w:color w:val="auto"/>
              </w:rPr>
            </w:pPr>
          </w:p>
        </w:tc>
        <w:tc>
          <w:tcPr>
            <w:tcW w:w="660" w:type="dxa"/>
            <w:vAlign w:val="bottom"/>
            <w:tcBorders>
              <w:bottom w:val="single" w:sz="8" w:color="3C5896"/>
              <w:right w:val="single" w:sz="8" w:color="9EACCA"/>
            </w:tcBorders>
          </w:tcPr>
          <w:p>
            <w:pPr>
              <w:spacing w:after="0"/>
              <w:rPr>
                <w:sz w:val="6"/>
                <w:szCs w:val="6"/>
                <w:color w:val="auto"/>
              </w:rPr>
            </w:pPr>
          </w:p>
        </w:tc>
        <w:tc>
          <w:tcPr>
            <w:tcW w:w="300" w:type="dxa"/>
            <w:vAlign w:val="bottom"/>
            <w:tcBorders>
              <w:bottom w:val="single" w:sz="8" w:color="3C5896"/>
            </w:tcBorders>
          </w:tcPr>
          <w:p>
            <w:pPr>
              <w:spacing w:after="0"/>
              <w:rPr>
                <w:sz w:val="6"/>
                <w:szCs w:val="6"/>
                <w:color w:val="auto"/>
              </w:rPr>
            </w:pPr>
          </w:p>
        </w:tc>
        <w:tc>
          <w:tcPr>
            <w:tcW w:w="860" w:type="dxa"/>
            <w:vAlign w:val="bottom"/>
            <w:tcBorders>
              <w:bottom w:val="single" w:sz="8" w:color="3C5896"/>
              <w:right w:val="single" w:sz="8" w:color="9EACCA"/>
            </w:tcBorders>
          </w:tcPr>
          <w:p>
            <w:pPr>
              <w:spacing w:after="0"/>
              <w:rPr>
                <w:sz w:val="6"/>
                <w:szCs w:val="6"/>
                <w:color w:val="auto"/>
              </w:rPr>
            </w:pPr>
          </w:p>
        </w:tc>
        <w:tc>
          <w:tcPr>
            <w:tcW w:w="40" w:type="dxa"/>
            <w:vAlign w:val="bottom"/>
            <w:tcBorders>
              <w:bottom w:val="single" w:sz="8" w:color="3C5896"/>
            </w:tcBorders>
          </w:tcPr>
          <w:p>
            <w:pPr>
              <w:spacing w:after="0"/>
              <w:rPr>
                <w:sz w:val="6"/>
                <w:szCs w:val="6"/>
                <w:color w:val="auto"/>
              </w:rPr>
            </w:pPr>
          </w:p>
        </w:tc>
        <w:tc>
          <w:tcPr>
            <w:tcW w:w="720" w:type="dxa"/>
            <w:vAlign w:val="bottom"/>
            <w:tcBorders>
              <w:bottom w:val="single" w:sz="8" w:color="3C5896"/>
              <w:right w:val="single" w:sz="8" w:color="3C589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120" w:hanging="358"/>
        <w:spacing w:after="0" w:line="260"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Mr. Clark joined the Company in June 2019, Mr. Brandman was appointed as an executive officer at the Company effective February 2019, and Ms. Blackwood joined the Company in December 2019.</w:t>
      </w:r>
    </w:p>
    <w:p>
      <w:pPr>
        <w:spacing w:after="0" w:line="44"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Salary column reflects salaries paid in the years indicated to each of the NEOs. In 2020, each of our NEOs, other than the CEO, reduced their base salaries by 30% from March 29, 2020 until June 7, 2020 due to the pandemic-related temporary store closures. Our CEO reduced his base salary by nearly 100% cutting it to $1 from March 29, 2020 until June 14, 2020. Salary increases, if any, for each year are generally approved in February and effective in April of that year or in connection with a NEO’s promotion. In 2020, all salary increases approved in February were delayed until July 5, 2020.</w:t>
      </w:r>
    </w:p>
    <w:p>
      <w:pPr>
        <w:spacing w:after="0" w:line="53"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Bonus column reflects the discretionary bonus amount approved by the compensation committee in connection with its approval of the 2020 STIP Award that brought the total annual bonus amount for each NEO to be paid out at the 2020 Target STIP amount. See the “Annual Cash Incentive Program” in the Compensation Discussion and Analysis section above for further information. The 2019 amount for Mr. Clark represents his cash sign-on bonuses.</w:t>
      </w:r>
    </w:p>
    <w:p>
      <w:pPr>
        <w:spacing w:after="0" w:line="53"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values in the Stock Awards column represent the aggregate grant date fair value for the stock awards granted in the applicable year, computed in accordance with FASB ASC Topic 718. These awards include PSUs, RSUs, one-time 2019 special retention RSU awards and 2019 sign-on awards of PSUs and RSUs. Awards with performance conditions are computed based on the probable outcome of the performance condition as of the grant date for the award. Information about the assumptions used to value these awards can be found in Note 5 “Stock Incentive Plans” in our 2020 Form 10-K. The amounts reported for these awards may not represent the amounts that the individuals will actually receive. The amounts received, if any, ultimately will depend on Company performance and the change in our stock price over time.</w:t>
      </w:r>
    </w:p>
    <w:p>
      <w:pPr>
        <w:spacing w:after="0" w:line="58" w:lineRule="exact"/>
        <w:rPr>
          <w:rFonts w:ascii="Arial" w:cs="Arial" w:eastAsia="Arial" w:hAnsi="Arial"/>
          <w:sz w:val="15"/>
          <w:szCs w:val="15"/>
          <w:color w:val="auto"/>
        </w:rPr>
      </w:pPr>
    </w:p>
    <w:p>
      <w:pPr>
        <w:jc w:val="both"/>
        <w:ind w:left="1120"/>
        <w:spacing w:after="0" w:line="235" w:lineRule="auto"/>
        <w:rPr>
          <w:rFonts w:ascii="Arial" w:cs="Arial" w:eastAsia="Arial" w:hAnsi="Arial"/>
          <w:sz w:val="15"/>
          <w:szCs w:val="15"/>
          <w:color w:val="auto"/>
        </w:rPr>
      </w:pPr>
      <w:r>
        <w:rPr>
          <w:rFonts w:ascii="Arial" w:cs="Arial" w:eastAsia="Arial" w:hAnsi="Arial"/>
          <w:sz w:val="15"/>
          <w:szCs w:val="15"/>
          <w:color w:val="auto"/>
        </w:rPr>
        <w:t>For PSU awards granted in February 2020 to Messrs. Fahs, Moore, Clark, Brandman and Ms. Blackwood, the maximum shares payable and the grant date value assuming maximum performance are 64,620 or $2,250,068; 28,720 or $1,000,030; 9,192 or $320,065; 7,180 or $250,008; and 7,180 or $250,008, respectively.</w:t>
      </w:r>
    </w:p>
    <w:p>
      <w:pPr>
        <w:spacing w:after="0" w:line="46"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values in the Option Awards column represent the aggregate grant date fair value for the option awards granted in the applicable year, computed in accordance with FASB ASC Topic 718. The assumptions used to value these awards can be found in Note 5 “Stock Incentive Plans” in our 2020 Form 10-K. The amounts reported for these awards may not represent the amounts that the individuals will actually receive. The amounts received, if any, ultimately will depend on the change in our stock price over time.</w:t>
      </w:r>
    </w:p>
    <w:p>
      <w:pPr>
        <w:spacing w:after="0" w:line="53"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Non-Equity Incentive Plan Compensation column reflects the cash bonus awarded under the STIP for the applicable year. The Company pays these amounts, if any, in the month of March following the year in which they are earned. The cash bonuses under the 2020 STIP were earned at 91.22% of target. Additional explanation of the non-equity incentive plan compensation for each NEO appears in “Annual Cash Incentive Program” in the Compensation Discussion and Analysis section above and below in the footnotes to the 2020 Grants of Plan-Based Awards table.</w:t>
      </w:r>
    </w:p>
    <w:p>
      <w:pPr>
        <w:spacing w:after="0" w:line="32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sz w:val="1"/>
          <w:szCs w:val="1"/>
          <w:color w:val="auto"/>
        </w:rPr>
        <w:drawing>
          <wp:inline distT="0" distB="0" distL="0" distR="0">
            <wp:extent cx="299720" cy="24003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hanging="358"/>
        <w:spacing w:after="0"/>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All Other Compensation for 2020 included:</w:t>
      </w:r>
    </w:p>
    <w:p>
      <w:pPr>
        <w:spacing w:after="0" w:line="121" w:lineRule="exact"/>
        <w:rPr>
          <w:sz w:val="20"/>
          <w:szCs w:val="20"/>
          <w:color w:val="auto"/>
        </w:rPr>
      </w:pPr>
    </w:p>
    <w:tbl>
      <w:tblPr>
        <w:tblLayout w:type="fixed"/>
        <w:tblInd w:w="1130" w:type="dxa"/>
        <w:tblCellMar>
          <w:top w:w="0" w:type="dxa"/>
          <w:left w:w="0" w:type="dxa"/>
          <w:bottom w:w="0" w:type="dxa"/>
          <w:right w:w="0" w:type="dxa"/>
        </w:tblCellMar>
      </w:tblPr>
      <w:tr>
        <w:trPr>
          <w:trHeight w:val="175"/>
        </w:trPr>
        <w:tc>
          <w:tcPr>
            <w:tcW w:w="3000" w:type="dxa"/>
            <w:vAlign w:val="bottom"/>
            <w:tcBorders>
              <w:top w:val="single" w:sz="8" w:color="3C5896"/>
              <w:left w:val="single" w:sz="8" w:color="3C5896"/>
              <w:right w:val="single" w:sz="8" w:color="9EACCA"/>
            </w:tcBorders>
            <w:shd w:val="clear" w:color="auto" w:fill="3C5896"/>
          </w:tcPr>
          <w:p>
            <w:pPr>
              <w:spacing w:after="0"/>
              <w:rPr>
                <w:sz w:val="15"/>
                <w:szCs w:val="15"/>
                <w:color w:val="auto"/>
              </w:rPr>
            </w:pPr>
          </w:p>
        </w:tc>
        <w:tc>
          <w:tcPr>
            <w:tcW w:w="116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Employer</w:t>
            </w:r>
          </w:p>
        </w:tc>
        <w:tc>
          <w:tcPr>
            <w:tcW w:w="1180" w:type="dxa"/>
            <w:vAlign w:val="bottom"/>
            <w:tcBorders>
              <w:top w:val="single" w:sz="8" w:color="3C5896"/>
              <w:right w:val="single" w:sz="8" w:color="9EACCA"/>
            </w:tcBorders>
            <w:vMerge w:val="restart"/>
            <w:shd w:val="clear" w:color="auto" w:fill="3C5896"/>
          </w:tcPr>
          <w:p>
            <w:pPr>
              <w:ind w:left="440"/>
              <w:spacing w:after="0"/>
              <w:rPr>
                <w:sz w:val="20"/>
                <w:szCs w:val="20"/>
                <w:color w:val="auto"/>
              </w:rPr>
            </w:pPr>
            <w:r>
              <w:rPr>
                <w:rFonts w:ascii="Arial" w:cs="Arial" w:eastAsia="Arial" w:hAnsi="Arial"/>
                <w:sz w:val="13"/>
                <w:szCs w:val="13"/>
                <w:b w:val="1"/>
                <w:bCs w:val="1"/>
                <w:color w:val="FFFFFF"/>
              </w:rPr>
              <w:t>Life</w:t>
            </w:r>
          </w:p>
        </w:tc>
        <w:tc>
          <w:tcPr>
            <w:tcW w:w="116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Disability</w:t>
            </w:r>
          </w:p>
        </w:tc>
        <w:tc>
          <w:tcPr>
            <w:tcW w:w="1160" w:type="dxa"/>
            <w:vAlign w:val="bottom"/>
            <w:tcBorders>
              <w:top w:val="single" w:sz="8" w:color="3C5896"/>
              <w:right w:val="single" w:sz="8" w:color="9EACCA"/>
            </w:tcBorders>
            <w:shd w:val="clear" w:color="auto" w:fill="3C5896"/>
          </w:tcPr>
          <w:p>
            <w:pPr>
              <w:spacing w:after="0"/>
              <w:rPr>
                <w:sz w:val="15"/>
                <w:szCs w:val="15"/>
                <w:color w:val="auto"/>
              </w:rPr>
            </w:pPr>
          </w:p>
        </w:tc>
        <w:tc>
          <w:tcPr>
            <w:tcW w:w="1180" w:type="dxa"/>
            <w:vAlign w:val="bottom"/>
            <w:tcBorders>
              <w:top w:val="single" w:sz="8" w:color="3C5896"/>
              <w:right w:val="single" w:sz="8" w:color="3C5896"/>
            </w:tcBorders>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80" w:type="dxa"/>
            <w:vAlign w:val="bottom"/>
            <w:tcBorders>
              <w:right w:val="single" w:sz="8" w:color="9EACCA"/>
            </w:tcBorders>
            <w:vMerge w:val="continue"/>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30"/>
              <w:spacing w:after="0" w:line="135" w:lineRule="exact"/>
              <w:rPr>
                <w:sz w:val="20"/>
                <w:szCs w:val="20"/>
                <w:color w:val="auto"/>
              </w:rPr>
            </w:pPr>
            <w:r>
              <w:rPr>
                <w:rFonts w:ascii="Arial" w:cs="Arial" w:eastAsia="Arial" w:hAnsi="Arial"/>
                <w:sz w:val="13"/>
                <w:szCs w:val="13"/>
                <w:b w:val="1"/>
                <w:bCs w:val="1"/>
                <w:color w:val="FFFFFF"/>
              </w:rPr>
              <w:t>and AD&amp;D</w:t>
            </w:r>
          </w:p>
        </w:tc>
        <w:tc>
          <w:tcPr>
            <w:tcW w:w="1160" w:type="dxa"/>
            <w:vAlign w:val="bottom"/>
            <w:tcBorders>
              <w:right w:val="single" w:sz="8" w:color="9EACCA"/>
            </w:tcBorders>
            <w:shd w:val="clear" w:color="auto" w:fill="3C5896"/>
          </w:tcPr>
          <w:p>
            <w:pPr>
              <w:spacing w:after="0"/>
              <w:rPr>
                <w:sz w:val="11"/>
                <w:szCs w:val="11"/>
                <w:color w:val="auto"/>
              </w:rPr>
            </w:pPr>
          </w:p>
        </w:tc>
        <w:tc>
          <w:tcPr>
            <w:tcW w:w="1180" w:type="dxa"/>
            <w:vAlign w:val="bottom"/>
            <w:tcBorders>
              <w:right w:val="single" w:sz="8" w:color="3C5896"/>
            </w:tcBorders>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401(k) Matching</w:t>
            </w:r>
          </w:p>
        </w:tc>
        <w:tc>
          <w:tcPr>
            <w:tcW w:w="118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Insurance</w:t>
            </w: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Insurance</w:t>
            </w:r>
          </w:p>
        </w:tc>
        <w:tc>
          <w:tcPr>
            <w:tcW w:w="1160" w:type="dxa"/>
            <w:vAlign w:val="bottom"/>
            <w:tcBorders>
              <w:right w:val="single" w:sz="8" w:color="9EACCA"/>
            </w:tcBorders>
            <w:vMerge w:val="restart"/>
            <w:shd w:val="clear" w:color="auto" w:fill="3C5896"/>
          </w:tcPr>
          <w:p>
            <w:pPr>
              <w:jc w:val="right"/>
              <w:ind w:right="369"/>
              <w:spacing w:after="0"/>
              <w:rPr>
                <w:sz w:val="20"/>
                <w:szCs w:val="20"/>
                <w:color w:val="auto"/>
              </w:rPr>
            </w:pPr>
            <w:r>
              <w:rPr>
                <w:rFonts w:ascii="Arial" w:cs="Arial" w:eastAsia="Arial" w:hAnsi="Arial"/>
                <w:sz w:val="13"/>
                <w:szCs w:val="13"/>
                <w:b w:val="1"/>
                <w:bCs w:val="1"/>
                <w:color w:val="FFFFFF"/>
              </w:rPr>
              <w:t>Other</w:t>
            </w:r>
          </w:p>
        </w:tc>
        <w:tc>
          <w:tcPr>
            <w:tcW w:w="1180" w:type="dxa"/>
            <w:vAlign w:val="bottom"/>
            <w:tcBorders>
              <w:right w:val="single" w:sz="8" w:color="3C5896"/>
            </w:tcBorders>
            <w:vMerge w:val="restart"/>
            <w:shd w:val="clear" w:color="auto" w:fill="3C5896"/>
          </w:tcPr>
          <w:p>
            <w:pPr>
              <w:jc w:val="right"/>
              <w:ind w:right="409"/>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Contributions</w:t>
            </w:r>
          </w:p>
        </w:tc>
        <w:tc>
          <w:tcPr>
            <w:tcW w:w="118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Premiums</w:t>
            </w: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Premiums</w:t>
            </w: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80" w:type="dxa"/>
            <w:vAlign w:val="bottom"/>
            <w:tcBorders>
              <w:right w:val="single" w:sz="8" w:color="3C5896"/>
            </w:tcBorders>
            <w:vMerge w:val="continue"/>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3C5896"/>
              <w:right w:val="single" w:sz="8" w:color="9EACCA"/>
            </w:tcBorders>
            <w:shd w:val="clear" w:color="auto" w:fill="3C5896"/>
          </w:tcPr>
          <w:p>
            <w:pPr>
              <w:ind w:left="1360"/>
              <w:spacing w:after="0"/>
              <w:rPr>
                <w:sz w:val="20"/>
                <w:szCs w:val="20"/>
                <w:color w:val="auto"/>
              </w:rPr>
            </w:pPr>
            <w:r>
              <w:rPr>
                <w:rFonts w:ascii="Arial" w:cs="Arial" w:eastAsia="Arial" w:hAnsi="Arial"/>
                <w:sz w:val="13"/>
                <w:szCs w:val="13"/>
                <w:b w:val="1"/>
                <w:bCs w:val="1"/>
                <w:color w:val="FFFFFF"/>
              </w:rPr>
              <w:t>NEO</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(a)</w:t>
            </w:r>
          </w:p>
        </w:tc>
        <w:tc>
          <w:tcPr>
            <w:tcW w:w="118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93"/>
              </w:rPr>
              <w:t>($)</w:t>
            </w:r>
            <w:r>
              <w:rPr>
                <w:rFonts w:ascii="Arial" w:cs="Arial" w:eastAsia="Arial" w:hAnsi="Arial"/>
                <w:sz w:val="19"/>
                <w:szCs w:val="19"/>
                <w:b w:val="1"/>
                <w:bCs w:val="1"/>
                <w:color w:val="FFFFFF"/>
                <w:w w:val="93"/>
                <w:vertAlign w:val="superscript"/>
              </w:rPr>
              <w:t>(b)</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(c)</w:t>
            </w:r>
          </w:p>
        </w:tc>
        <w:tc>
          <w:tcPr>
            <w:tcW w:w="1160" w:type="dxa"/>
            <w:vAlign w:val="bottom"/>
            <w:tcBorders>
              <w:right w:val="single" w:sz="8" w:color="9EACCA"/>
            </w:tcBorders>
            <w:shd w:val="clear" w:color="auto" w:fill="3C5896"/>
          </w:tcPr>
          <w:p>
            <w:pPr>
              <w:jc w:val="right"/>
              <w:ind w:right="38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(d)</w:t>
            </w:r>
          </w:p>
        </w:tc>
        <w:tc>
          <w:tcPr>
            <w:tcW w:w="1180" w:type="dxa"/>
            <w:vAlign w:val="bottom"/>
            <w:tcBorders>
              <w:right w:val="single" w:sz="8" w:color="3C5896"/>
            </w:tcBorders>
            <w:shd w:val="clear" w:color="auto" w:fill="3C5896"/>
          </w:tcPr>
          <w:p>
            <w:pPr>
              <w:jc w:val="right"/>
              <w:ind w:right="46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0"/>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L. Reade Fahs</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11,157</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648</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3,237</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12,400</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27,442</w:t>
            </w:r>
          </w:p>
        </w:tc>
        <w:tc>
          <w:tcPr>
            <w:tcW w:w="0" w:type="dxa"/>
            <w:vAlign w:val="bottom"/>
          </w:tcPr>
          <w:p>
            <w:pPr>
              <w:spacing w:after="0"/>
              <w:rPr>
                <w:sz w:val="1"/>
                <w:szCs w:val="1"/>
                <w:color w:val="auto"/>
              </w:rPr>
            </w:pPr>
          </w:p>
        </w:tc>
      </w:tr>
      <w:tr>
        <w:trPr>
          <w:trHeight w:val="222"/>
        </w:trPr>
        <w:tc>
          <w:tcPr>
            <w:tcW w:w="300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Patrick R. Moore</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5,798</w:t>
            </w:r>
          </w:p>
        </w:tc>
        <w:tc>
          <w:tcPr>
            <w:tcW w:w="11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648</w:t>
            </w:r>
          </w:p>
        </w:tc>
        <w:tc>
          <w:tcPr>
            <w:tcW w:w="116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4"/>
                <w:szCs w:val="14"/>
                <w:color w:val="auto"/>
              </w:rPr>
              <w:t>841</w:t>
            </w:r>
          </w:p>
        </w:tc>
        <w:tc>
          <w:tcPr>
            <w:tcW w:w="1160" w:type="dxa"/>
            <w:vAlign w:val="bottom"/>
            <w:tcBorders>
              <w:right w:val="single" w:sz="8" w:color="9EACCA"/>
            </w:tcBorders>
            <w:shd w:val="clear" w:color="auto" w:fill="CCCCCC"/>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329"/>
              <w:spacing w:after="0"/>
              <w:rPr>
                <w:sz w:val="20"/>
                <w:szCs w:val="20"/>
                <w:color w:val="auto"/>
              </w:rPr>
            </w:pPr>
            <w:r>
              <w:rPr>
                <w:rFonts w:ascii="Arial" w:cs="Arial" w:eastAsia="Arial" w:hAnsi="Arial"/>
                <w:sz w:val="14"/>
                <w:szCs w:val="14"/>
                <w:color w:val="auto"/>
              </w:rPr>
              <w:t>7,287</w:t>
            </w:r>
          </w:p>
        </w:tc>
        <w:tc>
          <w:tcPr>
            <w:tcW w:w="0" w:type="dxa"/>
            <w:vAlign w:val="bottom"/>
          </w:tcPr>
          <w:p>
            <w:pPr>
              <w:spacing w:after="0"/>
              <w:rPr>
                <w:sz w:val="1"/>
                <w:szCs w:val="1"/>
                <w:color w:val="auto"/>
              </w:rPr>
            </w:pPr>
          </w:p>
        </w:tc>
      </w:tr>
      <w:tr>
        <w:trPr>
          <w:trHeight w:val="210"/>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Bill Clark</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5,874</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659</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841</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7,375</w:t>
            </w:r>
          </w:p>
        </w:tc>
        <w:tc>
          <w:tcPr>
            <w:tcW w:w="0" w:type="dxa"/>
            <w:vAlign w:val="bottom"/>
          </w:tcPr>
          <w:p>
            <w:pPr>
              <w:spacing w:after="0"/>
              <w:rPr>
                <w:sz w:val="1"/>
                <w:szCs w:val="1"/>
                <w:color w:val="auto"/>
              </w:rPr>
            </w:pPr>
          </w:p>
        </w:tc>
      </w:tr>
      <w:tr>
        <w:trPr>
          <w:trHeight w:val="222"/>
        </w:trPr>
        <w:tc>
          <w:tcPr>
            <w:tcW w:w="300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Jared Brandman</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4,116</w:t>
            </w:r>
          </w:p>
        </w:tc>
        <w:tc>
          <w:tcPr>
            <w:tcW w:w="11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659</w:t>
            </w:r>
          </w:p>
        </w:tc>
        <w:tc>
          <w:tcPr>
            <w:tcW w:w="116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4"/>
                <w:szCs w:val="14"/>
                <w:color w:val="auto"/>
              </w:rPr>
              <w:t>2,035</w:t>
            </w:r>
          </w:p>
        </w:tc>
        <w:tc>
          <w:tcPr>
            <w:tcW w:w="1160" w:type="dxa"/>
            <w:vAlign w:val="bottom"/>
            <w:tcBorders>
              <w:right w:val="single" w:sz="8" w:color="9EACCA"/>
            </w:tcBorders>
            <w:shd w:val="clear" w:color="auto" w:fill="CCCCCC"/>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329"/>
              <w:spacing w:after="0"/>
              <w:rPr>
                <w:sz w:val="20"/>
                <w:szCs w:val="20"/>
                <w:color w:val="auto"/>
              </w:rPr>
            </w:pPr>
            <w:r>
              <w:rPr>
                <w:rFonts w:ascii="Arial" w:cs="Arial" w:eastAsia="Arial" w:hAnsi="Arial"/>
                <w:sz w:val="14"/>
                <w:szCs w:val="14"/>
                <w:color w:val="auto"/>
              </w:rPr>
              <w:t>6,809</w:t>
            </w:r>
          </w:p>
        </w:tc>
        <w:tc>
          <w:tcPr>
            <w:tcW w:w="0" w:type="dxa"/>
            <w:vAlign w:val="bottom"/>
          </w:tcPr>
          <w:p>
            <w:pPr>
              <w:spacing w:after="0"/>
              <w:rPr>
                <w:sz w:val="1"/>
                <w:szCs w:val="1"/>
                <w:color w:val="auto"/>
              </w:rPr>
            </w:pPr>
          </w:p>
        </w:tc>
      </w:tr>
      <w:tr>
        <w:trPr>
          <w:trHeight w:val="243"/>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Joan Blackwood</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2,585</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548</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2,299</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29,642</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35,074</w:t>
            </w:r>
          </w:p>
        </w:tc>
        <w:tc>
          <w:tcPr>
            <w:tcW w:w="0" w:type="dxa"/>
            <w:vAlign w:val="bottom"/>
          </w:tcPr>
          <w:p>
            <w:pPr>
              <w:spacing w:after="0"/>
              <w:rPr>
                <w:sz w:val="1"/>
                <w:szCs w:val="1"/>
                <w:color w:val="auto"/>
              </w:rPr>
            </w:pPr>
          </w:p>
        </w:tc>
      </w:tr>
      <w:tr>
        <w:trPr>
          <w:trHeight w:val="20"/>
        </w:trPr>
        <w:tc>
          <w:tcPr>
            <w:tcW w:w="300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-710565</wp:posOffset>
            </wp:positionV>
            <wp:extent cx="55892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71" w:lineRule="exact"/>
        <w:rPr>
          <w:sz w:val="20"/>
          <w:szCs w:val="20"/>
          <w:color w:val="auto"/>
        </w:rPr>
      </w:pPr>
    </w:p>
    <w:p>
      <w:pPr>
        <w:ind w:left="1480" w:hanging="358"/>
        <w:spacing w:after="0"/>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401(k) Plan provides for a 50% matching contribution on the first 3% of participants’ pre-tax contributions up to IRS limits.</w:t>
      </w:r>
    </w:p>
    <w:p>
      <w:pPr>
        <w:spacing w:after="0" w:line="70" w:lineRule="exact"/>
        <w:rPr>
          <w:rFonts w:ascii="Arial" w:cs="Arial" w:eastAsia="Arial" w:hAnsi="Arial"/>
          <w:sz w:val="15"/>
          <w:szCs w:val="15"/>
          <w:color w:val="auto"/>
        </w:rPr>
      </w:pPr>
    </w:p>
    <w:p>
      <w:pPr>
        <w:ind w:left="1480" w:hanging="358"/>
        <w:spacing w:after="0"/>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of our NEOs is entitled to basic life insurance coverage of up to two times base salary up to $500,000.</w:t>
      </w:r>
    </w:p>
    <w:p>
      <w:pPr>
        <w:spacing w:after="0" w:line="70" w:lineRule="exact"/>
        <w:rPr>
          <w:rFonts w:ascii="Arial" w:cs="Arial" w:eastAsia="Arial" w:hAnsi="Arial"/>
          <w:sz w:val="15"/>
          <w:szCs w:val="15"/>
          <w:color w:val="auto"/>
        </w:rPr>
      </w:pPr>
    </w:p>
    <w:p>
      <w:pPr>
        <w:jc w:val="both"/>
        <w:ind w:left="1480" w:hanging="358"/>
        <w:spacing w:after="0" w:line="252"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p>
    <w:p>
      <w:pPr>
        <w:spacing w:after="0" w:line="50" w:lineRule="exact"/>
        <w:rPr>
          <w:rFonts w:ascii="Arial" w:cs="Arial" w:eastAsia="Arial" w:hAnsi="Arial"/>
          <w:sz w:val="15"/>
          <w:szCs w:val="15"/>
          <w:color w:val="auto"/>
        </w:rPr>
      </w:pPr>
    </w:p>
    <w:p>
      <w:pPr>
        <w:ind w:left="1480" w:hanging="358"/>
        <w:spacing w:after="0" w:line="260" w:lineRule="auto"/>
        <w:tabs>
          <w:tab w:leader="none" w:pos="1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This column reflects $4,000 for YPO membership and $8,400 for reasonable cost of tax accounting services for Mr. Fahs, and fees paid for Ms. Blackwood’s taxable relocation expenses.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Grants of Plan-Based Awards</w:t>
      </w:r>
    </w:p>
    <w:p>
      <w:pPr>
        <w:spacing w:after="0" w:line="139"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The following table sets forth information concerning NEO grants of plan-based awards during the fiscal year ended January 2, 2021.</w:t>
      </w:r>
    </w:p>
    <w:p>
      <w:pPr>
        <w:spacing w:after="0" w:line="110" w:lineRule="exact"/>
        <w:rPr>
          <w:sz w:val="20"/>
          <w:szCs w:val="20"/>
          <w:color w:val="auto"/>
        </w:rPr>
      </w:pPr>
    </w:p>
    <w:tbl>
      <w:tblPr>
        <w:tblLayout w:type="fixed"/>
        <w:tblInd w:w="770" w:type="dxa"/>
        <w:tblCellMar>
          <w:top w:w="0" w:type="dxa"/>
          <w:left w:w="0" w:type="dxa"/>
          <w:bottom w:w="0" w:type="dxa"/>
          <w:right w:w="0" w:type="dxa"/>
        </w:tblCellMar>
      </w:tblPr>
      <w:tr>
        <w:trPr>
          <w:trHeight w:val="162"/>
        </w:trPr>
        <w:tc>
          <w:tcPr>
            <w:tcW w:w="1400" w:type="dxa"/>
            <w:vAlign w:val="bottom"/>
            <w:tcBorders>
              <w:top w:val="single" w:sz="8" w:color="3C5896"/>
              <w:left w:val="single" w:sz="8" w:color="3C5896"/>
              <w:right w:val="single" w:sz="8" w:color="9EACCA"/>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40" w:type="dxa"/>
            <w:vAlign w:val="bottom"/>
            <w:tcBorders>
              <w:top w:val="single" w:sz="8" w:color="3C5896"/>
              <w:right w:val="single" w:sz="8" w:color="3C5896"/>
            </w:tcBorders>
            <w:shd w:val="clear" w:color="auto" w:fill="3C5896"/>
          </w:tcPr>
          <w:p>
            <w:pPr>
              <w:spacing w:after="0"/>
              <w:rPr>
                <w:sz w:val="14"/>
                <w:szCs w:val="14"/>
                <w:color w:val="auto"/>
              </w:rPr>
            </w:pPr>
          </w:p>
        </w:tc>
        <w:tc>
          <w:tcPr>
            <w:tcW w:w="60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100" w:type="dxa"/>
            <w:vAlign w:val="bottom"/>
            <w:tcBorders>
              <w:top w:val="single" w:sz="8" w:color="3C5896"/>
            </w:tcBorders>
            <w:shd w:val="clear" w:color="auto" w:fill="3C5896"/>
          </w:tcPr>
          <w:p>
            <w:pPr>
              <w:spacing w:after="0"/>
              <w:rPr>
                <w:sz w:val="14"/>
                <w:szCs w:val="14"/>
                <w:color w:val="auto"/>
              </w:rPr>
            </w:pPr>
          </w:p>
        </w:tc>
        <w:tc>
          <w:tcPr>
            <w:tcW w:w="60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500" w:type="dxa"/>
            <w:vAlign w:val="bottom"/>
            <w:tcBorders>
              <w:top w:val="single" w:sz="8" w:color="3C5896"/>
              <w:right w:val="single" w:sz="8" w:color="3C5896"/>
            </w:tcBorders>
            <w:shd w:val="clear" w:color="auto" w:fill="3C5896"/>
          </w:tcPr>
          <w:p>
            <w:pPr>
              <w:spacing w:after="0"/>
              <w:rPr>
                <w:sz w:val="14"/>
                <w:szCs w:val="14"/>
                <w:color w:val="auto"/>
              </w:rPr>
            </w:pPr>
          </w:p>
        </w:tc>
        <w:tc>
          <w:tcPr>
            <w:tcW w:w="680" w:type="dxa"/>
            <w:vAlign w:val="bottom"/>
            <w:tcBorders>
              <w:top w:val="single" w:sz="8" w:color="3C5896"/>
              <w:right w:val="single" w:sz="8" w:color="9EACCA"/>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760" w:type="dxa"/>
            <w:vAlign w:val="bottom"/>
            <w:tcBorders>
              <w:top w:val="single" w:sz="8" w:color="3C5896"/>
              <w:right w:val="single" w:sz="8" w:color="9EACCA"/>
            </w:tcBorders>
            <w:shd w:val="clear" w:color="auto" w:fill="3C5896"/>
          </w:tcPr>
          <w:p>
            <w:pPr>
              <w:jc w:val="center"/>
              <w:ind w:right="17"/>
              <w:spacing w:after="0"/>
              <w:rPr>
                <w:sz w:val="20"/>
                <w:szCs w:val="20"/>
                <w:color w:val="auto"/>
              </w:rPr>
            </w:pPr>
            <w:r>
              <w:rPr>
                <w:rFonts w:ascii="Arial" w:cs="Arial" w:eastAsia="Arial" w:hAnsi="Arial"/>
                <w:sz w:val="13"/>
                <w:szCs w:val="13"/>
                <w:b w:val="1"/>
                <w:bCs w:val="1"/>
                <w:color w:val="FFFFFF"/>
                <w:w w:val="94"/>
              </w:rPr>
              <w:t>All Other</w:t>
            </w:r>
          </w:p>
        </w:tc>
        <w:tc>
          <w:tcPr>
            <w:tcW w:w="40" w:type="dxa"/>
            <w:vAlign w:val="bottom"/>
            <w:tcBorders>
              <w:top w:val="single" w:sz="8" w:color="3C5896"/>
            </w:tcBorders>
            <w:shd w:val="clear" w:color="auto" w:fill="3C5896"/>
          </w:tcPr>
          <w:p>
            <w:pPr>
              <w:spacing w:after="0"/>
              <w:rPr>
                <w:sz w:val="14"/>
                <w:szCs w:val="14"/>
                <w:color w:val="auto"/>
              </w:rPr>
            </w:pPr>
          </w:p>
        </w:tc>
        <w:tc>
          <w:tcPr>
            <w:tcW w:w="780" w:type="dxa"/>
            <w:vAlign w:val="bottom"/>
            <w:tcBorders>
              <w:top w:val="single" w:sz="8" w:color="3C5896"/>
              <w:right w:val="single" w:sz="8" w:color="9EACCA"/>
            </w:tcBorders>
            <w:shd w:val="clear" w:color="auto" w:fill="3C5896"/>
          </w:tcPr>
          <w:p>
            <w:pPr>
              <w:spacing w:after="0"/>
              <w:rPr>
                <w:sz w:val="14"/>
                <w:szCs w:val="14"/>
                <w:color w:val="auto"/>
              </w:rPr>
            </w:pPr>
          </w:p>
        </w:tc>
        <w:tc>
          <w:tcPr>
            <w:tcW w:w="760" w:type="dxa"/>
            <w:vAlign w:val="bottom"/>
            <w:tcBorders>
              <w:top w:val="single" w:sz="8" w:color="3C5896"/>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vMerge w:val="restart"/>
            <w:shd w:val="clear" w:color="auto" w:fill="3C5896"/>
          </w:tcPr>
          <w:p>
            <w:pPr>
              <w:jc w:val="center"/>
              <w:ind w:right="97"/>
              <w:spacing w:after="0"/>
              <w:rPr>
                <w:sz w:val="20"/>
                <w:szCs w:val="20"/>
                <w:color w:val="auto"/>
              </w:rPr>
            </w:pPr>
            <w:r>
              <w:rPr>
                <w:rFonts w:ascii="Arial" w:cs="Arial" w:eastAsia="Arial" w:hAnsi="Arial"/>
                <w:sz w:val="13"/>
                <w:szCs w:val="13"/>
                <w:b w:val="1"/>
                <w:bCs w:val="1"/>
                <w:color w:val="FFFFFF"/>
                <w:w w:val="95"/>
              </w:rPr>
              <w:t>Estimated Possible</w:t>
            </w: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vMerge w:val="restart"/>
            <w:shd w:val="clear" w:color="auto" w:fill="3C5896"/>
          </w:tcPr>
          <w:p>
            <w:pPr>
              <w:jc w:val="center"/>
              <w:ind w:right="91"/>
              <w:spacing w:after="0"/>
              <w:rPr>
                <w:sz w:val="20"/>
                <w:szCs w:val="20"/>
                <w:color w:val="auto"/>
              </w:rPr>
            </w:pPr>
            <w:r>
              <w:rPr>
                <w:rFonts w:ascii="Arial" w:cs="Arial" w:eastAsia="Arial" w:hAnsi="Arial"/>
                <w:sz w:val="13"/>
                <w:szCs w:val="13"/>
                <w:b w:val="1"/>
                <w:bCs w:val="1"/>
                <w:color w:val="FFFFFF"/>
                <w:w w:val="95"/>
              </w:rPr>
              <w:t>Estimated Possible</w:t>
            </w:r>
          </w:p>
        </w:tc>
        <w:tc>
          <w:tcPr>
            <w:tcW w:w="74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5"/>
              </w:rPr>
              <w:t>Stock</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5"/>
              </w:rPr>
              <w:t>Option</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vMerge w:val="restart"/>
            <w:shd w:val="clear" w:color="auto" w:fill="3C5896"/>
          </w:tcPr>
          <w:p>
            <w:pPr>
              <w:jc w:val="center"/>
              <w:ind w:right="38"/>
              <w:spacing w:after="0"/>
              <w:rPr>
                <w:sz w:val="20"/>
                <w:szCs w:val="20"/>
                <w:color w:val="auto"/>
              </w:rPr>
            </w:pPr>
            <w:r>
              <w:rPr>
                <w:rFonts w:ascii="Arial" w:cs="Arial" w:eastAsia="Arial" w:hAnsi="Arial"/>
                <w:sz w:val="13"/>
                <w:szCs w:val="13"/>
                <w:b w:val="1"/>
                <w:bCs w:val="1"/>
                <w:color w:val="FFFFFF"/>
                <w:w w:val="96"/>
              </w:rPr>
              <w:t>Exercise or</w:t>
            </w:r>
          </w:p>
        </w:tc>
        <w:tc>
          <w:tcPr>
            <w:tcW w:w="76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vMerge w:val="continue"/>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76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Award:</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vMerge w:val="continue"/>
            <w:shd w:val="clear" w:color="auto" w:fill="3C5896"/>
          </w:tcPr>
          <w:p>
            <w:pPr>
              <w:spacing w:after="0"/>
              <w:rPr>
                <w:sz w:val="10"/>
                <w:szCs w:val="10"/>
                <w:color w:val="auto"/>
              </w:rPr>
            </w:pPr>
          </w:p>
        </w:tc>
        <w:tc>
          <w:tcPr>
            <w:tcW w:w="76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shd w:val="clear" w:color="auto" w:fill="3C5896"/>
          </w:tcPr>
          <w:p>
            <w:pPr>
              <w:jc w:val="center"/>
              <w:ind w:right="97"/>
              <w:spacing w:after="0" w:line="122" w:lineRule="exact"/>
              <w:rPr>
                <w:sz w:val="20"/>
                <w:szCs w:val="20"/>
                <w:color w:val="auto"/>
              </w:rPr>
            </w:pPr>
            <w:r>
              <w:rPr>
                <w:rFonts w:ascii="Arial" w:cs="Arial" w:eastAsia="Arial" w:hAnsi="Arial"/>
                <w:sz w:val="13"/>
                <w:szCs w:val="13"/>
                <w:b w:val="1"/>
                <w:bCs w:val="1"/>
                <w:color w:val="FFFFFF"/>
                <w:w w:val="95"/>
              </w:rPr>
              <w:t>Payouts Under Non-Equity</w:t>
            </w: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shd w:val="clear" w:color="auto" w:fill="3C5896"/>
          </w:tcPr>
          <w:p>
            <w:pPr>
              <w:jc w:val="center"/>
              <w:ind w:right="91"/>
              <w:spacing w:after="0" w:line="122" w:lineRule="exact"/>
              <w:rPr>
                <w:sz w:val="20"/>
                <w:szCs w:val="20"/>
                <w:color w:val="auto"/>
              </w:rPr>
            </w:pPr>
            <w:r>
              <w:rPr>
                <w:rFonts w:ascii="Arial" w:cs="Arial" w:eastAsia="Arial" w:hAnsi="Arial"/>
                <w:sz w:val="13"/>
                <w:szCs w:val="13"/>
                <w:b w:val="1"/>
                <w:bCs w:val="1"/>
                <w:color w:val="FFFFFF"/>
                <w:w w:val="96"/>
              </w:rPr>
              <w:t>Payouts Under Equity</w:t>
            </w: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Number of</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8"/>
              </w:rPr>
              <w:t>Number of</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ind w:left="180"/>
              <w:spacing w:after="0" w:line="122" w:lineRule="exact"/>
              <w:rPr>
                <w:sz w:val="20"/>
                <w:szCs w:val="20"/>
                <w:color w:val="auto"/>
              </w:rPr>
            </w:pPr>
            <w:r>
              <w:rPr>
                <w:rFonts w:ascii="Arial" w:cs="Arial" w:eastAsia="Arial" w:hAnsi="Arial"/>
                <w:sz w:val="13"/>
                <w:szCs w:val="13"/>
                <w:b w:val="1"/>
                <w:bCs w:val="1"/>
                <w:color w:val="FFFFFF"/>
              </w:rPr>
              <w:t>Base</w:t>
            </w:r>
          </w:p>
        </w:tc>
        <w:tc>
          <w:tcPr>
            <w:tcW w:w="760" w:type="dxa"/>
            <w:vAlign w:val="bottom"/>
            <w:tcBorders>
              <w:right w:val="single" w:sz="8" w:color="3C5896"/>
            </w:tcBorders>
            <w:vMerge w:val="restart"/>
            <w:shd w:val="clear" w:color="auto" w:fill="3C5896"/>
          </w:tcPr>
          <w:p>
            <w:pPr>
              <w:jc w:val="center"/>
              <w:ind w:right="12"/>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56"/>
        </w:trPr>
        <w:tc>
          <w:tcPr>
            <w:tcW w:w="1400" w:type="dxa"/>
            <w:vAlign w:val="bottom"/>
            <w:tcBorders>
              <w:left w:val="single" w:sz="8" w:color="3C5896"/>
              <w:bottom w:val="single" w:sz="8" w:color="3C5896"/>
              <w:right w:val="single" w:sz="8" w:color="9EACCA"/>
            </w:tcBorders>
            <w:shd w:val="clear" w:color="auto" w:fill="3C5896"/>
          </w:tcPr>
          <w:p>
            <w:pPr>
              <w:spacing w:after="0"/>
              <w:rPr>
                <w:sz w:val="13"/>
                <w:szCs w:val="13"/>
                <w:color w:val="auto"/>
              </w:rPr>
            </w:pPr>
          </w:p>
        </w:tc>
        <w:tc>
          <w:tcPr>
            <w:tcW w:w="40" w:type="dxa"/>
            <w:vAlign w:val="bottom"/>
            <w:tcBorders>
              <w:bottom w:val="single" w:sz="8" w:color="3C5896"/>
            </w:tcBorders>
            <w:shd w:val="clear" w:color="auto" w:fill="3C5896"/>
          </w:tcPr>
          <w:p>
            <w:pPr>
              <w:spacing w:after="0"/>
              <w:rPr>
                <w:sz w:val="13"/>
                <w:szCs w:val="13"/>
                <w:color w:val="auto"/>
              </w:rPr>
            </w:pPr>
          </w:p>
        </w:tc>
        <w:tc>
          <w:tcPr>
            <w:tcW w:w="700" w:type="dxa"/>
            <w:vAlign w:val="bottom"/>
            <w:tcBorders>
              <w:bottom w:val="single" w:sz="8" w:color="3C5896"/>
              <w:right w:val="single" w:sz="8" w:color="9EACCA"/>
            </w:tcBorders>
            <w:shd w:val="clear" w:color="auto" w:fill="3C5896"/>
          </w:tcPr>
          <w:p>
            <w:pPr>
              <w:spacing w:after="0"/>
              <w:rPr>
                <w:sz w:val="13"/>
                <w:szCs w:val="13"/>
                <w:color w:val="auto"/>
              </w:rPr>
            </w:pPr>
          </w:p>
        </w:tc>
        <w:tc>
          <w:tcPr>
            <w:tcW w:w="80" w:type="dxa"/>
            <w:vAlign w:val="bottom"/>
            <w:tcBorders>
              <w:bottom w:val="single" w:sz="8" w:color="3C5896"/>
            </w:tcBorders>
            <w:shd w:val="clear" w:color="auto" w:fill="3C5896"/>
          </w:tcPr>
          <w:p>
            <w:pPr>
              <w:spacing w:after="0"/>
              <w:rPr>
                <w:sz w:val="13"/>
                <w:szCs w:val="13"/>
                <w:color w:val="auto"/>
              </w:rPr>
            </w:pPr>
          </w:p>
        </w:tc>
        <w:tc>
          <w:tcPr>
            <w:tcW w:w="1980" w:type="dxa"/>
            <w:vAlign w:val="bottom"/>
            <w:tcBorders>
              <w:bottom w:val="single" w:sz="8" w:color="3C5896"/>
              <w:right w:val="single" w:sz="8" w:color="9EACCA"/>
            </w:tcBorders>
            <w:gridSpan w:val="4"/>
            <w:shd w:val="clear" w:color="auto" w:fill="3C5896"/>
          </w:tcPr>
          <w:p>
            <w:pPr>
              <w:jc w:val="center"/>
              <w:ind w:right="37"/>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(1)</w:t>
            </w:r>
          </w:p>
        </w:tc>
        <w:tc>
          <w:tcPr>
            <w:tcW w:w="100" w:type="dxa"/>
            <w:vAlign w:val="bottom"/>
            <w:tcBorders>
              <w:bottom w:val="single" w:sz="8" w:color="3C5896"/>
            </w:tcBorders>
            <w:shd w:val="clear" w:color="auto" w:fill="3C5896"/>
          </w:tcPr>
          <w:p>
            <w:pPr>
              <w:spacing w:after="0"/>
              <w:rPr>
                <w:sz w:val="13"/>
                <w:szCs w:val="13"/>
                <w:color w:val="auto"/>
              </w:rPr>
            </w:pPr>
          </w:p>
        </w:tc>
        <w:tc>
          <w:tcPr>
            <w:tcW w:w="1820" w:type="dxa"/>
            <w:vAlign w:val="bottom"/>
            <w:tcBorders>
              <w:bottom w:val="single" w:sz="8" w:color="3C5896"/>
              <w:right w:val="single" w:sz="8" w:color="9EACCA"/>
            </w:tcBorders>
            <w:gridSpan w:val="4"/>
            <w:shd w:val="clear" w:color="auto" w:fill="3C5896"/>
          </w:tcPr>
          <w:p>
            <w:pPr>
              <w:jc w:val="center"/>
              <w:ind w:right="71"/>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(2)</w:t>
            </w:r>
          </w:p>
        </w:tc>
        <w:tc>
          <w:tcPr>
            <w:tcW w:w="740" w:type="dxa"/>
            <w:vAlign w:val="bottom"/>
            <w:tcBorders>
              <w:bottom w:val="single" w:sz="8" w:color="3C5896"/>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Shares or</w:t>
            </w:r>
          </w:p>
        </w:tc>
        <w:tc>
          <w:tcPr>
            <w:tcW w:w="760" w:type="dxa"/>
            <w:vAlign w:val="bottom"/>
            <w:tcBorders>
              <w:bottom w:val="single" w:sz="8" w:color="3C5896"/>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6"/>
              </w:rPr>
              <w:t>Securities</w:t>
            </w:r>
          </w:p>
        </w:tc>
        <w:tc>
          <w:tcPr>
            <w:tcW w:w="40" w:type="dxa"/>
            <w:vAlign w:val="bottom"/>
            <w:tcBorders>
              <w:bottom w:val="single" w:sz="8" w:color="3C5896"/>
            </w:tcBorders>
            <w:shd w:val="clear" w:color="auto" w:fill="3C5896"/>
          </w:tcPr>
          <w:p>
            <w:pPr>
              <w:spacing w:after="0"/>
              <w:rPr>
                <w:sz w:val="13"/>
                <w:szCs w:val="13"/>
                <w:color w:val="auto"/>
              </w:rPr>
            </w:pPr>
          </w:p>
        </w:tc>
        <w:tc>
          <w:tcPr>
            <w:tcW w:w="780" w:type="dxa"/>
            <w:vAlign w:val="bottom"/>
            <w:tcBorders>
              <w:bottom w:val="single" w:sz="8" w:color="3C5896"/>
              <w:right w:val="single" w:sz="8" w:color="9EACCA"/>
            </w:tcBorders>
            <w:shd w:val="clear" w:color="auto" w:fill="3C5896"/>
          </w:tcPr>
          <w:p>
            <w:pPr>
              <w:jc w:val="center"/>
              <w:ind w:right="58"/>
              <w:spacing w:after="0" w:line="122" w:lineRule="exact"/>
              <w:rPr>
                <w:sz w:val="20"/>
                <w:szCs w:val="20"/>
                <w:color w:val="auto"/>
              </w:rPr>
            </w:pPr>
            <w:r>
              <w:rPr>
                <w:rFonts w:ascii="Arial" w:cs="Arial" w:eastAsia="Arial" w:hAnsi="Arial"/>
                <w:sz w:val="13"/>
                <w:szCs w:val="13"/>
                <w:b w:val="1"/>
                <w:bCs w:val="1"/>
                <w:color w:val="FFFFFF"/>
                <w:w w:val="96"/>
              </w:rPr>
              <w:t>Price of</w:t>
            </w:r>
          </w:p>
        </w:tc>
        <w:tc>
          <w:tcPr>
            <w:tcW w:w="760" w:type="dxa"/>
            <w:vAlign w:val="bottom"/>
            <w:tcBorders>
              <w:bottom w:val="single" w:sz="8" w:color="3C5896"/>
              <w:right w:val="single" w:sz="8" w:color="3C5896"/>
            </w:tcBorders>
            <w:vMerge w:val="continue"/>
            <w:shd w:val="clear" w:color="auto" w:fill="3C5896"/>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3C5896"/>
              <w:right w:val="single" w:sz="8" w:color="9EACCA"/>
            </w:tcBorders>
            <w:shd w:val="clear" w:color="auto" w:fill="3C5896"/>
          </w:tcPr>
          <w:p>
            <w:pPr>
              <w:spacing w:after="0"/>
              <w:rPr>
                <w:sz w:val="5"/>
                <w:szCs w:val="5"/>
                <w:color w:val="auto"/>
              </w:rPr>
            </w:pPr>
          </w:p>
        </w:tc>
        <w:tc>
          <w:tcPr>
            <w:tcW w:w="40" w:type="dxa"/>
            <w:vAlign w:val="bottom"/>
            <w:shd w:val="clear" w:color="auto" w:fill="3C5896"/>
          </w:tcPr>
          <w:p>
            <w:pPr>
              <w:spacing w:after="0"/>
              <w:rPr>
                <w:sz w:val="5"/>
                <w:szCs w:val="5"/>
                <w:color w:val="auto"/>
              </w:rPr>
            </w:pPr>
          </w:p>
        </w:tc>
        <w:tc>
          <w:tcPr>
            <w:tcW w:w="700" w:type="dxa"/>
            <w:vAlign w:val="bottom"/>
            <w:tcBorders>
              <w:right w:val="single" w:sz="8" w:color="9EACCA"/>
            </w:tcBorders>
            <w:shd w:val="clear" w:color="auto" w:fill="3C5896"/>
          </w:tcPr>
          <w:p>
            <w:pPr>
              <w:spacing w:after="0"/>
              <w:rPr>
                <w:sz w:val="5"/>
                <w:szCs w:val="5"/>
                <w:color w:val="auto"/>
              </w:rPr>
            </w:pPr>
          </w:p>
        </w:tc>
        <w:tc>
          <w:tcPr>
            <w:tcW w:w="720" w:type="dxa"/>
            <w:vAlign w:val="bottom"/>
            <w:tcBorders>
              <w:right w:val="single" w:sz="8" w:color="9EACCA"/>
            </w:tcBorders>
            <w:gridSpan w:val="2"/>
            <w:vMerge w:val="restart"/>
            <w:shd w:val="clear" w:color="auto" w:fill="3C5896"/>
          </w:tcPr>
          <w:p>
            <w:pPr>
              <w:jc w:val="right"/>
              <w:ind w:right="22"/>
              <w:spacing w:after="0"/>
              <w:rPr>
                <w:sz w:val="20"/>
                <w:szCs w:val="20"/>
                <w:color w:val="auto"/>
              </w:rPr>
            </w:pPr>
            <w:r>
              <w:rPr>
                <w:rFonts w:ascii="Arial" w:cs="Arial" w:eastAsia="Arial" w:hAnsi="Arial"/>
                <w:sz w:val="13"/>
                <w:szCs w:val="13"/>
                <w:b w:val="1"/>
                <w:bCs w:val="1"/>
                <w:color w:val="FFFFFF"/>
                <w:w w:val="98"/>
              </w:rPr>
              <w:t>Threshold</w:t>
            </w:r>
          </w:p>
        </w:tc>
        <w:tc>
          <w:tcPr>
            <w:tcW w:w="60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40" w:type="dxa"/>
            <w:vAlign w:val="bottom"/>
            <w:shd w:val="clear" w:color="auto" w:fill="3C5896"/>
          </w:tcPr>
          <w:p>
            <w:pPr>
              <w:spacing w:after="0"/>
              <w:rPr>
                <w:sz w:val="5"/>
                <w:szCs w:val="5"/>
                <w:color w:val="auto"/>
              </w:rPr>
            </w:pPr>
          </w:p>
        </w:tc>
        <w:tc>
          <w:tcPr>
            <w:tcW w:w="700" w:type="dxa"/>
            <w:vAlign w:val="bottom"/>
            <w:tcBorders>
              <w:right w:val="single" w:sz="8" w:color="9EACCA"/>
            </w:tcBorders>
            <w:vMerge w:val="restart"/>
            <w:shd w:val="clear" w:color="auto" w:fill="3C5896"/>
          </w:tcPr>
          <w:p>
            <w:pPr>
              <w:jc w:val="right"/>
              <w:ind w:right="57"/>
              <w:spacing w:after="0"/>
              <w:rPr>
                <w:sz w:val="20"/>
                <w:szCs w:val="20"/>
                <w:color w:val="auto"/>
              </w:rPr>
            </w:pPr>
            <w:r>
              <w:rPr>
                <w:rFonts w:ascii="Arial" w:cs="Arial" w:eastAsia="Arial" w:hAnsi="Arial"/>
                <w:sz w:val="13"/>
                <w:szCs w:val="13"/>
                <w:b w:val="1"/>
                <w:bCs w:val="1"/>
                <w:color w:val="FFFFFF"/>
                <w:w w:val="93"/>
              </w:rPr>
              <w:t>Maximum</w:t>
            </w:r>
          </w:p>
        </w:tc>
        <w:tc>
          <w:tcPr>
            <w:tcW w:w="700" w:type="dxa"/>
            <w:vAlign w:val="bottom"/>
            <w:tcBorders>
              <w:right w:val="single" w:sz="8" w:color="9EACCA"/>
            </w:tcBorders>
            <w:gridSpan w:val="2"/>
            <w:vMerge w:val="restart"/>
            <w:shd w:val="clear" w:color="auto" w:fill="3C5896"/>
          </w:tcPr>
          <w:p>
            <w:pPr>
              <w:jc w:val="right"/>
              <w:ind w:right="16"/>
              <w:spacing w:after="0"/>
              <w:rPr>
                <w:sz w:val="20"/>
                <w:szCs w:val="20"/>
                <w:color w:val="auto"/>
              </w:rPr>
            </w:pPr>
            <w:r>
              <w:rPr>
                <w:rFonts w:ascii="Arial" w:cs="Arial" w:eastAsia="Arial" w:hAnsi="Arial"/>
                <w:sz w:val="13"/>
                <w:szCs w:val="13"/>
                <w:b w:val="1"/>
                <w:bCs w:val="1"/>
                <w:color w:val="FFFFFF"/>
                <w:w w:val="95"/>
              </w:rPr>
              <w:t>Threshold</w:t>
            </w:r>
          </w:p>
        </w:tc>
        <w:tc>
          <w:tcPr>
            <w:tcW w:w="40" w:type="dxa"/>
            <w:vAlign w:val="bottom"/>
            <w:shd w:val="clear" w:color="auto" w:fill="3C5896"/>
          </w:tcPr>
          <w:p>
            <w:pPr>
              <w:spacing w:after="0"/>
              <w:rPr>
                <w:sz w:val="5"/>
                <w:szCs w:val="5"/>
                <w:color w:val="auto"/>
              </w:rPr>
            </w:pPr>
          </w:p>
        </w:tc>
        <w:tc>
          <w:tcPr>
            <w:tcW w:w="500" w:type="dxa"/>
            <w:vAlign w:val="bottom"/>
            <w:tcBorders>
              <w:right w:val="single" w:sz="8" w:color="9EACCA"/>
            </w:tcBorders>
            <w:vMerge w:val="restart"/>
            <w:shd w:val="clear" w:color="auto" w:fill="3C5896"/>
          </w:tcPr>
          <w:p>
            <w:pPr>
              <w:jc w:val="center"/>
              <w:ind w:right="31"/>
              <w:spacing w:after="0"/>
              <w:rPr>
                <w:sz w:val="20"/>
                <w:szCs w:val="20"/>
                <w:color w:val="auto"/>
              </w:rPr>
            </w:pPr>
            <w:r>
              <w:rPr>
                <w:rFonts w:ascii="Arial" w:cs="Arial" w:eastAsia="Arial" w:hAnsi="Arial"/>
                <w:sz w:val="13"/>
                <w:szCs w:val="13"/>
                <w:b w:val="1"/>
                <w:bCs w:val="1"/>
                <w:color w:val="FFFFFF"/>
                <w:w w:val="90"/>
              </w:rPr>
              <w:t>Target</w:t>
            </w:r>
          </w:p>
        </w:tc>
        <w:tc>
          <w:tcPr>
            <w:tcW w:w="680" w:type="dxa"/>
            <w:vAlign w:val="bottom"/>
            <w:tcBorders>
              <w:right w:val="single" w:sz="8" w:color="9EACCA"/>
            </w:tcBorders>
            <w:vMerge w:val="restart"/>
            <w:shd w:val="clear" w:color="auto" w:fill="3C5896"/>
          </w:tcPr>
          <w:p>
            <w:pPr>
              <w:jc w:val="right"/>
              <w:ind w:right="11"/>
              <w:spacing w:after="0"/>
              <w:rPr>
                <w:sz w:val="20"/>
                <w:szCs w:val="20"/>
                <w:color w:val="auto"/>
              </w:rPr>
            </w:pPr>
            <w:r>
              <w:rPr>
                <w:rFonts w:ascii="Arial" w:cs="Arial" w:eastAsia="Arial" w:hAnsi="Arial"/>
                <w:sz w:val="13"/>
                <w:szCs w:val="13"/>
                <w:b w:val="1"/>
                <w:bCs w:val="1"/>
                <w:color w:val="FFFFFF"/>
                <w:w w:val="96"/>
              </w:rPr>
              <w:t>Maximum</w:t>
            </w:r>
          </w:p>
        </w:tc>
        <w:tc>
          <w:tcPr>
            <w:tcW w:w="740" w:type="dxa"/>
            <w:vAlign w:val="bottom"/>
            <w:tcBorders>
              <w:right w:val="single" w:sz="8" w:color="9EACCA"/>
            </w:tcBorders>
            <w:shd w:val="clear" w:color="auto" w:fill="3C5896"/>
          </w:tcPr>
          <w:p>
            <w:pPr>
              <w:jc w:val="center"/>
              <w:ind w:right="17"/>
              <w:spacing w:after="0" w:line="68" w:lineRule="exact"/>
              <w:rPr>
                <w:sz w:val="20"/>
                <w:szCs w:val="20"/>
                <w:color w:val="auto"/>
              </w:rPr>
            </w:pPr>
            <w:r>
              <w:rPr>
                <w:rFonts w:ascii="Arial" w:cs="Arial" w:eastAsia="Arial" w:hAnsi="Arial"/>
                <w:sz w:val="7"/>
                <w:szCs w:val="7"/>
                <w:b w:val="1"/>
                <w:bCs w:val="1"/>
                <w:color w:val="FFFFFF"/>
              </w:rPr>
              <w:t>Stock</w:t>
            </w:r>
          </w:p>
        </w:tc>
        <w:tc>
          <w:tcPr>
            <w:tcW w:w="760" w:type="dxa"/>
            <w:vAlign w:val="bottom"/>
            <w:tcBorders>
              <w:right w:val="single" w:sz="8" w:color="9EACCA"/>
            </w:tcBorders>
            <w:shd w:val="clear" w:color="auto" w:fill="3C5896"/>
          </w:tcPr>
          <w:p>
            <w:pPr>
              <w:jc w:val="center"/>
              <w:ind w:right="17"/>
              <w:spacing w:after="0" w:line="68" w:lineRule="exact"/>
              <w:rPr>
                <w:sz w:val="20"/>
                <w:szCs w:val="20"/>
                <w:color w:val="auto"/>
              </w:rPr>
            </w:pPr>
            <w:r>
              <w:rPr>
                <w:rFonts w:ascii="Arial" w:cs="Arial" w:eastAsia="Arial" w:hAnsi="Arial"/>
                <w:sz w:val="7"/>
                <w:szCs w:val="7"/>
                <w:b w:val="1"/>
                <w:bCs w:val="1"/>
                <w:color w:val="FFFFFF"/>
              </w:rPr>
              <w:t>Underlying</w:t>
            </w:r>
          </w:p>
        </w:tc>
        <w:tc>
          <w:tcPr>
            <w:tcW w:w="40" w:type="dxa"/>
            <w:vAlign w:val="bottom"/>
            <w:shd w:val="clear" w:color="auto" w:fill="3C5896"/>
          </w:tcPr>
          <w:p>
            <w:pPr>
              <w:spacing w:after="0"/>
              <w:rPr>
                <w:sz w:val="5"/>
                <w:szCs w:val="5"/>
                <w:color w:val="auto"/>
              </w:rPr>
            </w:pPr>
          </w:p>
        </w:tc>
        <w:tc>
          <w:tcPr>
            <w:tcW w:w="780" w:type="dxa"/>
            <w:vAlign w:val="bottom"/>
            <w:tcBorders>
              <w:right w:val="single" w:sz="8" w:color="9EACCA"/>
            </w:tcBorders>
            <w:shd w:val="clear" w:color="auto" w:fill="3C5896"/>
          </w:tcPr>
          <w:p>
            <w:pPr>
              <w:jc w:val="center"/>
              <w:ind w:right="38"/>
              <w:spacing w:after="0" w:line="68" w:lineRule="exact"/>
              <w:rPr>
                <w:sz w:val="20"/>
                <w:szCs w:val="20"/>
                <w:color w:val="auto"/>
              </w:rPr>
            </w:pPr>
            <w:r>
              <w:rPr>
                <w:rFonts w:ascii="Arial" w:cs="Arial" w:eastAsia="Arial" w:hAnsi="Arial"/>
                <w:sz w:val="7"/>
                <w:szCs w:val="7"/>
                <w:b w:val="1"/>
                <w:bCs w:val="1"/>
                <w:color w:val="FFFFFF"/>
              </w:rPr>
              <w:t>Option</w:t>
            </w:r>
          </w:p>
        </w:tc>
        <w:tc>
          <w:tcPr>
            <w:tcW w:w="760" w:type="dxa"/>
            <w:vAlign w:val="bottom"/>
            <w:tcBorders>
              <w:right w:val="single" w:sz="8" w:color="3C5896"/>
            </w:tcBorders>
            <w:shd w:val="clear" w:color="auto" w:fill="3C5896"/>
          </w:tcPr>
          <w:p>
            <w:pPr>
              <w:jc w:val="center"/>
              <w:spacing w:after="0" w:line="68" w:lineRule="exact"/>
              <w:rPr>
                <w:sz w:val="20"/>
                <w:szCs w:val="20"/>
                <w:color w:val="auto"/>
              </w:rPr>
            </w:pPr>
            <w:r>
              <w:rPr>
                <w:rFonts w:ascii="Arial" w:cs="Arial" w:eastAsia="Arial" w:hAnsi="Arial"/>
                <w:sz w:val="7"/>
                <w:szCs w:val="7"/>
                <w:b w:val="1"/>
                <w:bCs w:val="1"/>
                <w:color w:val="FFFFFF"/>
              </w:rPr>
              <w:t>Fair Value</w:t>
            </w: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vMerge w:val="restart"/>
            <w:shd w:val="clear" w:color="auto" w:fill="3C5896"/>
          </w:tcPr>
          <w:p>
            <w:pPr>
              <w:ind w:left="560"/>
              <w:spacing w:after="0"/>
              <w:rPr>
                <w:sz w:val="20"/>
                <w:szCs w:val="20"/>
                <w:color w:val="auto"/>
              </w:rPr>
            </w:pPr>
            <w:r>
              <w:rPr>
                <w:rFonts w:ascii="Arial" w:cs="Arial" w:eastAsia="Arial" w:hAnsi="Arial"/>
                <w:sz w:val="13"/>
                <w:szCs w:val="13"/>
                <w:b w:val="1"/>
                <w:bCs w:val="1"/>
                <w:color w:val="FFFFFF"/>
              </w:rPr>
              <w:t>NEO</w:t>
            </w: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vMerge w:val="restart"/>
            <w:shd w:val="clear" w:color="auto" w:fill="3C5896"/>
          </w:tcPr>
          <w:p>
            <w:pPr>
              <w:spacing w:after="0"/>
              <w:rPr>
                <w:sz w:val="20"/>
                <w:szCs w:val="20"/>
                <w:color w:val="auto"/>
              </w:rPr>
            </w:pPr>
            <w:r>
              <w:rPr>
                <w:rFonts w:ascii="Arial" w:cs="Arial" w:eastAsia="Arial" w:hAnsi="Arial"/>
                <w:sz w:val="13"/>
                <w:szCs w:val="13"/>
                <w:b w:val="1"/>
                <w:bCs w:val="1"/>
                <w:color w:val="FFFFFF"/>
                <w:w w:val="99"/>
              </w:rPr>
              <w:t>Grant Date</w:t>
            </w:r>
          </w:p>
        </w:tc>
        <w:tc>
          <w:tcPr>
            <w:tcW w:w="720" w:type="dxa"/>
            <w:vAlign w:val="bottom"/>
            <w:tcBorders>
              <w:right w:val="single" w:sz="8" w:color="9EACCA"/>
            </w:tcBorders>
            <w:gridSpan w:val="2"/>
            <w:vMerge w:val="continue"/>
            <w:shd w:val="clear" w:color="auto" w:fill="3C5896"/>
          </w:tcPr>
          <w:p>
            <w:pPr>
              <w:spacing w:after="0"/>
              <w:rPr>
                <w:sz w:val="10"/>
                <w:szCs w:val="10"/>
                <w:color w:val="auto"/>
              </w:rPr>
            </w:pPr>
          </w:p>
        </w:tc>
        <w:tc>
          <w:tcPr>
            <w:tcW w:w="600" w:type="dxa"/>
            <w:vAlign w:val="bottom"/>
            <w:tcBorders>
              <w:right w:val="single" w:sz="8" w:color="9EACCA"/>
            </w:tcBorders>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vMerge w:val="continue"/>
            <w:shd w:val="clear" w:color="auto" w:fill="3C5896"/>
          </w:tcPr>
          <w:p>
            <w:pPr>
              <w:spacing w:after="0"/>
              <w:rPr>
                <w:sz w:val="10"/>
                <w:szCs w:val="10"/>
                <w:color w:val="auto"/>
              </w:rPr>
            </w:pPr>
          </w:p>
        </w:tc>
        <w:tc>
          <w:tcPr>
            <w:tcW w:w="70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500" w:type="dxa"/>
            <w:vAlign w:val="bottom"/>
            <w:tcBorders>
              <w:right w:val="single" w:sz="8" w:color="9EACCA"/>
            </w:tcBorders>
            <w:vMerge w:val="continue"/>
            <w:shd w:val="clear" w:color="auto" w:fill="3C5896"/>
          </w:tcPr>
          <w:p>
            <w:pPr>
              <w:spacing w:after="0"/>
              <w:rPr>
                <w:sz w:val="10"/>
                <w:szCs w:val="10"/>
                <w:color w:val="auto"/>
              </w:rPr>
            </w:pPr>
          </w:p>
        </w:tc>
        <w:tc>
          <w:tcPr>
            <w:tcW w:w="680" w:type="dxa"/>
            <w:vAlign w:val="bottom"/>
            <w:tcBorders>
              <w:right w:val="single" w:sz="8" w:color="9EACCA"/>
            </w:tcBorders>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Units</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7"/>
              </w:rPr>
              <w:t>Options</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jc w:val="center"/>
              <w:ind w:right="38"/>
              <w:spacing w:after="0" w:line="122" w:lineRule="exact"/>
              <w:rPr>
                <w:sz w:val="20"/>
                <w:szCs w:val="20"/>
                <w:color w:val="auto"/>
              </w:rPr>
            </w:pPr>
            <w:r>
              <w:rPr>
                <w:rFonts w:ascii="Arial" w:cs="Arial" w:eastAsia="Arial" w:hAnsi="Arial"/>
                <w:sz w:val="13"/>
                <w:szCs w:val="13"/>
                <w:b w:val="1"/>
                <w:bCs w:val="1"/>
                <w:color w:val="FFFFFF"/>
                <w:w w:val="93"/>
              </w:rPr>
              <w:t>Awards</w:t>
            </w:r>
          </w:p>
        </w:tc>
        <w:tc>
          <w:tcPr>
            <w:tcW w:w="760" w:type="dxa"/>
            <w:vAlign w:val="bottom"/>
            <w:tcBorders>
              <w:right w:val="single" w:sz="8" w:color="3C5896"/>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of Award</w:t>
            </w:r>
          </w:p>
        </w:tc>
        <w:tc>
          <w:tcPr>
            <w:tcW w:w="0" w:type="dxa"/>
            <w:vAlign w:val="bottom"/>
          </w:tcPr>
          <w:p>
            <w:pPr>
              <w:spacing w:after="0"/>
              <w:rPr>
                <w:sz w:val="1"/>
                <w:szCs w:val="1"/>
                <w:color w:val="auto"/>
              </w:rPr>
            </w:pPr>
          </w:p>
        </w:tc>
      </w:tr>
      <w:tr>
        <w:trPr>
          <w:trHeight w:val="189"/>
        </w:trPr>
        <w:tc>
          <w:tcPr>
            <w:tcW w:w="1400" w:type="dxa"/>
            <w:vAlign w:val="bottom"/>
            <w:tcBorders>
              <w:left w:val="single" w:sz="8" w:color="3C5896"/>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700" w:type="dxa"/>
            <w:vAlign w:val="bottom"/>
            <w:tcBorders>
              <w:right w:val="single" w:sz="8" w:color="9EACCA"/>
            </w:tcBorders>
            <w:vMerge w:val="continue"/>
            <w:shd w:val="clear" w:color="auto" w:fill="3C5896"/>
          </w:tcPr>
          <w:p>
            <w:pPr>
              <w:spacing w:after="0"/>
              <w:rPr>
                <w:sz w:val="16"/>
                <w:szCs w:val="16"/>
                <w:color w:val="auto"/>
              </w:rPr>
            </w:pPr>
          </w:p>
        </w:tc>
        <w:tc>
          <w:tcPr>
            <w:tcW w:w="720" w:type="dxa"/>
            <w:vAlign w:val="bottom"/>
            <w:tcBorders>
              <w:right w:val="single" w:sz="8" w:color="9EACCA"/>
            </w:tcBorders>
            <w:gridSpan w:val="2"/>
            <w:shd w:val="clear" w:color="auto" w:fill="3C5896"/>
          </w:tcPr>
          <w:p>
            <w:pPr>
              <w:jc w:val="right"/>
              <w:ind w:right="242"/>
              <w:spacing w:after="0"/>
              <w:rPr>
                <w:sz w:val="20"/>
                <w:szCs w:val="20"/>
                <w:color w:val="auto"/>
              </w:rPr>
            </w:pPr>
            <w:r>
              <w:rPr>
                <w:rFonts w:ascii="Arial" w:cs="Arial" w:eastAsia="Arial" w:hAnsi="Arial"/>
                <w:sz w:val="13"/>
                <w:szCs w:val="13"/>
                <w:b w:val="1"/>
                <w:bCs w:val="1"/>
                <w:color w:val="FFFFFF"/>
              </w:rPr>
              <w:t>($)</w:t>
            </w:r>
          </w:p>
        </w:tc>
        <w:tc>
          <w:tcPr>
            <w:tcW w:w="6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740" w:type="dxa"/>
            <w:vAlign w:val="bottom"/>
            <w:tcBorders>
              <w:right w:val="single" w:sz="8" w:color="9EACCA"/>
            </w:tcBorders>
            <w:gridSpan w:val="2"/>
            <w:shd w:val="clear" w:color="auto" w:fill="3C5896"/>
          </w:tcPr>
          <w:p>
            <w:pPr>
              <w:jc w:val="right"/>
              <w:ind w:right="237"/>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right w:val="single" w:sz="8" w:color="9EACCA"/>
            </w:tcBorders>
            <w:gridSpan w:val="2"/>
            <w:shd w:val="clear" w:color="auto" w:fill="3C5896"/>
          </w:tcPr>
          <w:p>
            <w:pPr>
              <w:jc w:val="right"/>
              <w:ind w:right="216"/>
              <w:spacing w:after="0"/>
              <w:rPr>
                <w:sz w:val="20"/>
                <w:szCs w:val="20"/>
                <w:color w:val="auto"/>
              </w:rPr>
            </w:pPr>
            <w:r>
              <w:rPr>
                <w:rFonts w:ascii="Arial" w:cs="Arial" w:eastAsia="Arial" w:hAnsi="Arial"/>
                <w:sz w:val="13"/>
                <w:szCs w:val="13"/>
                <w:b w:val="1"/>
                <w:bCs w:val="1"/>
                <w:color w:val="FFFFFF"/>
              </w:rPr>
              <w:t>(#)</w:t>
            </w:r>
          </w:p>
        </w:tc>
        <w:tc>
          <w:tcPr>
            <w:tcW w:w="540" w:type="dxa"/>
            <w:vAlign w:val="bottom"/>
            <w:tcBorders>
              <w:right w:val="single" w:sz="8" w:color="9EACCA"/>
            </w:tcBorders>
            <w:gridSpan w:val="2"/>
            <w:shd w:val="clear" w:color="auto" w:fill="3C5896"/>
          </w:tcPr>
          <w:p>
            <w:pPr>
              <w:jc w:val="right"/>
              <w:ind w:right="131"/>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9EACCA"/>
            </w:tcBorders>
            <w:shd w:val="clear" w:color="auto" w:fill="3C5896"/>
          </w:tcPr>
          <w:p>
            <w:pPr>
              <w:jc w:val="right"/>
              <w:ind w:right="211"/>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(3)</w:t>
            </w:r>
          </w:p>
        </w:tc>
        <w:tc>
          <w:tcPr>
            <w:tcW w:w="7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(4)</w:t>
            </w:r>
          </w:p>
        </w:tc>
        <w:tc>
          <w:tcPr>
            <w:tcW w:w="40" w:type="dxa"/>
            <w:vAlign w:val="bottom"/>
            <w:shd w:val="clear" w:color="auto" w:fill="3C5896"/>
          </w:tcPr>
          <w:p>
            <w:pPr>
              <w:spacing w:after="0"/>
              <w:rPr>
                <w:sz w:val="16"/>
                <w:szCs w:val="16"/>
                <w:color w:val="auto"/>
              </w:rPr>
            </w:pPr>
          </w:p>
        </w:tc>
        <w:tc>
          <w:tcPr>
            <w:tcW w:w="780" w:type="dxa"/>
            <w:vAlign w:val="bottom"/>
            <w:tcBorders>
              <w:right w:val="single" w:sz="8" w:color="9EACCA"/>
            </w:tcBorders>
            <w:shd w:val="clear" w:color="auto" w:fill="3C5896"/>
          </w:tcPr>
          <w:p>
            <w:pPr>
              <w:ind w:left="180"/>
              <w:spacing w:after="0"/>
              <w:rPr>
                <w:sz w:val="20"/>
                <w:szCs w:val="20"/>
                <w:color w:val="auto"/>
              </w:rPr>
            </w:pPr>
            <w:r>
              <w:rPr>
                <w:rFonts w:ascii="Arial" w:cs="Arial" w:eastAsia="Arial" w:hAnsi="Arial"/>
                <w:sz w:val="13"/>
                <w:szCs w:val="13"/>
                <w:b w:val="1"/>
                <w:bCs w:val="1"/>
                <w:color w:val="FFFFFF"/>
              </w:rPr>
              <w:t>($/Sh)</w:t>
            </w:r>
          </w:p>
        </w:tc>
        <w:tc>
          <w:tcPr>
            <w:tcW w:w="7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(5)</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L. Reade Fahs</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477,500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955,000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1,910,000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16,155</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32,310</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64,620</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1,125,034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16,155</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562,517</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41,089</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562,508</w:t>
            </w:r>
          </w:p>
        </w:tc>
        <w:tc>
          <w:tcPr>
            <w:tcW w:w="0" w:type="dxa"/>
            <w:vAlign w:val="bottom"/>
          </w:tcPr>
          <w:p>
            <w:pPr>
              <w:spacing w:after="0"/>
              <w:rPr>
                <w:sz w:val="1"/>
                <w:szCs w:val="1"/>
                <w:color w:val="auto"/>
              </w:rPr>
            </w:pPr>
          </w:p>
        </w:tc>
      </w:tr>
      <w:tr>
        <w:trPr>
          <w:trHeight w:val="25"/>
        </w:trPr>
        <w:tc>
          <w:tcPr>
            <w:tcW w:w="1400" w:type="dxa"/>
            <w:vAlign w:val="bottom"/>
            <w:tcBorders>
              <w:left w:val="single" w:sz="8" w:color="3C5896"/>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9EACCA"/>
            </w:tcBorders>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Patrick R. Moore</w:t>
            </w:r>
          </w:p>
        </w:tc>
        <w:tc>
          <w:tcPr>
            <w:tcW w:w="40" w:type="dxa"/>
            <w:vAlign w:val="bottom"/>
            <w:shd w:val="clear" w:color="auto" w:fill="CCCCCC"/>
          </w:tcPr>
          <w:p>
            <w:pPr>
              <w:spacing w:after="0"/>
              <w:rPr>
                <w:sz w:val="17"/>
                <w:szCs w:val="17"/>
                <w:color w:val="auto"/>
              </w:rPr>
            </w:pPr>
          </w:p>
        </w:tc>
        <w:tc>
          <w:tcPr>
            <w:tcW w:w="700" w:type="dxa"/>
            <w:vAlign w:val="bottom"/>
            <w:tcBorders>
              <w:right w:val="single" w:sz="8" w:color="9EACCA"/>
            </w:tcBorders>
            <w:shd w:val="clear" w:color="auto" w:fill="CCCCCC"/>
          </w:tcPr>
          <w:p>
            <w:pPr>
              <w:spacing w:after="0"/>
              <w:rPr>
                <w:sz w:val="17"/>
                <w:szCs w:val="17"/>
                <w:color w:val="auto"/>
              </w:rPr>
            </w:pPr>
          </w:p>
        </w:tc>
        <w:tc>
          <w:tcPr>
            <w:tcW w:w="720" w:type="dxa"/>
            <w:vAlign w:val="bottom"/>
            <w:tcBorders>
              <w:right w:val="single" w:sz="8" w:color="9EACCA"/>
            </w:tcBorders>
            <w:gridSpan w:val="2"/>
            <w:shd w:val="clear" w:color="auto" w:fill="CCCCCC"/>
          </w:tcPr>
          <w:p>
            <w:pPr>
              <w:jc w:val="right"/>
              <w:ind w:right="62"/>
              <w:spacing w:after="0"/>
              <w:rPr>
                <w:sz w:val="20"/>
                <w:szCs w:val="20"/>
                <w:color w:val="auto"/>
              </w:rPr>
            </w:pPr>
            <w:r>
              <w:rPr>
                <w:rFonts w:ascii="Arial" w:cs="Arial" w:eastAsia="Arial" w:hAnsi="Arial"/>
                <w:sz w:val="14"/>
                <w:szCs w:val="14"/>
                <w:color w:val="auto"/>
              </w:rPr>
              <w:t>162,500</w:t>
            </w:r>
          </w:p>
        </w:tc>
        <w:tc>
          <w:tcPr>
            <w:tcW w:w="6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highlight w:val="lightGray"/>
              </w:rPr>
              <w:t>325,000</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CCCC"/>
          </w:tcPr>
          <w:p>
            <w:pPr>
              <w:spacing w:after="0"/>
              <w:rPr>
                <w:sz w:val="17"/>
                <w:szCs w:val="17"/>
                <w:color w:val="auto"/>
              </w:rPr>
            </w:pPr>
          </w:p>
        </w:tc>
        <w:tc>
          <w:tcPr>
            <w:tcW w:w="60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50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7,180</w:t>
            </w:r>
          </w:p>
        </w:tc>
        <w:tc>
          <w:tcPr>
            <w:tcW w:w="40" w:type="dxa"/>
            <w:vAlign w:val="bottom"/>
            <w:shd w:val="clear" w:color="auto" w:fill="CCCCCC"/>
          </w:tcPr>
          <w:p>
            <w:pPr>
              <w:spacing w:after="0"/>
              <w:rPr>
                <w:sz w:val="18"/>
                <w:szCs w:val="18"/>
                <w:color w:val="auto"/>
              </w:rPr>
            </w:pPr>
          </w:p>
        </w:tc>
        <w:tc>
          <w:tcPr>
            <w:tcW w:w="5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w w:val="97"/>
              </w:rPr>
              <w:t>14,360</w:t>
            </w:r>
          </w:p>
        </w:tc>
        <w:tc>
          <w:tcPr>
            <w:tcW w:w="68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28,720</w:t>
            </w:r>
          </w:p>
        </w:tc>
        <w:tc>
          <w:tcPr>
            <w:tcW w:w="74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500,515</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0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jc w:val="right"/>
              <w:ind w:right="97"/>
              <w:spacing w:after="0"/>
              <w:rPr>
                <w:sz w:val="20"/>
                <w:szCs w:val="20"/>
                <w:color w:val="auto"/>
              </w:rPr>
            </w:pPr>
            <w:r>
              <w:rPr>
                <w:rFonts w:ascii="Arial" w:cs="Arial" w:eastAsia="Arial" w:hAnsi="Arial"/>
                <w:sz w:val="14"/>
                <w:szCs w:val="14"/>
                <w:color w:val="auto"/>
              </w:rPr>
              <w:t>7,180</w:t>
            </w:r>
          </w:p>
        </w:tc>
        <w:tc>
          <w:tcPr>
            <w:tcW w:w="7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250,008</w:t>
            </w:r>
          </w:p>
        </w:tc>
        <w:tc>
          <w:tcPr>
            <w:tcW w:w="0" w:type="dxa"/>
            <w:vAlign w:val="bottom"/>
          </w:tcPr>
          <w:p>
            <w:pPr>
              <w:spacing w:after="0"/>
              <w:rPr>
                <w:sz w:val="1"/>
                <w:szCs w:val="1"/>
                <w:color w:val="auto"/>
              </w:rPr>
            </w:pPr>
          </w:p>
        </w:tc>
      </w:tr>
      <w:tr>
        <w:trPr>
          <w:trHeight w:val="235"/>
        </w:trPr>
        <w:tc>
          <w:tcPr>
            <w:tcW w:w="140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2/28/2020</w:t>
            </w:r>
          </w:p>
        </w:tc>
        <w:tc>
          <w:tcPr>
            <w:tcW w:w="80" w:type="dxa"/>
            <w:vAlign w:val="bottom"/>
            <w:tcBorders>
              <w:bottom w:val="single" w:sz="8" w:color="CCCCCC"/>
            </w:tcBorders>
            <w:shd w:val="clear" w:color="auto" w:fill="CCCCCC"/>
          </w:tcPr>
          <w:p>
            <w:pPr>
              <w:spacing w:after="0"/>
              <w:rPr>
                <w:sz w:val="20"/>
                <w:szCs w:val="20"/>
                <w:color w:val="auto"/>
              </w:rPr>
            </w:pPr>
          </w:p>
        </w:tc>
        <w:tc>
          <w:tcPr>
            <w:tcW w:w="640" w:type="dxa"/>
            <w:vAlign w:val="bottom"/>
            <w:tcBorders>
              <w:bottom w:val="single" w:sz="8" w:color="CCCCCC"/>
              <w:right w:val="single" w:sz="8" w:color="9EACCA"/>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0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0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7"/>
              <w:spacing w:after="0"/>
              <w:rPr>
                <w:sz w:val="20"/>
                <w:szCs w:val="20"/>
                <w:color w:val="auto"/>
              </w:rPr>
            </w:pPr>
            <w:r>
              <w:rPr>
                <w:rFonts w:ascii="Arial" w:cs="Arial" w:eastAsia="Arial" w:hAnsi="Arial"/>
                <w:sz w:val="14"/>
                <w:szCs w:val="14"/>
                <w:color w:val="auto"/>
              </w:rPr>
              <w:t>18,262</w:t>
            </w:r>
          </w:p>
        </w:tc>
        <w:tc>
          <w:tcPr>
            <w:tcW w:w="40" w:type="dxa"/>
            <w:vAlign w:val="bottom"/>
            <w:tcBorders>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34.82</w:t>
            </w:r>
          </w:p>
        </w:tc>
        <w:tc>
          <w:tcPr>
            <w:tcW w:w="760" w:type="dxa"/>
            <w:vAlign w:val="bottom"/>
            <w:tcBorders>
              <w:bottom w:val="single" w:sz="8" w:color="CCCCCC"/>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250,007</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Bill Clark</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87,500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175,000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2,298</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4,596</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9,192</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160,033</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2,298</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80,016</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5,844</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80,004</w:t>
            </w:r>
          </w:p>
        </w:tc>
        <w:tc>
          <w:tcPr>
            <w:tcW w:w="0" w:type="dxa"/>
            <w:vAlign w:val="bottom"/>
          </w:tcPr>
          <w:p>
            <w:pPr>
              <w:spacing w:after="0"/>
              <w:rPr>
                <w:sz w:val="1"/>
                <w:szCs w:val="1"/>
                <w:color w:val="auto"/>
              </w:rPr>
            </w:pPr>
          </w:p>
        </w:tc>
      </w:tr>
      <w:tr>
        <w:trPr>
          <w:trHeight w:val="25"/>
        </w:trPr>
        <w:tc>
          <w:tcPr>
            <w:tcW w:w="1400" w:type="dxa"/>
            <w:vAlign w:val="bottom"/>
            <w:tcBorders>
              <w:left w:val="single" w:sz="8" w:color="3C5896"/>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gridSpan w:val="2"/>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Jared Brandman</w:t>
            </w:r>
          </w:p>
        </w:tc>
        <w:tc>
          <w:tcPr>
            <w:tcW w:w="40" w:type="dxa"/>
            <w:vAlign w:val="bottom"/>
            <w:shd w:val="clear" w:color="auto" w:fill="CCCCCC"/>
          </w:tcPr>
          <w:p>
            <w:pPr>
              <w:spacing w:after="0"/>
              <w:rPr>
                <w:sz w:val="17"/>
                <w:szCs w:val="17"/>
                <w:color w:val="auto"/>
              </w:rPr>
            </w:pPr>
          </w:p>
        </w:tc>
        <w:tc>
          <w:tcPr>
            <w:tcW w:w="700" w:type="dxa"/>
            <w:vAlign w:val="bottom"/>
            <w:tcBorders>
              <w:right w:val="single" w:sz="8" w:color="9EACCA"/>
            </w:tcBorders>
            <w:shd w:val="clear" w:color="auto" w:fill="CCCCCC"/>
          </w:tcPr>
          <w:p>
            <w:pPr>
              <w:spacing w:after="0"/>
              <w:rPr>
                <w:sz w:val="17"/>
                <w:szCs w:val="17"/>
                <w:color w:val="auto"/>
              </w:rPr>
            </w:pPr>
          </w:p>
        </w:tc>
        <w:tc>
          <w:tcPr>
            <w:tcW w:w="720" w:type="dxa"/>
            <w:vAlign w:val="bottom"/>
            <w:tcBorders>
              <w:right w:val="single" w:sz="8" w:color="9EACCA"/>
            </w:tcBorders>
            <w:gridSpan w:val="2"/>
            <w:shd w:val="clear" w:color="auto" w:fill="CCCCCC"/>
          </w:tcPr>
          <w:p>
            <w:pPr>
              <w:jc w:val="right"/>
              <w:ind w:right="62"/>
              <w:spacing w:after="0"/>
              <w:rPr>
                <w:sz w:val="20"/>
                <w:szCs w:val="20"/>
                <w:color w:val="auto"/>
              </w:rPr>
            </w:pPr>
            <w:r>
              <w:rPr>
                <w:rFonts w:ascii="Arial" w:cs="Arial" w:eastAsia="Arial" w:hAnsi="Arial"/>
                <w:sz w:val="14"/>
                <w:szCs w:val="14"/>
                <w:color w:val="auto"/>
              </w:rPr>
              <w:t>87,500</w:t>
            </w:r>
          </w:p>
        </w:tc>
        <w:tc>
          <w:tcPr>
            <w:tcW w:w="6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highlight w:val="lightGray"/>
              </w:rPr>
              <w:t>175,000</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CCCC"/>
          </w:tcPr>
          <w:p>
            <w:pPr>
              <w:spacing w:after="0"/>
              <w:rPr>
                <w:sz w:val="17"/>
                <w:szCs w:val="17"/>
                <w:color w:val="auto"/>
              </w:rPr>
            </w:pPr>
          </w:p>
        </w:tc>
        <w:tc>
          <w:tcPr>
            <w:tcW w:w="60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50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1,795</w:t>
            </w:r>
          </w:p>
        </w:tc>
        <w:tc>
          <w:tcPr>
            <w:tcW w:w="40" w:type="dxa"/>
            <w:vAlign w:val="bottom"/>
            <w:shd w:val="clear" w:color="auto" w:fill="CCCCCC"/>
          </w:tcPr>
          <w:p>
            <w:pPr>
              <w:spacing w:after="0"/>
              <w:rPr>
                <w:sz w:val="18"/>
                <w:szCs w:val="18"/>
                <w:color w:val="auto"/>
              </w:rPr>
            </w:pPr>
          </w:p>
        </w:tc>
        <w:tc>
          <w:tcPr>
            <w:tcW w:w="5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3,590</w:t>
            </w:r>
          </w:p>
        </w:tc>
        <w:tc>
          <w:tcPr>
            <w:tcW w:w="68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7,180</w:t>
            </w:r>
          </w:p>
        </w:tc>
        <w:tc>
          <w:tcPr>
            <w:tcW w:w="74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125,004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0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jc w:val="right"/>
              <w:ind w:right="97"/>
              <w:spacing w:after="0"/>
              <w:rPr>
                <w:sz w:val="20"/>
                <w:szCs w:val="20"/>
                <w:color w:val="auto"/>
              </w:rPr>
            </w:pPr>
            <w:r>
              <w:rPr>
                <w:rFonts w:ascii="Arial" w:cs="Arial" w:eastAsia="Arial" w:hAnsi="Arial"/>
                <w:sz w:val="14"/>
                <w:szCs w:val="14"/>
                <w:color w:val="auto"/>
              </w:rPr>
              <w:t>1,795</w:t>
            </w:r>
          </w:p>
        </w:tc>
        <w:tc>
          <w:tcPr>
            <w:tcW w:w="7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62,502</w:t>
            </w:r>
          </w:p>
        </w:tc>
        <w:tc>
          <w:tcPr>
            <w:tcW w:w="0" w:type="dxa"/>
            <w:vAlign w:val="bottom"/>
          </w:tcPr>
          <w:p>
            <w:pPr>
              <w:spacing w:after="0"/>
              <w:rPr>
                <w:sz w:val="1"/>
                <w:szCs w:val="1"/>
                <w:color w:val="auto"/>
              </w:rPr>
            </w:pPr>
          </w:p>
        </w:tc>
      </w:tr>
      <w:tr>
        <w:trPr>
          <w:trHeight w:val="235"/>
        </w:trPr>
        <w:tc>
          <w:tcPr>
            <w:tcW w:w="140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2/28/2020</w:t>
            </w:r>
          </w:p>
        </w:tc>
        <w:tc>
          <w:tcPr>
            <w:tcW w:w="80" w:type="dxa"/>
            <w:vAlign w:val="bottom"/>
            <w:tcBorders>
              <w:bottom w:val="single" w:sz="8" w:color="CCCCCC"/>
            </w:tcBorders>
            <w:shd w:val="clear" w:color="auto" w:fill="CCCCCC"/>
          </w:tcPr>
          <w:p>
            <w:pPr>
              <w:spacing w:after="0"/>
              <w:rPr>
                <w:sz w:val="20"/>
                <w:szCs w:val="20"/>
                <w:color w:val="auto"/>
              </w:rPr>
            </w:pPr>
          </w:p>
        </w:tc>
        <w:tc>
          <w:tcPr>
            <w:tcW w:w="640" w:type="dxa"/>
            <w:vAlign w:val="bottom"/>
            <w:tcBorders>
              <w:bottom w:val="single" w:sz="8" w:color="CCCCCC"/>
              <w:right w:val="single" w:sz="8" w:color="9EACCA"/>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0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0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7"/>
              <w:spacing w:after="0"/>
              <w:rPr>
                <w:sz w:val="20"/>
                <w:szCs w:val="20"/>
                <w:color w:val="auto"/>
              </w:rPr>
            </w:pPr>
            <w:r>
              <w:rPr>
                <w:rFonts w:ascii="Arial" w:cs="Arial" w:eastAsia="Arial" w:hAnsi="Arial"/>
                <w:sz w:val="14"/>
                <w:szCs w:val="14"/>
                <w:color w:val="auto"/>
              </w:rPr>
              <w:t>4,566</w:t>
            </w:r>
          </w:p>
        </w:tc>
        <w:tc>
          <w:tcPr>
            <w:tcW w:w="40" w:type="dxa"/>
            <w:vAlign w:val="bottom"/>
            <w:tcBorders>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34.82</w:t>
            </w:r>
          </w:p>
        </w:tc>
        <w:tc>
          <w:tcPr>
            <w:tcW w:w="760" w:type="dxa"/>
            <w:vAlign w:val="bottom"/>
            <w:tcBorders>
              <w:bottom w:val="single" w:sz="8" w:color="CCCCCC"/>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62,509</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Joan Blackwood</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80,000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160,000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320,000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1,795</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3,590</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7,180</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125,004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1,795</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62,502</w:t>
            </w:r>
          </w:p>
        </w:tc>
        <w:tc>
          <w:tcPr>
            <w:tcW w:w="0" w:type="dxa"/>
            <w:vAlign w:val="bottom"/>
          </w:tcPr>
          <w:p>
            <w:pPr>
              <w:spacing w:after="0"/>
              <w:rPr>
                <w:sz w:val="1"/>
                <w:szCs w:val="1"/>
                <w:color w:val="auto"/>
              </w:rPr>
            </w:pPr>
          </w:p>
        </w:tc>
      </w:tr>
      <w:tr>
        <w:trPr>
          <w:trHeight w:val="282"/>
        </w:trPr>
        <w:tc>
          <w:tcPr>
            <w:tcW w:w="1400" w:type="dxa"/>
            <w:vAlign w:val="bottom"/>
            <w:tcBorders>
              <w:left w:val="single" w:sz="8" w:color="3C5896"/>
              <w:right w:val="single" w:sz="8" w:color="9EACCA"/>
            </w:tcBorders>
          </w:tcPr>
          <w:p>
            <w:pPr>
              <w:spacing w:after="0"/>
              <w:rPr>
                <w:sz w:val="24"/>
                <w:szCs w:val="24"/>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24"/>
                <w:szCs w:val="24"/>
                <w:color w:val="auto"/>
              </w:rPr>
            </w:pPr>
          </w:p>
        </w:tc>
        <w:tc>
          <w:tcPr>
            <w:tcW w:w="640" w:type="dxa"/>
            <w:vAlign w:val="bottom"/>
            <w:tcBorders>
              <w:right w:val="single" w:sz="8" w:color="9EACCA"/>
            </w:tcBorders>
          </w:tcPr>
          <w:p>
            <w:pPr>
              <w:spacing w:after="0"/>
              <w:rPr>
                <w:sz w:val="24"/>
                <w:szCs w:val="24"/>
                <w:color w:val="auto"/>
              </w:rPr>
            </w:pPr>
          </w:p>
        </w:tc>
        <w:tc>
          <w:tcPr>
            <w:tcW w:w="60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9EACCA"/>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right w:val="single" w:sz="8" w:color="9EACCA"/>
            </w:tcBorders>
          </w:tcPr>
          <w:p>
            <w:pPr>
              <w:spacing w:after="0"/>
              <w:rPr>
                <w:sz w:val="24"/>
                <w:szCs w:val="24"/>
                <w:color w:val="auto"/>
              </w:rPr>
            </w:pPr>
          </w:p>
        </w:tc>
        <w:tc>
          <w:tcPr>
            <w:tcW w:w="680" w:type="dxa"/>
            <w:vAlign w:val="bottom"/>
            <w:tcBorders>
              <w:right w:val="single" w:sz="8" w:color="9EACCA"/>
            </w:tcBorders>
          </w:tcPr>
          <w:p>
            <w:pPr>
              <w:spacing w:after="0"/>
              <w:rPr>
                <w:sz w:val="24"/>
                <w:szCs w:val="24"/>
                <w:color w:val="auto"/>
              </w:rPr>
            </w:pPr>
          </w:p>
        </w:tc>
        <w:tc>
          <w:tcPr>
            <w:tcW w:w="740" w:type="dxa"/>
            <w:vAlign w:val="bottom"/>
            <w:tcBorders>
              <w:right w:val="single" w:sz="8" w:color="9EACCA"/>
            </w:tcBorders>
          </w:tcPr>
          <w:p>
            <w:pPr>
              <w:spacing w:after="0"/>
              <w:rPr>
                <w:sz w:val="24"/>
                <w:szCs w:val="24"/>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4,566</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62,509</w:t>
            </w:r>
          </w:p>
        </w:tc>
        <w:tc>
          <w:tcPr>
            <w:tcW w:w="0" w:type="dxa"/>
            <w:vAlign w:val="bottom"/>
          </w:tcPr>
          <w:p>
            <w:pPr>
              <w:spacing w:after="0"/>
              <w:rPr>
                <w:sz w:val="1"/>
                <w:szCs w:val="1"/>
                <w:color w:val="auto"/>
              </w:rPr>
            </w:pPr>
          </w:p>
        </w:tc>
      </w:tr>
      <w:tr>
        <w:trPr>
          <w:trHeight w:val="20"/>
        </w:trPr>
        <w:tc>
          <w:tcPr>
            <w:tcW w:w="140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500" w:type="dxa"/>
            <w:vAlign w:val="bottom"/>
            <w:tcBorders>
              <w:right w:val="single" w:sz="8" w:color="3C5896"/>
            </w:tcBorders>
            <w:shd w:val="clear" w:color="auto" w:fill="3C5896"/>
          </w:tcPr>
          <w:p>
            <w:pPr>
              <w:spacing w:after="0" w:line="20" w:lineRule="exact"/>
              <w:rPr>
                <w:sz w:val="1"/>
                <w:szCs w:val="1"/>
                <w:color w:val="auto"/>
              </w:rPr>
            </w:pPr>
          </w:p>
        </w:tc>
        <w:tc>
          <w:tcPr>
            <w:tcW w:w="680" w:type="dxa"/>
            <w:vAlign w:val="bottom"/>
            <w:tcBorders>
              <w:right w:val="single" w:sz="8" w:color="3C5896"/>
            </w:tcBorders>
            <w:shd w:val="clear" w:color="auto" w:fill="3C5896"/>
          </w:tcPr>
          <w:p>
            <w:pPr>
              <w:spacing w:after="0" w:line="20" w:lineRule="exact"/>
              <w:rPr>
                <w:sz w:val="1"/>
                <w:szCs w:val="1"/>
                <w:color w:val="auto"/>
              </w:rPr>
            </w:pPr>
          </w:p>
        </w:tc>
        <w:tc>
          <w:tcPr>
            <w:tcW w:w="74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-2896870</wp:posOffset>
            </wp:positionV>
            <wp:extent cx="29832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-3136900</wp:posOffset>
            </wp:positionV>
            <wp:extent cx="25203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1" w:lineRule="exact"/>
        <w:rPr>
          <w:sz w:val="20"/>
          <w:szCs w:val="20"/>
          <w:color w:val="auto"/>
        </w:rPr>
      </w:pPr>
    </w:p>
    <w:p>
      <w:pPr>
        <w:jc w:val="both"/>
        <w:ind w:left="1120" w:hanging="358"/>
        <w:spacing w:after="0" w:line="249" w:lineRule="auto"/>
        <w:tabs>
          <w:tab w:leader="none" w:pos="11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Reflects the possible payouts of cash incentive compensation under the STIP. See “Annual Cash Incentive Program” in the Compensation Discussion and Analysis section above for a description of the STIP. Potential payouts under the STIP were based on performance in 2020 and resulted in a payout percentage of 91.22%. The actual amounts paid are described in the “Non-Equity Incentive Plan Compensation” column of the “Summary Compensation Table.”</w:t>
      </w:r>
    </w:p>
    <w:p>
      <w:pPr>
        <w:spacing w:after="0" w:line="53"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Reflects the number of PSUs granted in 2020 to the NEOs under the LTIP. The target number of shares in the table for the PSUs reflects the number of shares that will be awarded if, for the PSUs granted in February 2020, the three-year total performance</w:t>
      </w:r>
    </w:p>
    <w:p>
      <w:pPr>
        <w:spacing w:after="0" w:line="32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3114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58" w:lineRule="exact"/>
        <w:rPr>
          <w:sz w:val="20"/>
          <w:szCs w:val="20"/>
          <w:color w:val="auto"/>
        </w:rPr>
      </w:pPr>
    </w:p>
    <w:p>
      <w:pPr>
        <w:jc w:val="both"/>
        <w:ind w:left="1120"/>
        <w:spacing w:after="0" w:line="266" w:lineRule="auto"/>
        <w:rPr>
          <w:sz w:val="20"/>
          <w:szCs w:val="20"/>
          <w:color w:val="auto"/>
        </w:rPr>
      </w:pPr>
      <w:r>
        <w:rPr>
          <w:rFonts w:ascii="Arial" w:cs="Arial" w:eastAsia="Arial" w:hAnsi="Arial"/>
          <w:sz w:val="15"/>
          <w:szCs w:val="15"/>
          <w:color w:val="auto"/>
        </w:rPr>
        <w:t>conditions are met at the target level. Actual shares, if any, will be awarded in February 2023 and may range from 50% to 200% of the target. See “2020 PSU Awards” in the Compensation Discussion and Analysis section above for additional information on the PSUs. For PSU awards granted in February 2020 to Messrs. Fahs, Moore, Clark, the grant date value of the PSUs assuming minimum, or target, or maximum performance are $562,515 or, $1,125,035, or $2,250,068; $250,008, or $500,015, or $1,000,030; $80,016, or $160,033, or $320,065 respectively. The grant date value of the PSUs assuming minimum, or target, or maximum performance for Mr. Brandman and Ms. Blackwood are $62,502, or $125,004, or $250,008.</w:t>
      </w:r>
    </w:p>
    <w:p>
      <w:pPr>
        <w:spacing w:after="0" w:line="68" w:lineRule="exact"/>
        <w:rPr>
          <w:sz w:val="20"/>
          <w:szCs w:val="20"/>
          <w:color w:val="auto"/>
        </w:rPr>
      </w:pPr>
    </w:p>
    <w:p>
      <w:pPr>
        <w:jc w:val="both"/>
        <w:ind w:left="1120" w:hanging="358"/>
        <w:spacing w:after="0" w:line="252" w:lineRule="auto"/>
        <w:tabs>
          <w:tab w:leader="none" w:pos="1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number of time-based RSUs granted to NEOs under the LTIP. The RSUs generally vest over a three-year period, with one-third of the total number of shares underlying the RSUs vesting on each of the first, second and third anniversaries of the February 28, 2020 grant date, subject to the executive’s continued employment through the applicable vesting date.</w:t>
      </w:r>
    </w:p>
    <w:p>
      <w:pPr>
        <w:spacing w:after="0" w:line="77"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number of stock options granted in 2020. See “2020 Option Awards” in the Compensation Discussion and Analysis section above for additional information on the 2020 stock option awards.</w:t>
      </w:r>
    </w:p>
    <w:p>
      <w:pPr>
        <w:spacing w:after="0" w:line="71"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grant date fair value of awards of PSUs, RSUs, and stock options granted to each of the NEOs in 2020 under FASB ASC Topic 18. The grant date fair values are calculated, using the NASDAQ closing price of our common stock on the date of grant for PSUs and RSUs and the Black-Scholes option pricing model for stock options. The grant date fair value of the PSUs, which have performance conditions, are computed based on the probable outcome of the performance condition as of the grant date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sz w:val="1"/>
          <w:szCs w:val="1"/>
          <w:color w:val="auto"/>
        </w:rPr>
        <w:drawing>
          <wp:inline distT="0" distB="0" distL="0" distR="0">
            <wp:extent cx="29972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39"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The following table sets forth information regarding outstanding equity awards held by our NEOs as of January 2, 2021.</w:t>
      </w:r>
    </w:p>
    <w:p>
      <w:pPr>
        <w:spacing w:after="0" w:line="110" w:lineRule="exact"/>
        <w:rPr>
          <w:sz w:val="20"/>
          <w:szCs w:val="20"/>
          <w:color w:val="auto"/>
        </w:rPr>
      </w:pPr>
    </w:p>
    <w:tbl>
      <w:tblPr>
        <w:tblLayout w:type="fixed"/>
        <w:tblInd w:w="770" w:type="dxa"/>
        <w:tblCellMar>
          <w:top w:w="0" w:type="dxa"/>
          <w:left w:w="0" w:type="dxa"/>
          <w:bottom w:w="0" w:type="dxa"/>
          <w:right w:w="0" w:type="dxa"/>
        </w:tblCellMar>
      </w:tblPr>
      <w:tr>
        <w:trPr>
          <w:trHeight w:val="210"/>
        </w:trPr>
        <w:tc>
          <w:tcPr>
            <w:tcW w:w="1280" w:type="dxa"/>
            <w:vAlign w:val="bottom"/>
            <w:tcBorders>
              <w:top w:val="single" w:sz="8" w:color="3C5896"/>
              <w:left w:val="single" w:sz="8" w:color="3C5896"/>
              <w:bottom w:val="single" w:sz="8" w:color="3C5896"/>
              <w:right w:val="single" w:sz="8" w:color="9EACCA"/>
            </w:tcBorders>
            <w:shd w:val="clear" w:color="auto" w:fill="3C5896"/>
          </w:tcPr>
          <w:p>
            <w:pPr>
              <w:spacing w:after="0"/>
              <w:rPr>
                <w:sz w:val="18"/>
                <w:szCs w:val="18"/>
                <w:color w:val="auto"/>
              </w:rPr>
            </w:pPr>
          </w:p>
        </w:tc>
        <w:tc>
          <w:tcPr>
            <w:tcW w:w="80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82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660" w:type="dxa"/>
            <w:vAlign w:val="bottom"/>
            <w:tcBorders>
              <w:top w:val="single" w:sz="8" w:color="3C5896"/>
              <w:bottom w:val="single" w:sz="8" w:color="3C5896"/>
            </w:tcBorders>
            <w:shd w:val="clear" w:color="auto" w:fill="3C5896"/>
          </w:tcPr>
          <w:p>
            <w:pPr>
              <w:spacing w:after="0"/>
              <w:rPr>
                <w:sz w:val="18"/>
                <w:szCs w:val="18"/>
                <w:color w:val="auto"/>
              </w:rPr>
            </w:pPr>
          </w:p>
        </w:tc>
        <w:tc>
          <w:tcPr>
            <w:tcW w:w="1120" w:type="dxa"/>
            <w:vAlign w:val="bottom"/>
            <w:tcBorders>
              <w:top w:val="single" w:sz="8" w:color="3C5896"/>
              <w:bottom w:val="single" w:sz="8" w:color="3C5896"/>
              <w:right w:val="single" w:sz="8" w:color="3C5896"/>
            </w:tcBorders>
            <w:gridSpan w:val="2"/>
            <w:shd w:val="clear" w:color="auto" w:fill="3C5896"/>
          </w:tcPr>
          <w:p>
            <w:pPr>
              <w:ind w:left="80"/>
              <w:spacing w:after="0"/>
              <w:rPr>
                <w:sz w:val="20"/>
                <w:szCs w:val="20"/>
                <w:color w:val="auto"/>
              </w:rPr>
            </w:pPr>
            <w:r>
              <w:rPr>
                <w:rFonts w:ascii="Arial" w:cs="Arial" w:eastAsia="Arial" w:hAnsi="Arial"/>
                <w:sz w:val="13"/>
                <w:szCs w:val="13"/>
                <w:b w:val="1"/>
                <w:bCs w:val="1"/>
                <w:color w:val="FFFFFF"/>
              </w:rPr>
              <w:t>Option Awards</w:t>
            </w:r>
          </w:p>
        </w:tc>
        <w:tc>
          <w:tcPr>
            <w:tcW w:w="62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80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76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80" w:type="dxa"/>
            <w:vAlign w:val="bottom"/>
            <w:tcBorders>
              <w:top w:val="single" w:sz="8" w:color="3C5896"/>
              <w:bottom w:val="single" w:sz="8" w:color="3C5896"/>
            </w:tcBorders>
            <w:shd w:val="clear" w:color="auto" w:fill="3C5896"/>
          </w:tcPr>
          <w:p>
            <w:pPr>
              <w:spacing w:after="0"/>
              <w:rPr>
                <w:sz w:val="18"/>
                <w:szCs w:val="18"/>
                <w:color w:val="auto"/>
              </w:rPr>
            </w:pPr>
          </w:p>
        </w:tc>
        <w:tc>
          <w:tcPr>
            <w:tcW w:w="1520" w:type="dxa"/>
            <w:vAlign w:val="bottom"/>
            <w:tcBorders>
              <w:top w:val="single" w:sz="8" w:color="3C5896"/>
              <w:bottom w:val="single" w:sz="8" w:color="3C5896"/>
              <w:right w:val="single" w:sz="8" w:color="3C5896"/>
            </w:tcBorders>
            <w:gridSpan w:val="2"/>
            <w:shd w:val="clear" w:color="auto" w:fill="3C5896"/>
          </w:tcPr>
          <w:p>
            <w:pPr>
              <w:jc w:val="right"/>
              <w:ind w:right="354"/>
              <w:spacing w:after="0"/>
              <w:rPr>
                <w:sz w:val="20"/>
                <w:szCs w:val="20"/>
                <w:color w:val="auto"/>
              </w:rPr>
            </w:pPr>
            <w:r>
              <w:rPr>
                <w:rFonts w:ascii="Arial" w:cs="Arial" w:eastAsia="Arial" w:hAnsi="Arial"/>
                <w:sz w:val="13"/>
                <w:szCs w:val="13"/>
                <w:b w:val="1"/>
                <w:bCs w:val="1"/>
                <w:color w:val="FFFFFF"/>
              </w:rPr>
              <w:t>Stock Awards</w:t>
            </w:r>
          </w:p>
        </w:tc>
        <w:tc>
          <w:tcPr>
            <w:tcW w:w="40" w:type="dxa"/>
            <w:vAlign w:val="bottom"/>
            <w:tcBorders>
              <w:top w:val="single" w:sz="8" w:color="3C5896"/>
              <w:bottom w:val="single" w:sz="8" w:color="3C5896"/>
            </w:tcBorders>
            <w:shd w:val="clear" w:color="auto" w:fill="3C5896"/>
          </w:tcPr>
          <w:p>
            <w:pPr>
              <w:spacing w:after="0"/>
              <w:rPr>
                <w:sz w:val="18"/>
                <w:szCs w:val="18"/>
                <w:color w:val="auto"/>
              </w:rPr>
            </w:pPr>
          </w:p>
        </w:tc>
        <w:tc>
          <w:tcPr>
            <w:tcW w:w="70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r>
      <w:tr>
        <w:trPr>
          <w:trHeight w:val="140"/>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line="140" w:lineRule="exact"/>
              <w:rPr>
                <w:sz w:val="20"/>
                <w:szCs w:val="20"/>
                <w:color w:val="auto"/>
              </w:rPr>
            </w:pPr>
            <w:r>
              <w:rPr>
                <w:rFonts w:ascii="Arial" w:cs="Arial" w:eastAsia="Arial" w:hAnsi="Arial"/>
                <w:sz w:val="13"/>
                <w:szCs w:val="13"/>
                <w:b w:val="1"/>
                <w:bCs w:val="1"/>
                <w:color w:val="FFFFFF"/>
                <w:w w:val="95"/>
              </w:rPr>
              <w:t>Equity</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5"/>
              </w:rPr>
              <w:t>Incentive</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4"/>
              </w:rPr>
              <w:t>Plan</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Awards: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5"/>
              </w:rPr>
              <w:t>Equity</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5"/>
              </w:rPr>
              <w:t>Market or</w:t>
            </w:r>
          </w:p>
        </w:tc>
      </w:tr>
      <w:tr>
        <w:trPr>
          <w:trHeight w:val="149"/>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5"/>
              </w:rPr>
              <w:t>Incentive</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6"/>
              </w:rPr>
              <w:t>Payout</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4"/>
              </w:rPr>
              <w:t>Plan</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4"/>
              </w:rPr>
              <w:t>Value of</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Plan</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6"/>
              </w:rPr>
              <w:t>Unearned</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73"/>
              <w:spacing w:after="0"/>
              <w:rPr>
                <w:sz w:val="20"/>
                <w:szCs w:val="20"/>
                <w:color w:val="auto"/>
              </w:rPr>
            </w:pPr>
            <w:r>
              <w:rPr>
                <w:rFonts w:ascii="Arial" w:cs="Arial" w:eastAsia="Arial" w:hAnsi="Arial"/>
                <w:sz w:val="13"/>
                <w:szCs w:val="13"/>
                <w:b w:val="1"/>
                <w:bCs w:val="1"/>
                <w:color w:val="FFFFFF"/>
                <w:w w:val="95"/>
              </w:rPr>
              <w:t>Market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Shares,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5"/>
              </w:rPr>
              <w:t>Number of</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73"/>
              <w:spacing w:after="0"/>
              <w:rPr>
                <w:sz w:val="20"/>
                <w:szCs w:val="20"/>
                <w:color w:val="auto"/>
              </w:rPr>
            </w:pPr>
            <w:r>
              <w:rPr>
                <w:rFonts w:ascii="Arial" w:cs="Arial" w:eastAsia="Arial" w:hAnsi="Arial"/>
                <w:sz w:val="13"/>
                <w:szCs w:val="13"/>
                <w:b w:val="1"/>
                <w:bCs w:val="1"/>
                <w:color w:val="FFFFFF"/>
                <w:w w:val="94"/>
              </w:rPr>
              <w:t>Value of</w:t>
            </w: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6"/>
              </w:rPr>
              <w:t>Unearned</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7"/>
              </w:rPr>
              <w:t>Units or</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740" w:type="dxa"/>
            <w:vAlign w:val="bottom"/>
            <w:tcBorders>
              <w:right w:val="single" w:sz="8" w:color="9EACCA"/>
            </w:tcBorders>
            <w:gridSpan w:val="2"/>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6"/>
              </w:rPr>
              <w:t>Shares or</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Other</w:t>
            </w:r>
          </w:p>
        </w:tc>
      </w:tr>
      <w:tr>
        <w:trPr>
          <w:trHeight w:val="149"/>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Units of</w:t>
            </w: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93"/>
              <w:spacing w:after="0"/>
              <w:rPr>
                <w:sz w:val="20"/>
                <w:szCs w:val="20"/>
                <w:color w:val="auto"/>
              </w:rPr>
            </w:pPr>
            <w:r>
              <w:rPr>
                <w:rFonts w:ascii="Arial" w:cs="Arial" w:eastAsia="Arial" w:hAnsi="Arial"/>
                <w:sz w:val="13"/>
                <w:szCs w:val="13"/>
                <w:b w:val="1"/>
                <w:bCs w:val="1"/>
                <w:color w:val="FFFFFF"/>
                <w:w w:val="94"/>
              </w:rPr>
              <w:t>Units of</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Units or</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3"/>
              </w:rPr>
              <w:t>Rights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5"/>
              </w:rPr>
              <w:t>Unexercised</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7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Other Rights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4"/>
              </w:rPr>
              <w:t>That</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740" w:type="dxa"/>
            <w:vAlign w:val="bottom"/>
            <w:tcBorders>
              <w:right w:val="single" w:sz="8" w:color="9EACCA"/>
            </w:tcBorders>
            <w:gridSpan w:val="2"/>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5"/>
              </w:rPr>
              <w:t>Have Not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That Have</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5"/>
              </w:rPr>
              <w:t>Have Not</w:t>
            </w:r>
          </w:p>
        </w:tc>
      </w:tr>
      <w:tr>
        <w:trPr>
          <w:trHeight w:val="130"/>
        </w:trPr>
        <w:tc>
          <w:tcPr>
            <w:tcW w:w="1280" w:type="dxa"/>
            <w:vAlign w:val="bottom"/>
            <w:tcBorders>
              <w:left w:val="single" w:sz="8" w:color="3C5896"/>
              <w:right w:val="single" w:sz="8" w:color="9EACCA"/>
            </w:tcBorders>
            <w:shd w:val="clear" w:color="auto" w:fill="3C5896"/>
          </w:tcPr>
          <w:p>
            <w:pPr>
              <w:spacing w:after="0"/>
              <w:rPr>
                <w:sz w:val="11"/>
                <w:szCs w:val="11"/>
                <w:color w:val="auto"/>
              </w:rPr>
            </w:pPr>
          </w:p>
        </w:tc>
        <w:tc>
          <w:tcPr>
            <w:tcW w:w="800" w:type="dxa"/>
            <w:vAlign w:val="bottom"/>
            <w:tcBorders>
              <w:right w:val="single" w:sz="8" w:color="9EACCA"/>
            </w:tcBorders>
            <w:shd w:val="clear" w:color="auto" w:fill="3C5896"/>
          </w:tcPr>
          <w:p>
            <w:pPr>
              <w:jc w:val="right"/>
              <w:ind w:right="189"/>
              <w:spacing w:after="0" w:line="130" w:lineRule="exact"/>
              <w:rPr>
                <w:sz w:val="20"/>
                <w:szCs w:val="20"/>
                <w:color w:val="auto"/>
              </w:rPr>
            </w:pPr>
            <w:r>
              <w:rPr>
                <w:rFonts w:ascii="Arial" w:cs="Arial" w:eastAsia="Arial" w:hAnsi="Arial"/>
                <w:sz w:val="13"/>
                <w:szCs w:val="13"/>
                <w:b w:val="1"/>
                <w:bCs w:val="1"/>
                <w:color w:val="FFFFFF"/>
              </w:rPr>
              <w:t>Grant</w:t>
            </w:r>
          </w:p>
        </w:tc>
        <w:tc>
          <w:tcPr>
            <w:tcW w:w="820" w:type="dxa"/>
            <w:vAlign w:val="bottom"/>
            <w:tcBorders>
              <w:right w:val="single" w:sz="8" w:color="9EACCA"/>
            </w:tcBorders>
            <w:shd w:val="clear" w:color="auto" w:fill="3C5896"/>
          </w:tcPr>
          <w:p>
            <w:pPr>
              <w:jc w:val="center"/>
              <w:ind w:right="11"/>
              <w:spacing w:after="0" w:line="130" w:lineRule="exact"/>
              <w:rPr>
                <w:sz w:val="20"/>
                <w:szCs w:val="20"/>
                <w:color w:val="auto"/>
              </w:rPr>
            </w:pPr>
            <w:r>
              <w:rPr>
                <w:rFonts w:ascii="Arial" w:cs="Arial" w:eastAsia="Arial" w:hAnsi="Arial"/>
                <w:sz w:val="13"/>
                <w:szCs w:val="13"/>
                <w:b w:val="1"/>
                <w:bCs w:val="1"/>
                <w:color w:val="FFFFFF"/>
                <w:w w:val="96"/>
              </w:rPr>
              <w:t>Exercisable</w:t>
            </w:r>
          </w:p>
        </w:tc>
        <w:tc>
          <w:tcPr>
            <w:tcW w:w="920" w:type="dxa"/>
            <w:vAlign w:val="bottom"/>
            <w:tcBorders>
              <w:right w:val="single" w:sz="8" w:color="9EACCA"/>
            </w:tcBorders>
            <w:gridSpan w:val="2"/>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5"/>
              </w:rPr>
              <w:t>Unexercisable</w:t>
            </w:r>
          </w:p>
        </w:tc>
        <w:tc>
          <w:tcPr>
            <w:tcW w:w="8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7"/>
              </w:rPr>
              <w:t>Options</w:t>
            </w:r>
          </w:p>
        </w:tc>
        <w:tc>
          <w:tcPr>
            <w:tcW w:w="62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rPr>
              <w:t>Price</w:t>
            </w:r>
          </w:p>
        </w:tc>
        <w:tc>
          <w:tcPr>
            <w:tcW w:w="80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4"/>
              </w:rPr>
              <w:t>Expiration</w:t>
            </w:r>
          </w:p>
        </w:tc>
        <w:tc>
          <w:tcPr>
            <w:tcW w:w="7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3"/>
              </w:rPr>
              <w:t>Vested</w:t>
            </w:r>
          </w:p>
        </w:tc>
        <w:tc>
          <w:tcPr>
            <w:tcW w:w="80" w:type="dxa"/>
            <w:vAlign w:val="bottom"/>
            <w:shd w:val="clear" w:color="auto" w:fill="3C5896"/>
          </w:tcPr>
          <w:p>
            <w:pPr>
              <w:spacing w:after="0"/>
              <w:rPr>
                <w:sz w:val="11"/>
                <w:szCs w:val="11"/>
                <w:color w:val="auto"/>
              </w:rPr>
            </w:pPr>
          </w:p>
        </w:tc>
        <w:tc>
          <w:tcPr>
            <w:tcW w:w="660" w:type="dxa"/>
            <w:vAlign w:val="bottom"/>
            <w:tcBorders>
              <w:right w:val="single" w:sz="8" w:color="9EACCA"/>
            </w:tcBorders>
            <w:shd w:val="clear" w:color="auto" w:fill="3C5896"/>
          </w:tcPr>
          <w:p>
            <w:pPr>
              <w:jc w:val="center"/>
              <w:ind w:right="73"/>
              <w:spacing w:after="0" w:line="130" w:lineRule="exact"/>
              <w:rPr>
                <w:sz w:val="20"/>
                <w:szCs w:val="20"/>
                <w:color w:val="auto"/>
              </w:rPr>
            </w:pPr>
            <w:r>
              <w:rPr>
                <w:rFonts w:ascii="Arial" w:cs="Arial" w:eastAsia="Arial" w:hAnsi="Arial"/>
                <w:sz w:val="13"/>
                <w:szCs w:val="13"/>
                <w:b w:val="1"/>
                <w:bCs w:val="1"/>
                <w:color w:val="FFFFFF"/>
                <w:w w:val="93"/>
              </w:rPr>
              <w:t>Vested</w:t>
            </w:r>
          </w:p>
        </w:tc>
        <w:tc>
          <w:tcPr>
            <w:tcW w:w="8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4"/>
              </w:rPr>
              <w:t>Not Vested</w:t>
            </w:r>
          </w:p>
        </w:tc>
        <w:tc>
          <w:tcPr>
            <w:tcW w:w="40" w:type="dxa"/>
            <w:vAlign w:val="bottom"/>
            <w:shd w:val="clear" w:color="auto" w:fill="3C5896"/>
          </w:tcPr>
          <w:p>
            <w:pPr>
              <w:spacing w:after="0"/>
              <w:rPr>
                <w:sz w:val="11"/>
                <w:szCs w:val="11"/>
                <w:color w:val="auto"/>
              </w:rPr>
            </w:pPr>
          </w:p>
        </w:tc>
        <w:tc>
          <w:tcPr>
            <w:tcW w:w="700" w:type="dxa"/>
            <w:vAlign w:val="bottom"/>
            <w:tcBorders>
              <w:right w:val="single" w:sz="8" w:color="3C5896"/>
            </w:tcBorders>
            <w:shd w:val="clear" w:color="auto" w:fill="3C5896"/>
          </w:tcPr>
          <w:p>
            <w:pPr>
              <w:jc w:val="center"/>
              <w:ind w:right="35"/>
              <w:spacing w:after="0" w:line="130" w:lineRule="exact"/>
              <w:rPr>
                <w:sz w:val="20"/>
                <w:szCs w:val="20"/>
                <w:color w:val="auto"/>
              </w:rPr>
            </w:pPr>
            <w:r>
              <w:rPr>
                <w:rFonts w:ascii="Arial" w:cs="Arial" w:eastAsia="Arial" w:hAnsi="Arial"/>
                <w:sz w:val="13"/>
                <w:szCs w:val="13"/>
                <w:b w:val="1"/>
                <w:bCs w:val="1"/>
                <w:color w:val="FFFFFF"/>
                <w:w w:val="93"/>
              </w:rPr>
              <w:t>Vested</w:t>
            </w:r>
          </w:p>
        </w:tc>
      </w:tr>
      <w:tr>
        <w:trPr>
          <w:trHeight w:val="216"/>
        </w:trPr>
        <w:tc>
          <w:tcPr>
            <w:tcW w:w="1280" w:type="dxa"/>
            <w:vAlign w:val="bottom"/>
            <w:tcBorders>
              <w:left w:val="single" w:sz="8" w:color="3C5896"/>
              <w:right w:val="single" w:sz="8" w:color="9EACCA"/>
            </w:tcBorders>
            <w:shd w:val="clear" w:color="auto" w:fill="3C5896"/>
          </w:tcPr>
          <w:p>
            <w:pPr>
              <w:ind w:left="480"/>
              <w:spacing w:after="0"/>
              <w:rPr>
                <w:sz w:val="20"/>
                <w:szCs w:val="20"/>
                <w:color w:val="auto"/>
              </w:rPr>
            </w:pPr>
            <w:r>
              <w:rPr>
                <w:rFonts w:ascii="Arial" w:cs="Arial" w:eastAsia="Arial" w:hAnsi="Arial"/>
                <w:sz w:val="13"/>
                <w:szCs w:val="13"/>
                <w:b w:val="1"/>
                <w:bCs w:val="1"/>
                <w:color w:val="FFFFFF"/>
              </w:rPr>
              <w:t>Name</w:t>
            </w:r>
          </w:p>
        </w:tc>
        <w:tc>
          <w:tcPr>
            <w:tcW w:w="800" w:type="dxa"/>
            <w:vAlign w:val="bottom"/>
            <w:tcBorders>
              <w:right w:val="single" w:sz="8" w:color="9EACCA"/>
            </w:tcBorders>
            <w:shd w:val="clear" w:color="auto" w:fill="3C5896"/>
          </w:tcPr>
          <w:p>
            <w:pPr>
              <w:jc w:val="right"/>
              <w:ind w:right="209"/>
              <w:spacing w:after="0"/>
              <w:rPr>
                <w:sz w:val="20"/>
                <w:szCs w:val="20"/>
                <w:color w:val="auto"/>
              </w:rPr>
            </w:pPr>
            <w:r>
              <w:rPr>
                <w:rFonts w:ascii="Arial" w:cs="Arial" w:eastAsia="Arial" w:hAnsi="Arial"/>
                <w:sz w:val="13"/>
                <w:szCs w:val="13"/>
                <w:b w:val="1"/>
                <w:bCs w:val="1"/>
                <w:color w:val="FFFFFF"/>
              </w:rPr>
              <w:t>Date</w:t>
            </w: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660" w:type="dxa"/>
            <w:vAlign w:val="bottom"/>
            <w:shd w:val="clear" w:color="auto" w:fill="3C5896"/>
          </w:tcPr>
          <w:p>
            <w:pPr>
              <w:jc w:val="center"/>
              <w:ind w:left="173"/>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(1)</w:t>
            </w:r>
          </w:p>
        </w:tc>
        <w:tc>
          <w:tcPr>
            <w:tcW w:w="260" w:type="dxa"/>
            <w:vAlign w:val="bottom"/>
            <w:tcBorders>
              <w:right w:val="single" w:sz="8" w:color="9EACCA"/>
            </w:tcBorders>
            <w:shd w:val="clear" w:color="auto" w:fill="3C5896"/>
          </w:tcPr>
          <w:p>
            <w:pPr>
              <w:spacing w:after="0"/>
              <w:rPr>
                <w:sz w:val="18"/>
                <w:szCs w:val="18"/>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6"/>
              </w:rPr>
              <w:t>Date</w:t>
            </w:r>
            <w:r>
              <w:rPr>
                <w:rFonts w:ascii="Arial" w:cs="Arial" w:eastAsia="Arial" w:hAnsi="Arial"/>
                <w:sz w:val="19"/>
                <w:szCs w:val="19"/>
                <w:b w:val="1"/>
                <w:bCs w:val="1"/>
                <w:color w:val="FFFFFF"/>
                <w:w w:val="86"/>
                <w:vertAlign w:val="superscript"/>
              </w:rPr>
              <w:t>(2)</w:t>
            </w:r>
          </w:p>
        </w:tc>
        <w:tc>
          <w:tcPr>
            <w:tcW w:w="7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(3)</w:t>
            </w:r>
          </w:p>
        </w:tc>
        <w:tc>
          <w:tcPr>
            <w:tcW w:w="740" w:type="dxa"/>
            <w:vAlign w:val="bottom"/>
            <w:tcBorders>
              <w:right w:val="single" w:sz="8" w:color="9EACCA"/>
            </w:tcBorders>
            <w:gridSpan w:val="2"/>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(4)</w:t>
            </w:r>
          </w:p>
        </w:tc>
        <w:tc>
          <w:tcPr>
            <w:tcW w:w="8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(5)</w:t>
            </w:r>
          </w:p>
        </w:tc>
        <w:tc>
          <w:tcPr>
            <w:tcW w:w="740" w:type="dxa"/>
            <w:vAlign w:val="bottom"/>
            <w:tcBorders>
              <w:right w:val="single" w:sz="8" w:color="3C5896"/>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L. Reade Fahs</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3/13/2014</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976,470</w:t>
            </w:r>
          </w:p>
        </w:tc>
        <w:tc>
          <w:tcPr>
            <w:tcW w:w="660" w:type="dxa"/>
            <w:vAlign w:val="bottom"/>
          </w:tcPr>
          <w:p>
            <w:pPr>
              <w:spacing w:after="0"/>
              <w:rPr>
                <w:sz w:val="18"/>
                <w:szCs w:val="18"/>
                <w:color w:val="auto"/>
              </w:rPr>
            </w:pPr>
          </w:p>
        </w:tc>
        <w:tc>
          <w:tcPr>
            <w:tcW w:w="2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26,371</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52,743</w:t>
            </w: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31,970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1,447,921</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41,089</w:t>
            </w: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32,310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1,463,320</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16,155</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731,660</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6"/>
        </w:trPr>
        <w:tc>
          <w:tcPr>
            <w:tcW w:w="1280" w:type="dxa"/>
            <w:vAlign w:val="bottom"/>
            <w:tcBorders>
              <w:left w:val="single" w:sz="8" w:color="3C5896"/>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820" w:type="dxa"/>
            <w:vAlign w:val="bottom"/>
            <w:tcBorders>
              <w:right w:val="single" w:sz="8" w:color="9EACCA"/>
            </w:tcBorders>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r>
      <w:tr>
        <w:trPr>
          <w:trHeight w:val="217"/>
        </w:trPr>
        <w:tc>
          <w:tcPr>
            <w:tcW w:w="128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Patrick R. Moore</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21,360</w:t>
            </w:r>
          </w:p>
        </w:tc>
        <w:tc>
          <w:tcPr>
            <w:tcW w:w="660" w:type="dxa"/>
            <w:vAlign w:val="bottom"/>
            <w:shd w:val="clear" w:color="auto" w:fill="CCCCCC"/>
          </w:tcPr>
          <w:p>
            <w:pPr>
              <w:spacing w:after="0"/>
              <w:rPr>
                <w:sz w:val="18"/>
                <w:szCs w:val="18"/>
                <w:color w:val="auto"/>
              </w:rPr>
            </w:pPr>
          </w:p>
        </w:tc>
        <w:tc>
          <w:tcPr>
            <w:tcW w:w="2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7.25</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r>
      <w:tr>
        <w:trPr>
          <w:trHeight w:val="243"/>
        </w:trPr>
        <w:tc>
          <w:tcPr>
            <w:tcW w:w="1280" w:type="dxa"/>
            <w:vAlign w:val="bottom"/>
            <w:tcBorders>
              <w:left w:val="single" w:sz="8" w:color="3C5896"/>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64,080</w:t>
            </w:r>
          </w:p>
        </w:tc>
        <w:tc>
          <w:tcPr>
            <w:tcW w:w="660" w:type="dxa"/>
            <w:vAlign w:val="bottom"/>
            <w:shd w:val="clear" w:color="auto" w:fill="CCCCCC"/>
          </w:tcPr>
          <w:p>
            <w:pPr>
              <w:spacing w:after="0"/>
              <w:rPr>
                <w:sz w:val="21"/>
                <w:szCs w:val="21"/>
                <w:color w:val="auto"/>
              </w:rPr>
            </w:pPr>
          </w:p>
        </w:tc>
        <w:tc>
          <w:tcPr>
            <w:tcW w:w="2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700" w:type="dxa"/>
            <w:vAlign w:val="bottom"/>
            <w:tcBorders>
              <w:right w:val="single" w:sz="8" w:color="3C5896"/>
            </w:tcBorders>
            <w:shd w:val="clear" w:color="auto" w:fill="CCCCCC"/>
          </w:tcPr>
          <w:p>
            <w:pPr>
              <w:spacing w:after="0"/>
              <w:rPr>
                <w:sz w:val="21"/>
                <w:szCs w:val="21"/>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10/25/2017</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92,443</w:t>
            </w: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22.00</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10/25/2027</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7,032</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14,066</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29"/>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8,526</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386,143</w:t>
            </w: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10,977</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18,262</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14,360</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650,364</w:t>
            </w:r>
          </w:p>
        </w:tc>
      </w:tr>
      <w:tr>
        <w:trPr>
          <w:trHeight w:val="235"/>
        </w:trPr>
        <w:tc>
          <w:tcPr>
            <w:tcW w:w="128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bottom w:val="single" w:sz="8" w:color="CCCCCC"/>
              <w:right w:val="single" w:sz="8" w:color="9EACCA"/>
            </w:tcBorders>
            <w:shd w:val="clear" w:color="auto" w:fill="CCCCCC"/>
          </w:tcPr>
          <w:p>
            <w:pPr>
              <w:spacing w:after="0"/>
              <w:rPr>
                <w:sz w:val="20"/>
                <w:szCs w:val="20"/>
                <w:color w:val="auto"/>
              </w:rPr>
            </w:pPr>
          </w:p>
        </w:tc>
        <w:tc>
          <w:tcPr>
            <w:tcW w:w="66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7,180</w:t>
            </w:r>
          </w:p>
        </w:tc>
        <w:tc>
          <w:tcPr>
            <w:tcW w:w="80" w:type="dxa"/>
            <w:vAlign w:val="bottom"/>
            <w:tcBorders>
              <w:bottom w:val="single" w:sz="8" w:color="CCCCCC"/>
            </w:tcBorders>
            <w:shd w:val="clear" w:color="auto" w:fill="CCCCCC"/>
          </w:tcPr>
          <w:p>
            <w:pPr>
              <w:spacing w:after="0"/>
              <w:rPr>
                <w:sz w:val="20"/>
                <w:szCs w:val="20"/>
                <w:color w:val="auto"/>
              </w:rPr>
            </w:pPr>
          </w:p>
        </w:tc>
        <w:tc>
          <w:tcPr>
            <w:tcW w:w="6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325,182</w:t>
            </w: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spacing w:after="0"/>
              <w:rPr>
                <w:sz w:val="20"/>
                <w:szCs w:val="20"/>
                <w:color w:val="auto"/>
              </w:rPr>
            </w:pP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Bill Clark</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6/11/2019</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7,876</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15,754</w:t>
            </w: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28.48</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6/11/2029</w:t>
            </w:r>
          </w:p>
        </w:tc>
        <w:tc>
          <w:tcPr>
            <w:tcW w:w="76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6/11/2019</w:t>
            </w:r>
          </w:p>
        </w:tc>
        <w:tc>
          <w:tcPr>
            <w:tcW w:w="820" w:type="dxa"/>
            <w:vAlign w:val="bottom"/>
            <w:tcBorders>
              <w:right w:val="single" w:sz="8" w:color="9EACCA"/>
            </w:tcBorders>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00" w:type="dxa"/>
            <w:vAlign w:val="bottom"/>
            <w:tcBorders>
              <w:right w:val="single" w:sz="8" w:color="9EACCA"/>
            </w:tcBorders>
          </w:tcPr>
          <w:p>
            <w:pPr>
              <w:spacing w:after="0"/>
              <w:rPr>
                <w:sz w:val="21"/>
                <w:szCs w:val="21"/>
                <w:color w:val="auto"/>
              </w:rPr>
            </w:pPr>
          </w:p>
        </w:tc>
        <w:tc>
          <w:tcPr>
            <w:tcW w:w="76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8,779</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397,601</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10,977</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5,844</w:t>
            </w: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4,596</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208,153</w:t>
            </w: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2,298</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104,076</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5"/>
        </w:trPr>
        <w:tc>
          <w:tcPr>
            <w:tcW w:w="1280" w:type="dxa"/>
            <w:vAlign w:val="bottom"/>
            <w:tcBorders>
              <w:left w:val="single" w:sz="8" w:color="3C5896"/>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820" w:type="dxa"/>
            <w:vAlign w:val="bottom"/>
            <w:tcBorders>
              <w:right w:val="single" w:sz="8" w:color="9EACCA"/>
            </w:tcBorders>
          </w:tcPr>
          <w:p>
            <w:pPr>
              <w:spacing w:after="0"/>
              <w:rPr>
                <w:sz w:val="2"/>
                <w:szCs w:val="2"/>
                <w:color w:val="auto"/>
              </w:rPr>
            </w:pPr>
          </w:p>
        </w:tc>
        <w:tc>
          <w:tcPr>
            <w:tcW w:w="920" w:type="dxa"/>
            <w:vAlign w:val="bottom"/>
            <w:tcBorders>
              <w:right w:val="single" w:sz="8" w:color="9EACCA"/>
            </w:tcBorders>
            <w:gridSpan w:val="2"/>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r>
      <w:tr>
        <w:trPr>
          <w:trHeight w:val="218"/>
        </w:trPr>
        <w:tc>
          <w:tcPr>
            <w:tcW w:w="128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Jared Brandman</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8/14/2017</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53,236</w:t>
            </w:r>
          </w:p>
        </w:tc>
        <w:tc>
          <w:tcPr>
            <w:tcW w:w="92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16,274</w:t>
            </w:r>
          </w:p>
        </w:tc>
        <w:tc>
          <w:tcPr>
            <w:tcW w:w="860" w:type="dxa"/>
            <w:vAlign w:val="bottom"/>
            <w:tcBorders>
              <w:right w:val="single" w:sz="8" w:color="9EACCA"/>
            </w:tcBorders>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15.74</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8/14/2027</w:t>
            </w:r>
          </w:p>
        </w:tc>
        <w:tc>
          <w:tcPr>
            <w:tcW w:w="76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r>
      <w:tr>
        <w:trPr>
          <w:trHeight w:val="243"/>
        </w:trPr>
        <w:tc>
          <w:tcPr>
            <w:tcW w:w="1280" w:type="dxa"/>
            <w:vAlign w:val="bottom"/>
            <w:tcBorders>
              <w:left w:val="single" w:sz="8" w:color="3C5896"/>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2,930</w:t>
            </w:r>
          </w:p>
        </w:tc>
        <w:tc>
          <w:tcPr>
            <w:tcW w:w="92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5,861</w:t>
            </w:r>
          </w:p>
        </w:tc>
        <w:tc>
          <w:tcPr>
            <w:tcW w:w="860" w:type="dxa"/>
            <w:vAlign w:val="bottom"/>
            <w:tcBorders>
              <w:right w:val="single" w:sz="8" w:color="9EACCA"/>
            </w:tcBorders>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700" w:type="dxa"/>
            <w:vAlign w:val="bottom"/>
            <w:tcBorders>
              <w:right w:val="single" w:sz="8" w:color="3C5896"/>
            </w:tcBorders>
            <w:shd w:val="clear" w:color="auto" w:fill="CCCCCC"/>
          </w:tcPr>
          <w:p>
            <w:pPr>
              <w:spacing w:after="0"/>
              <w:rPr>
                <w:sz w:val="21"/>
                <w:szCs w:val="21"/>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3,553</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160,915</w:t>
            </w: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10,977</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0</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4,566</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1,795</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ind w:left="80"/>
              <w:spacing w:after="0"/>
              <w:rPr>
                <w:sz w:val="20"/>
                <w:szCs w:val="20"/>
                <w:color w:val="auto"/>
              </w:rPr>
            </w:pPr>
            <w:r>
              <w:rPr>
                <w:rFonts w:ascii="Arial" w:cs="Arial" w:eastAsia="Arial" w:hAnsi="Arial"/>
                <w:sz w:val="14"/>
                <w:szCs w:val="14"/>
                <w:color w:val="auto"/>
              </w:rPr>
              <w:t>81,296</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5"/>
        </w:trPr>
        <w:tc>
          <w:tcPr>
            <w:tcW w:w="128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bottom w:val="single" w:sz="8" w:color="CCCCCC"/>
              <w:right w:val="single" w:sz="8" w:color="9EACCA"/>
            </w:tcBorders>
            <w:shd w:val="clear" w:color="auto" w:fill="CCCCCC"/>
          </w:tcPr>
          <w:p>
            <w:pPr>
              <w:spacing w:after="0"/>
              <w:rPr>
                <w:sz w:val="20"/>
                <w:szCs w:val="20"/>
                <w:color w:val="auto"/>
              </w:rPr>
            </w:pPr>
          </w:p>
        </w:tc>
        <w:tc>
          <w:tcPr>
            <w:tcW w:w="66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spacing w:after="0"/>
              <w:rPr>
                <w:sz w:val="20"/>
                <w:szCs w:val="20"/>
                <w:color w:val="auto"/>
              </w:rPr>
            </w:pPr>
          </w:p>
        </w:tc>
        <w:tc>
          <w:tcPr>
            <w:tcW w:w="80" w:type="dxa"/>
            <w:vAlign w:val="bottom"/>
            <w:tcBorders>
              <w:bottom w:val="single" w:sz="8" w:color="CCCCCC"/>
            </w:tcBorders>
            <w:shd w:val="clear" w:color="auto" w:fill="CCCCCC"/>
          </w:tcPr>
          <w:p>
            <w:pPr>
              <w:spacing w:after="0"/>
              <w:rPr>
                <w:sz w:val="20"/>
                <w:szCs w:val="20"/>
                <w:color w:val="auto"/>
              </w:rPr>
            </w:pPr>
          </w:p>
        </w:tc>
        <w:tc>
          <w:tcPr>
            <w:tcW w:w="6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3,590</w:t>
            </w: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162,591</w:t>
            </w: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Joan Blackwood</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12/9/2019</w:t>
            </w:r>
          </w:p>
        </w:tc>
        <w:tc>
          <w:tcPr>
            <w:tcW w:w="820" w:type="dxa"/>
            <w:vAlign w:val="bottom"/>
            <w:tcBorders>
              <w:right w:val="single" w:sz="8" w:color="9EACCA"/>
            </w:tcBorders>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80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5,487</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248,506</w:t>
            </w: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00" w:type="dxa"/>
            <w:vAlign w:val="bottom"/>
            <w:tcBorders>
              <w:right w:val="single" w:sz="8" w:color="9EACCA"/>
            </w:tcBorders>
          </w:tcPr>
          <w:p>
            <w:pPr>
              <w:spacing w:after="0"/>
              <w:rPr>
                <w:sz w:val="21"/>
                <w:szCs w:val="21"/>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1,795</w:t>
            </w:r>
          </w:p>
        </w:tc>
        <w:tc>
          <w:tcPr>
            <w:tcW w:w="740" w:type="dxa"/>
            <w:vAlign w:val="bottom"/>
            <w:tcBorders>
              <w:right w:val="single" w:sz="8" w:color="9EACCA"/>
            </w:tcBorders>
            <w:gridSpan w:val="2"/>
          </w:tcPr>
          <w:p>
            <w:pPr>
              <w:ind w:left="160"/>
              <w:spacing w:after="0"/>
              <w:rPr>
                <w:sz w:val="20"/>
                <w:szCs w:val="20"/>
                <w:color w:val="auto"/>
              </w:rPr>
            </w:pPr>
            <w:r>
              <w:rPr>
                <w:rFonts w:ascii="Arial" w:cs="Arial" w:eastAsia="Arial" w:hAnsi="Arial"/>
                <w:sz w:val="14"/>
                <w:szCs w:val="14"/>
                <w:color w:val="auto"/>
              </w:rPr>
              <w:t>81,296</w:t>
            </w:r>
          </w:p>
        </w:tc>
        <w:tc>
          <w:tcPr>
            <w:tcW w:w="86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3,590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162,591</w:t>
            </w:r>
          </w:p>
        </w:tc>
      </w:tr>
      <w:tr>
        <w:trPr>
          <w:trHeight w:val="282"/>
        </w:trPr>
        <w:tc>
          <w:tcPr>
            <w:tcW w:w="1280" w:type="dxa"/>
            <w:vAlign w:val="bottom"/>
            <w:tcBorders>
              <w:left w:val="single" w:sz="8" w:color="3C5896"/>
              <w:right w:val="single" w:sz="8" w:color="9EACCA"/>
            </w:tcBorders>
          </w:tcPr>
          <w:p>
            <w:pPr>
              <w:spacing w:after="0"/>
              <w:rPr>
                <w:sz w:val="24"/>
                <w:szCs w:val="24"/>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4,566</w:t>
            </w:r>
          </w:p>
        </w:tc>
        <w:tc>
          <w:tcPr>
            <w:tcW w:w="860" w:type="dxa"/>
            <w:vAlign w:val="bottom"/>
            <w:tcBorders>
              <w:right w:val="single" w:sz="8" w:color="9EACCA"/>
            </w:tcBorders>
          </w:tcPr>
          <w:p>
            <w:pPr>
              <w:spacing w:after="0"/>
              <w:rPr>
                <w:sz w:val="24"/>
                <w:szCs w:val="24"/>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right w:val="single" w:sz="8" w:color="9EACCA"/>
            </w:tcBorders>
          </w:tcPr>
          <w:p>
            <w:pPr>
              <w:spacing w:after="0"/>
              <w:rPr>
                <w:sz w:val="24"/>
                <w:szCs w:val="24"/>
                <w:color w:val="auto"/>
              </w:rPr>
            </w:pPr>
          </w:p>
        </w:tc>
        <w:tc>
          <w:tcPr>
            <w:tcW w:w="86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3C5896"/>
            </w:tcBorders>
          </w:tcPr>
          <w:p>
            <w:pPr>
              <w:spacing w:after="0"/>
              <w:rPr>
                <w:sz w:val="24"/>
                <w:szCs w:val="24"/>
                <w:color w:val="auto"/>
              </w:rPr>
            </w:pPr>
          </w:p>
        </w:tc>
      </w:tr>
      <w:tr>
        <w:trPr>
          <w:trHeight w:val="20"/>
        </w:trPr>
        <w:tc>
          <w:tcPr>
            <w:tcW w:w="128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800" w:type="dxa"/>
            <w:vAlign w:val="bottom"/>
            <w:tcBorders>
              <w:right w:val="single" w:sz="8" w:color="3C5896"/>
            </w:tcBorders>
            <w:shd w:val="clear" w:color="auto" w:fill="3C5896"/>
          </w:tcPr>
          <w:p>
            <w:pPr>
              <w:spacing w:after="0" w:line="20" w:lineRule="exact"/>
              <w:rPr>
                <w:sz w:val="1"/>
                <w:szCs w:val="1"/>
                <w:color w:val="auto"/>
              </w:rPr>
            </w:pPr>
          </w:p>
        </w:tc>
        <w:tc>
          <w:tcPr>
            <w:tcW w:w="820" w:type="dxa"/>
            <w:vAlign w:val="bottom"/>
            <w:tcBorders>
              <w:right w:val="single" w:sz="8" w:color="3C5896"/>
            </w:tcBorders>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260" w:type="dxa"/>
            <w:vAlign w:val="bottom"/>
            <w:tcBorders>
              <w:right w:val="single" w:sz="8" w:color="3C5896"/>
            </w:tcBorders>
            <w:shd w:val="clear" w:color="auto" w:fill="3C5896"/>
          </w:tcPr>
          <w:p>
            <w:pPr>
              <w:spacing w:after="0" w:line="20" w:lineRule="exact"/>
              <w:rPr>
                <w:sz w:val="1"/>
                <w:szCs w:val="1"/>
                <w:color w:val="auto"/>
              </w:rPr>
            </w:pPr>
          </w:p>
        </w:tc>
        <w:tc>
          <w:tcPr>
            <w:tcW w:w="860" w:type="dxa"/>
            <w:vAlign w:val="bottom"/>
            <w:tcBorders>
              <w:right w:val="single" w:sz="8" w:color="3C5896"/>
            </w:tcBorders>
            <w:shd w:val="clear" w:color="auto" w:fill="3C5896"/>
          </w:tcPr>
          <w:p>
            <w:pPr>
              <w:spacing w:after="0" w:line="20" w:lineRule="exact"/>
              <w:rPr>
                <w:sz w:val="1"/>
                <w:szCs w:val="1"/>
                <w:color w:val="auto"/>
              </w:rPr>
            </w:pPr>
          </w:p>
        </w:tc>
        <w:tc>
          <w:tcPr>
            <w:tcW w:w="620" w:type="dxa"/>
            <w:vAlign w:val="bottom"/>
            <w:tcBorders>
              <w:right w:val="single" w:sz="8" w:color="3C5896"/>
            </w:tcBorders>
            <w:shd w:val="clear" w:color="auto" w:fill="3C5896"/>
          </w:tcPr>
          <w:p>
            <w:pPr>
              <w:spacing w:after="0" w:line="20" w:lineRule="exact"/>
              <w:rPr>
                <w:sz w:val="1"/>
                <w:szCs w:val="1"/>
                <w:color w:val="auto"/>
              </w:rPr>
            </w:pPr>
          </w:p>
        </w:tc>
        <w:tc>
          <w:tcPr>
            <w:tcW w:w="80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60" w:type="dxa"/>
            <w:vAlign w:val="bottom"/>
            <w:tcBorders>
              <w:right w:val="single" w:sz="8" w:color="3C5896"/>
            </w:tcBorders>
            <w:shd w:val="clear" w:color="auto" w:fill="3C5896"/>
          </w:tcPr>
          <w:p>
            <w:pPr>
              <w:spacing w:after="0" w:line="20" w:lineRule="exact"/>
              <w:rPr>
                <w:sz w:val="1"/>
                <w:szCs w:val="1"/>
                <w:color w:val="auto"/>
              </w:rPr>
            </w:pPr>
          </w:p>
        </w:tc>
        <w:tc>
          <w:tcPr>
            <w:tcW w:w="8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-4482465</wp:posOffset>
            </wp:positionV>
            <wp:extent cx="58204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-6017260</wp:posOffset>
            </wp:positionV>
            <wp:extent cx="50317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1" w:lineRule="exact"/>
        <w:rPr>
          <w:sz w:val="20"/>
          <w:szCs w:val="20"/>
          <w:color w:val="auto"/>
        </w:rPr>
      </w:pPr>
    </w:p>
    <w:p>
      <w:pPr>
        <w:jc w:val="both"/>
        <w:ind w:left="1120" w:hanging="358"/>
        <w:spacing w:after="0" w:line="247" w:lineRule="auto"/>
        <w:tabs>
          <w:tab w:leader="none" w:pos="11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options. The pre-IPO options granted to Mr. Brandman vest as to 20% of the shares subject to such option on each anniversary of the grant date, subject to continued employment through the applicable vesting date. The time-based options granted to NEOs in 2019 and 2020 will vest in three substantially equal installments on each of the first, second and third anniversaries of the grant date, subject to continued employment through the applicable vesting date. Vesting of time-based options will be accelerated upon a change in control that occurs while the executive is still employed by us, as described under “Potential Payments upon Termination or Change in Control” below.</w:t>
      </w:r>
    </w:p>
    <w:p>
      <w:pPr>
        <w:spacing w:after="0" w:line="3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jc w:val="both"/>
        <w:ind w:left="1120" w:hanging="358"/>
        <w:spacing w:after="0" w:line="252"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expiration date shown is the normal expiration date occurring on the tenth anniversary of the grant date. Options may terminate earlier in certain circumstances, such as in connection with a NEO’s termination of employment or in connection with certain corporate transactions, including a change in control of the Company.</w:t>
      </w:r>
    </w:p>
    <w:p>
      <w:pPr>
        <w:spacing w:after="0" w:line="50"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RSUs. The RSUs granted in 2019 will vest in three installments over four years, one-half on the second anniversary of the grant date and one-quarter on each of the third and fourth anniversaries of the grant date, subject to continued employment through the applicable vesting date. The RSUs granted in 2020 will vest in three annual installments on the anniversary date of the grant. Ms. Blackwood’s special sign-on 2019 RSUs vest in three annual installments on the anniversary date of the grant.</w:t>
      </w:r>
    </w:p>
    <w:p>
      <w:pPr>
        <w:spacing w:after="0" w:line="53" w:lineRule="exact"/>
        <w:rPr>
          <w:rFonts w:ascii="Arial" w:cs="Arial" w:eastAsia="Arial" w:hAnsi="Arial"/>
          <w:sz w:val="15"/>
          <w:szCs w:val="15"/>
          <w:color w:val="auto"/>
        </w:rPr>
      </w:pPr>
    </w:p>
    <w:p>
      <w:pPr>
        <w:ind w:left="1120" w:hanging="358"/>
        <w:spacing w:after="0"/>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market value is based on the NASDAQ closing price on December 31, 2020.</w:t>
      </w:r>
    </w:p>
    <w:p>
      <w:pPr>
        <w:spacing w:after="0" w:line="70"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PSUs. The PSUs granted in 2019 and 2020 will vest on the third anniversary of the grant date based on the Company’s achievement of certain Adjusted EBITDA growth targets, as set forth in each of the 2019 and 2020 PSU award agreement. The actual value of the PSUs that become vested based on the performance measure (Adjusted EBITDA growth)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 Mr. Clark also received a special sign-on equity award when he joined the Company.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139"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The following table provides information regarding options exercised by and stock vested for the NEOs during the fiscal year ended January 2, 2021.</w:t>
      </w:r>
    </w:p>
    <w:p>
      <w:pPr>
        <w:spacing w:after="0" w:line="97"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2620" w:type="dxa"/>
            <w:vAlign w:val="bottom"/>
            <w:tcBorders>
              <w:top w:val="single" w:sz="8" w:color="3C5896"/>
              <w:right w:val="single" w:sz="8" w:color="9EACCA"/>
            </w:tcBorders>
            <w:shd w:val="clear" w:color="auto" w:fill="3C5896"/>
          </w:tcPr>
          <w:p>
            <w:pPr>
              <w:spacing w:after="0"/>
              <w:rPr>
                <w:sz w:val="24"/>
                <w:szCs w:val="24"/>
                <w:color w:val="auto"/>
              </w:rPr>
            </w:pPr>
          </w:p>
        </w:tc>
        <w:tc>
          <w:tcPr>
            <w:tcW w:w="40" w:type="dxa"/>
            <w:vAlign w:val="bottom"/>
            <w:tcBorders>
              <w:top w:val="single" w:sz="8" w:color="3C5896"/>
            </w:tcBorders>
            <w:shd w:val="clear" w:color="auto" w:fill="3C5896"/>
          </w:tcPr>
          <w:p>
            <w:pPr>
              <w:spacing w:after="0"/>
              <w:rPr>
                <w:sz w:val="24"/>
                <w:szCs w:val="24"/>
                <w:color w:val="auto"/>
              </w:rPr>
            </w:pPr>
          </w:p>
        </w:tc>
        <w:tc>
          <w:tcPr>
            <w:tcW w:w="3220" w:type="dxa"/>
            <w:vAlign w:val="bottom"/>
            <w:tcBorders>
              <w:top w:val="single" w:sz="8" w:color="3C5896"/>
              <w:right w:val="single" w:sz="8" w:color="9EACCA"/>
            </w:tcBorders>
            <w:gridSpan w:val="2"/>
            <w:shd w:val="clear" w:color="auto" w:fill="3C5896"/>
          </w:tcPr>
          <w:p>
            <w:pPr>
              <w:jc w:val="right"/>
              <w:ind w:right="930"/>
              <w:spacing w:after="0"/>
              <w:rPr>
                <w:sz w:val="20"/>
                <w:szCs w:val="20"/>
                <w:color w:val="auto"/>
              </w:rPr>
            </w:pPr>
            <w:r>
              <w:rPr>
                <w:rFonts w:ascii="Arial" w:cs="Arial" w:eastAsia="Arial" w:hAnsi="Arial"/>
                <w:sz w:val="18"/>
                <w:szCs w:val="18"/>
                <w:b w:val="1"/>
                <w:bCs w:val="1"/>
                <w:color w:val="FFFFFF"/>
              </w:rPr>
              <w:t>Option Awards</w:t>
            </w:r>
          </w:p>
        </w:tc>
        <w:tc>
          <w:tcPr>
            <w:tcW w:w="3260" w:type="dxa"/>
            <w:vAlign w:val="bottom"/>
            <w:tcBorders>
              <w:top w:val="single" w:sz="8" w:color="3C5896"/>
              <w:right w:val="single" w:sz="8" w:color="3C5896"/>
            </w:tcBorders>
            <w:gridSpan w:val="2"/>
            <w:shd w:val="clear" w:color="auto" w:fill="3C5896"/>
          </w:tcPr>
          <w:p>
            <w:pPr>
              <w:jc w:val="right"/>
              <w:ind w:right="610"/>
              <w:spacing w:after="0"/>
              <w:rPr>
                <w:sz w:val="20"/>
                <w:szCs w:val="20"/>
                <w:color w:val="auto"/>
              </w:rPr>
            </w:pPr>
            <w:r>
              <w:rPr>
                <w:rFonts w:ascii="Arial" w:cs="Arial" w:eastAsia="Arial" w:hAnsi="Arial"/>
                <w:sz w:val="18"/>
                <w:szCs w:val="18"/>
                <w:b w:val="1"/>
                <w:bCs w:val="1"/>
                <w:color w:val="FFFFFF"/>
              </w:rPr>
              <w:t>Restricted Stock Units</w:t>
            </w:r>
          </w:p>
        </w:tc>
        <w:tc>
          <w:tcPr>
            <w:tcW w:w="0" w:type="dxa"/>
            <w:vAlign w:val="bottom"/>
          </w:tcPr>
          <w:p>
            <w:pPr>
              <w:spacing w:after="0"/>
              <w:rPr>
                <w:sz w:val="1"/>
                <w:szCs w:val="1"/>
                <w:color w:val="auto"/>
              </w:rPr>
            </w:pPr>
          </w:p>
        </w:tc>
      </w:tr>
      <w:tr>
        <w:trPr>
          <w:trHeight w:val="234"/>
        </w:trPr>
        <w:tc>
          <w:tcPr>
            <w:tcW w:w="60" w:type="dxa"/>
            <w:vAlign w:val="bottom"/>
            <w:tcBorders>
              <w:left w:val="single" w:sz="8" w:color="3C5896"/>
            </w:tcBorders>
            <w:shd w:val="clear" w:color="auto" w:fill="3C5896"/>
          </w:tcPr>
          <w:p>
            <w:pPr>
              <w:spacing w:after="0"/>
              <w:rPr>
                <w:sz w:val="20"/>
                <w:szCs w:val="20"/>
                <w:color w:val="auto"/>
              </w:rPr>
            </w:pPr>
          </w:p>
        </w:tc>
        <w:tc>
          <w:tcPr>
            <w:tcW w:w="2620" w:type="dxa"/>
            <w:vAlign w:val="bottom"/>
            <w:tcBorders>
              <w:right w:val="single" w:sz="8" w:color="9EACCA"/>
            </w:tcBorders>
            <w:shd w:val="clear" w:color="auto" w:fill="3C5896"/>
          </w:tcPr>
          <w:p>
            <w:pPr>
              <w:spacing w:after="0"/>
              <w:rPr>
                <w:sz w:val="20"/>
                <w:szCs w:val="20"/>
                <w:color w:val="auto"/>
              </w:rPr>
            </w:pPr>
          </w:p>
        </w:tc>
        <w:tc>
          <w:tcPr>
            <w:tcW w:w="40" w:type="dxa"/>
            <w:vAlign w:val="bottom"/>
            <w:shd w:val="clear" w:color="auto" w:fill="3C5896"/>
          </w:tcPr>
          <w:p>
            <w:pPr>
              <w:spacing w:after="0"/>
              <w:rPr>
                <w:sz w:val="20"/>
                <w:szCs w:val="20"/>
                <w:color w:val="auto"/>
              </w:rPr>
            </w:pPr>
          </w:p>
        </w:tc>
        <w:tc>
          <w:tcPr>
            <w:tcW w:w="1580" w:type="dxa"/>
            <w:vAlign w:val="bottom"/>
            <w:tcBorders>
              <w:right w:val="single" w:sz="8" w:color="9EACCA"/>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9"/>
              </w:rPr>
              <w:t>Number of</w:t>
            </w:r>
          </w:p>
        </w:tc>
        <w:tc>
          <w:tcPr>
            <w:tcW w:w="164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Value Realized</w:t>
            </w:r>
          </w:p>
        </w:tc>
        <w:tc>
          <w:tcPr>
            <w:tcW w:w="1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640" w:type="dxa"/>
            <w:vAlign w:val="bottom"/>
            <w:tcBorders>
              <w:right w:val="single" w:sz="8" w:color="3C5896"/>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Value Realized</w:t>
            </w:r>
          </w:p>
        </w:tc>
        <w:tc>
          <w:tcPr>
            <w:tcW w:w="0" w:type="dxa"/>
            <w:vAlign w:val="bottom"/>
          </w:tcPr>
          <w:p>
            <w:pPr>
              <w:spacing w:after="0"/>
              <w:rPr>
                <w:sz w:val="1"/>
                <w:szCs w:val="1"/>
                <w:color w:val="auto"/>
              </w:rPr>
            </w:pPr>
          </w:p>
        </w:tc>
      </w:tr>
      <w:tr>
        <w:trPr>
          <w:trHeight w:val="185"/>
        </w:trPr>
        <w:tc>
          <w:tcPr>
            <w:tcW w:w="60" w:type="dxa"/>
            <w:vAlign w:val="bottom"/>
            <w:tcBorders>
              <w:left w:val="single" w:sz="8" w:color="3C5896"/>
            </w:tcBorders>
            <w:shd w:val="clear" w:color="auto" w:fill="3C5896"/>
          </w:tcPr>
          <w:p>
            <w:pPr>
              <w:spacing w:after="0"/>
              <w:rPr>
                <w:sz w:val="16"/>
                <w:szCs w:val="16"/>
                <w:color w:val="auto"/>
              </w:rPr>
            </w:pPr>
          </w:p>
        </w:tc>
        <w:tc>
          <w:tcPr>
            <w:tcW w:w="262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580" w:type="dxa"/>
            <w:vAlign w:val="bottom"/>
            <w:tcBorders>
              <w:right w:val="single" w:sz="8" w:color="9EACCA"/>
            </w:tcBorders>
            <w:shd w:val="clear" w:color="auto" w:fill="3C5896"/>
          </w:tcPr>
          <w:p>
            <w:pPr>
              <w:jc w:val="center"/>
              <w:ind w:right="30"/>
              <w:spacing w:after="0" w:line="185" w:lineRule="exact"/>
              <w:rPr>
                <w:sz w:val="20"/>
                <w:szCs w:val="20"/>
                <w:color w:val="auto"/>
              </w:rPr>
            </w:pPr>
            <w:r>
              <w:rPr>
                <w:rFonts w:ascii="Arial" w:cs="Arial" w:eastAsia="Arial" w:hAnsi="Arial"/>
                <w:sz w:val="18"/>
                <w:szCs w:val="18"/>
                <w:b w:val="1"/>
                <w:bCs w:val="1"/>
                <w:color w:val="FFFFFF"/>
                <w:w w:val="99"/>
              </w:rPr>
              <w:t>Shares Acquired</w:t>
            </w:r>
          </w:p>
        </w:tc>
        <w:tc>
          <w:tcPr>
            <w:tcW w:w="1640" w:type="dxa"/>
            <w:vAlign w:val="bottom"/>
            <w:tcBorders>
              <w:right w:val="single" w:sz="8" w:color="9EACCA"/>
            </w:tcBorders>
            <w:vMerge w:val="continue"/>
            <w:shd w:val="clear" w:color="auto" w:fill="3C5896"/>
          </w:tcPr>
          <w:p>
            <w:pPr>
              <w:spacing w:after="0"/>
              <w:rPr>
                <w:sz w:val="16"/>
                <w:szCs w:val="16"/>
                <w:color w:val="auto"/>
              </w:rPr>
            </w:pPr>
          </w:p>
        </w:tc>
        <w:tc>
          <w:tcPr>
            <w:tcW w:w="1620" w:type="dxa"/>
            <w:vAlign w:val="bottom"/>
            <w:tcBorders>
              <w:right w:val="single" w:sz="8" w:color="9EACCA"/>
            </w:tcBorders>
            <w:shd w:val="clear" w:color="auto" w:fill="3C5896"/>
          </w:tcPr>
          <w:p>
            <w:pPr>
              <w:jc w:val="center"/>
              <w:spacing w:after="0" w:line="185" w:lineRule="exact"/>
              <w:rPr>
                <w:sz w:val="20"/>
                <w:szCs w:val="20"/>
                <w:color w:val="auto"/>
              </w:rPr>
            </w:pPr>
            <w:r>
              <w:rPr>
                <w:rFonts w:ascii="Arial" w:cs="Arial" w:eastAsia="Arial" w:hAnsi="Arial"/>
                <w:sz w:val="18"/>
                <w:szCs w:val="18"/>
                <w:b w:val="1"/>
                <w:bCs w:val="1"/>
                <w:color w:val="FFFFFF"/>
                <w:w w:val="99"/>
              </w:rPr>
              <w:t>Shares Acquired</w:t>
            </w:r>
          </w:p>
        </w:tc>
        <w:tc>
          <w:tcPr>
            <w:tcW w:w="1640" w:type="dxa"/>
            <w:vAlign w:val="bottom"/>
            <w:tcBorders>
              <w:right w:val="single" w:sz="8" w:color="3C5896"/>
            </w:tcBorders>
            <w:vMerge w:val="continue"/>
            <w:shd w:val="clear" w:color="auto" w:fill="3C589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2620" w:type="dxa"/>
            <w:vAlign w:val="bottom"/>
            <w:tcBorders>
              <w:right w:val="single" w:sz="8" w:color="9EACCA"/>
            </w:tcBorders>
            <w:vMerge w:val="restart"/>
            <w:shd w:val="clear" w:color="auto" w:fill="3C5896"/>
          </w:tcPr>
          <w:p>
            <w:pPr>
              <w:ind w:left="1040"/>
              <w:spacing w:after="0"/>
              <w:rPr>
                <w:sz w:val="20"/>
                <w:szCs w:val="20"/>
                <w:color w:val="auto"/>
              </w:rPr>
            </w:pPr>
            <w:r>
              <w:rPr>
                <w:rFonts w:ascii="Arial" w:cs="Arial" w:eastAsia="Arial" w:hAnsi="Arial"/>
                <w:sz w:val="18"/>
                <w:szCs w:val="18"/>
                <w:b w:val="1"/>
                <w:bCs w:val="1"/>
                <w:color w:val="FFFFFF"/>
              </w:rPr>
              <w:t>Name</w:t>
            </w:r>
          </w:p>
        </w:tc>
        <w:tc>
          <w:tcPr>
            <w:tcW w:w="40" w:type="dxa"/>
            <w:vAlign w:val="bottom"/>
            <w:shd w:val="clear" w:color="auto" w:fill="3C5896"/>
          </w:tcPr>
          <w:p>
            <w:pPr>
              <w:spacing w:after="0"/>
              <w:rPr>
                <w:sz w:val="16"/>
                <w:szCs w:val="16"/>
                <w:color w:val="auto"/>
              </w:rPr>
            </w:pPr>
          </w:p>
        </w:tc>
        <w:tc>
          <w:tcPr>
            <w:tcW w:w="158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on Exercise</w:t>
            </w:r>
          </w:p>
        </w:tc>
        <w:tc>
          <w:tcPr>
            <w:tcW w:w="16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on Exercise</w:t>
            </w:r>
          </w:p>
        </w:tc>
        <w:tc>
          <w:tcPr>
            <w:tcW w:w="16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on Vesting</w:t>
            </w:r>
          </w:p>
        </w:tc>
        <w:tc>
          <w:tcPr>
            <w:tcW w:w="164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on Vesting</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3C5896"/>
          </w:tcPr>
          <w:p>
            <w:pPr>
              <w:spacing w:after="0"/>
              <w:rPr>
                <w:sz w:val="22"/>
                <w:szCs w:val="22"/>
                <w:color w:val="auto"/>
              </w:rPr>
            </w:pPr>
          </w:p>
        </w:tc>
        <w:tc>
          <w:tcPr>
            <w:tcW w:w="2620" w:type="dxa"/>
            <w:vAlign w:val="bottom"/>
            <w:tcBorders>
              <w:right w:val="single" w:sz="8" w:color="9EACCA"/>
            </w:tcBorders>
            <w:vMerge w:val="continue"/>
            <w:shd w:val="clear" w:color="auto" w:fill="3C5896"/>
          </w:tcPr>
          <w:p>
            <w:pPr>
              <w:spacing w:after="0"/>
              <w:rPr>
                <w:sz w:val="22"/>
                <w:szCs w:val="22"/>
                <w:color w:val="auto"/>
              </w:rPr>
            </w:pPr>
          </w:p>
        </w:tc>
        <w:tc>
          <w:tcPr>
            <w:tcW w:w="40" w:type="dxa"/>
            <w:vAlign w:val="bottom"/>
            <w:shd w:val="clear" w:color="auto" w:fill="3C5896"/>
          </w:tcPr>
          <w:p>
            <w:pPr>
              <w:spacing w:after="0"/>
              <w:rPr>
                <w:sz w:val="22"/>
                <w:szCs w:val="22"/>
                <w:color w:val="auto"/>
              </w:rPr>
            </w:pPr>
          </w:p>
        </w:tc>
        <w:tc>
          <w:tcPr>
            <w:tcW w:w="15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1640" w:type="dxa"/>
            <w:vAlign w:val="bottom"/>
            <w:tcBorders>
              <w:right w:val="single" w:sz="8" w:color="9EACCA"/>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6"/>
                <w:szCs w:val="26"/>
                <w:b w:val="1"/>
                <w:bCs w:val="1"/>
                <w:color w:val="FFFFFF"/>
                <w:w w:val="87"/>
                <w:vertAlign w:val="superscript"/>
              </w:rPr>
              <w:t>(1)</w:t>
            </w:r>
          </w:p>
        </w:tc>
        <w:tc>
          <w:tcPr>
            <w:tcW w:w="1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1640" w:type="dxa"/>
            <w:vAlign w:val="bottom"/>
            <w:tcBorders>
              <w:right w:val="single" w:sz="8" w:color="3C5896"/>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6"/>
                <w:szCs w:val="26"/>
                <w:b w:val="1"/>
                <w:bCs w:val="1"/>
                <w:color w:val="FFFFFF"/>
                <w:w w:val="87"/>
                <w:vertAlign w:val="superscript"/>
              </w:rPr>
              <w:t>(2)</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40" w:type="dxa"/>
            <w:vAlign w:val="bottom"/>
          </w:tcPr>
          <w:p>
            <w:pPr>
              <w:spacing w:after="0"/>
              <w:rPr>
                <w:sz w:val="21"/>
                <w:szCs w:val="21"/>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26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620" w:type="dxa"/>
            <w:vAlign w:val="bottom"/>
            <w:tcBorders>
              <w:right w:val="single" w:sz="8" w:color="9EACCA"/>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58,161</w:t>
            </w:r>
          </w:p>
        </w:tc>
        <w:tc>
          <w:tcPr>
            <w:tcW w:w="164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2,495,113</w:t>
            </w:r>
          </w:p>
        </w:tc>
        <w:tc>
          <w:tcPr>
            <w:tcW w:w="1620" w:type="dxa"/>
            <w:vAlign w:val="bottom"/>
            <w:tcBorders>
              <w:right w:val="single" w:sz="8" w:color="9EACCA"/>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40" w:type="dxa"/>
            <w:vAlign w:val="bottom"/>
          </w:tcPr>
          <w:p>
            <w:pPr>
              <w:spacing w:after="0"/>
              <w:rPr>
                <w:sz w:val="21"/>
                <w:szCs w:val="21"/>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26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40" w:type="dxa"/>
            <w:vAlign w:val="bottom"/>
            <w:shd w:val="clear" w:color="auto" w:fill="CCCCCC"/>
          </w:tcPr>
          <w:p>
            <w:pPr>
              <w:spacing w:after="0"/>
              <w:rPr>
                <w:sz w:val="22"/>
                <w:szCs w:val="22"/>
                <w:color w:val="auto"/>
              </w:rPr>
            </w:pPr>
          </w:p>
        </w:tc>
        <w:tc>
          <w:tcPr>
            <w:tcW w:w="1580" w:type="dxa"/>
            <w:vAlign w:val="bottom"/>
            <w:tcBorders>
              <w:right w:val="single" w:sz="8" w:color="9EACCA"/>
            </w:tcBorders>
            <w:shd w:val="clear" w:color="auto" w:fill="CCCCCC"/>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40" w:type="dxa"/>
            <w:vAlign w:val="bottom"/>
          </w:tcPr>
          <w:p>
            <w:pPr>
              <w:spacing w:after="0"/>
              <w:rPr>
                <w:sz w:val="24"/>
                <w:szCs w:val="24"/>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2,743</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127,165</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26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580" w:type="dxa"/>
            <w:vAlign w:val="bottom"/>
            <w:tcBorders>
              <w:right w:val="single" w:sz="8" w:color="3C5896"/>
            </w:tcBorders>
            <w:shd w:val="clear" w:color="auto" w:fill="3C5896"/>
          </w:tcPr>
          <w:p>
            <w:pPr>
              <w:spacing w:after="0" w:line="20" w:lineRule="exact"/>
              <w:rPr>
                <w:sz w:val="1"/>
                <w:szCs w:val="1"/>
                <w:color w:val="auto"/>
              </w:rPr>
            </w:pPr>
          </w:p>
        </w:tc>
        <w:tc>
          <w:tcPr>
            <w:tcW w:w="1640" w:type="dxa"/>
            <w:vAlign w:val="bottom"/>
            <w:tcBorders>
              <w:right w:val="single" w:sz="8" w:color="3C5896"/>
            </w:tcBorders>
            <w:shd w:val="clear" w:color="auto" w:fill="3C5896"/>
          </w:tcPr>
          <w:p>
            <w:pPr>
              <w:spacing w:after="0" w:line="20" w:lineRule="exact"/>
              <w:rPr>
                <w:sz w:val="1"/>
                <w:szCs w:val="1"/>
                <w:color w:val="auto"/>
              </w:rPr>
            </w:pPr>
          </w:p>
        </w:tc>
        <w:tc>
          <w:tcPr>
            <w:tcW w:w="1620" w:type="dxa"/>
            <w:vAlign w:val="bottom"/>
            <w:tcBorders>
              <w:right w:val="single" w:sz="8" w:color="3C5896"/>
            </w:tcBorders>
            <w:shd w:val="clear" w:color="auto" w:fill="3C5896"/>
          </w:tcPr>
          <w:p>
            <w:pPr>
              <w:spacing w:after="0" w:line="20" w:lineRule="exact"/>
              <w:rPr>
                <w:sz w:val="1"/>
                <w:szCs w:val="1"/>
                <w:color w:val="auto"/>
              </w:rPr>
            </w:pPr>
          </w:p>
        </w:tc>
        <w:tc>
          <w:tcPr>
            <w:tcW w:w="16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-839470</wp:posOffset>
            </wp:positionV>
            <wp:extent cx="41319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-1388110</wp:posOffset>
            </wp:positionV>
            <wp:extent cx="41319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44" w:lineRule="exact"/>
        <w:rPr>
          <w:sz w:val="20"/>
          <w:szCs w:val="20"/>
          <w:color w:val="auto"/>
        </w:rPr>
      </w:pPr>
    </w:p>
    <w:p>
      <w:pPr>
        <w:ind w:left="1120" w:hanging="358"/>
        <w:spacing w:after="0" w:line="260"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difference between the fair market value of the shares acquired on the exercise date and the exercise price of the options, multiplied by the number of options exercised.</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fair market value of the RSUs on the vesting date.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Pension Benefits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 defined benefit pension plans for our executive officers.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Non-Qualified Deferred Compensation</w:t>
      </w:r>
    </w:p>
    <w:p>
      <w:pPr>
        <w:spacing w:after="0" w:line="139"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3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p>
    <w:p>
      <w:pPr>
        <w:spacing w:after="0" w:line="94" w:lineRule="exact"/>
        <w:rPr>
          <w:sz w:val="20"/>
          <w:szCs w:val="20"/>
          <w:color w:val="auto"/>
        </w:rPr>
      </w:pPr>
    </w:p>
    <w:p>
      <w:pPr>
        <w:ind w:left="1340" w:hanging="218"/>
        <w:spacing w:after="0"/>
        <w:tabs>
          <w:tab w:leader="none" w:pos="1340" w:val="left"/>
        </w:tabs>
        <w:numPr>
          <w:ilvl w:val="0"/>
          <w:numId w:val="44"/>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actual performance;</w:t>
      </w:r>
    </w:p>
    <w:p>
      <w:pPr>
        <w:spacing w:after="0" w:line="313" w:lineRule="exact"/>
        <w:rPr>
          <w:rFonts w:ascii="Arial" w:cs="Arial" w:eastAsia="Arial" w:hAnsi="Arial"/>
          <w:sz w:val="18"/>
          <w:szCs w:val="18"/>
          <w:color w:val="3C5896"/>
        </w:rPr>
      </w:pPr>
    </w:p>
    <w:p>
      <w:pPr>
        <w:ind w:left="1340"/>
        <w:spacing w:after="0"/>
        <w:rPr>
          <w:rFonts w:ascii="Arial" w:cs="Arial" w:eastAsia="Arial" w:hAnsi="Arial"/>
          <w:sz w:val="18"/>
          <w:szCs w:val="18"/>
          <w:color w:val="3C5896"/>
        </w:rPr>
      </w:pPr>
      <w:r>
        <w:rPr>
          <w:rFonts w:ascii="Arial" w:cs="Arial" w:eastAsia="Arial" w:hAnsi="Arial"/>
          <w:sz w:val="16"/>
          <w:szCs w:val="16"/>
          <w:b w:val="1"/>
          <w:bCs w:val="1"/>
          <w:color w:val="auto"/>
        </w:rPr>
        <w:t xml:space="preserve">46  </w:t>
      </w:r>
      <w:r>
        <w:rPr>
          <w:rFonts w:ascii="Arial" w:cs="Arial" w:eastAsia="Arial" w:hAnsi="Arial"/>
          <w:sz w:val="1"/>
          <w:szCs w:val="1"/>
          <w:color w:val="3C5896"/>
        </w:rPr>
        <w:drawing>
          <wp:inline distT="0" distB="0" distL="0" distR="0">
            <wp:extent cx="300355" cy="2400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1340" w:hanging="218"/>
        <w:spacing w:after="0" w:line="238" w:lineRule="auto"/>
        <w:tabs>
          <w:tab w:leader="none" w:pos="1340" w:val="left"/>
        </w:tabs>
        <w:numPr>
          <w:ilvl w:val="0"/>
          <w:numId w:val="45"/>
        </w:numPr>
        <w:rPr>
          <w:rFonts w:ascii="Arial" w:cs="Arial" w:eastAsia="Arial" w:hAnsi="Arial"/>
          <w:sz w:val="18"/>
          <w:szCs w:val="18"/>
          <w:color w:val="3C5896"/>
        </w:rPr>
      </w:pPr>
      <w:r>
        <w:rPr>
          <w:rFonts w:ascii="Arial" w:cs="Arial" w:eastAsia="Arial" w:hAnsi="Arial"/>
          <w:sz w:val="18"/>
          <w:szCs w:val="18"/>
          <w:color w:val="auto"/>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Mr. Clark and Ms. Blackwood, payable over a period of 24 months for Mr. Fahs, 18 months for Messrs. Moore and Brandman, and 12 months for Mr. Clark and Ms. Blackwood; and</w:t>
      </w:r>
    </w:p>
    <w:p>
      <w:pPr>
        <w:spacing w:after="0" w:line="94" w:lineRule="exact"/>
        <w:rPr>
          <w:rFonts w:ascii="Arial" w:cs="Arial" w:eastAsia="Arial" w:hAnsi="Arial"/>
          <w:sz w:val="18"/>
          <w:szCs w:val="18"/>
          <w:color w:val="3C5896"/>
        </w:rPr>
      </w:pPr>
    </w:p>
    <w:p>
      <w:pPr>
        <w:jc w:val="both"/>
        <w:ind w:left="1340" w:hanging="218"/>
        <w:spacing w:after="0" w:line="238" w:lineRule="auto"/>
        <w:tabs>
          <w:tab w:leader="none" w:pos="1340" w:val="left"/>
        </w:tabs>
        <w:numPr>
          <w:ilvl w:val="0"/>
          <w:numId w:val="45"/>
        </w:numPr>
        <w:rPr>
          <w:rFonts w:ascii="Arial" w:cs="Arial" w:eastAsia="Arial" w:hAnsi="Arial"/>
          <w:sz w:val="18"/>
          <w:szCs w:val="18"/>
          <w:color w:val="3C5896"/>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Mr. Clark and Ms. Blackwood.</w:t>
      </w:r>
    </w:p>
    <w:p>
      <w:pPr>
        <w:spacing w:after="0" w:line="9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 addition, upon a Qualifying Termination that occurs within the two-year period following a change in control (as defined in the Executive Severance Plan), the Executive Severance Plan provides, in addition to certain accrued obligations, for the following payments and benefits:</w:t>
      </w:r>
    </w:p>
    <w:p>
      <w:pPr>
        <w:spacing w:after="0" w:line="107" w:lineRule="exact"/>
        <w:rPr>
          <w:sz w:val="20"/>
          <w:szCs w:val="20"/>
          <w:color w:val="auto"/>
        </w:rPr>
      </w:pPr>
    </w:p>
    <w:p>
      <w:pPr>
        <w:ind w:left="1340" w:hanging="218"/>
        <w:spacing w:after="0"/>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target performance;</w:t>
      </w:r>
    </w:p>
    <w:p>
      <w:pPr>
        <w:spacing w:after="0" w:line="103" w:lineRule="exact"/>
        <w:rPr>
          <w:rFonts w:ascii="Arial" w:cs="Arial" w:eastAsia="Arial" w:hAnsi="Arial"/>
          <w:sz w:val="18"/>
          <w:szCs w:val="18"/>
          <w:color w:val="3C5896"/>
        </w:rPr>
      </w:pPr>
    </w:p>
    <w:p>
      <w:pPr>
        <w:jc w:val="both"/>
        <w:ind w:left="1340" w:hanging="218"/>
        <w:spacing w:after="0"/>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The cash severance amount, times the multiplier applicable to such executive, which is 2.5 for Mr. Fahs, 2.0 for Messrs. Moore and Brandman, and 1.5 for Mr. Clark and Ms. Blackwood, payable in a lump sum within 60 days following the covered termination;</w:t>
      </w:r>
    </w:p>
    <w:p>
      <w:pPr>
        <w:spacing w:after="0" w:line="94" w:lineRule="exact"/>
        <w:rPr>
          <w:rFonts w:ascii="Arial" w:cs="Arial" w:eastAsia="Arial" w:hAnsi="Arial"/>
          <w:sz w:val="18"/>
          <w:szCs w:val="18"/>
          <w:color w:val="3C5896"/>
        </w:rPr>
      </w:pPr>
    </w:p>
    <w:p>
      <w:pPr>
        <w:ind w:left="1340" w:hanging="218"/>
        <w:spacing w:after="0" w:line="246" w:lineRule="auto"/>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The welfare benefit for a period of 30 months for Mr. Fahs, 24 months for Messrs. Moore and Brandman, and 18 months for Mr. Clark and Ms. Blackwood; and</w:t>
      </w:r>
    </w:p>
    <w:p>
      <w:pPr>
        <w:spacing w:after="0" w:line="88" w:lineRule="exact"/>
        <w:rPr>
          <w:rFonts w:ascii="Arial" w:cs="Arial" w:eastAsia="Arial" w:hAnsi="Arial"/>
          <w:sz w:val="18"/>
          <w:szCs w:val="18"/>
          <w:color w:val="3C5896"/>
        </w:rPr>
      </w:pPr>
    </w:p>
    <w:p>
      <w:pPr>
        <w:ind w:left="1340" w:hanging="218"/>
        <w:spacing w:after="0" w:line="246" w:lineRule="auto"/>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89"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Any outstanding awards granted to NEOs under the Company’s equity plans will vest in accordance with the terms of the respective Equity Plan and the applicable award agreement, as detailed further below.</w:t>
      </w:r>
    </w:p>
    <w:p>
      <w:pPr>
        <w:spacing w:after="0" w:line="9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and 2020 Options</w:t>
      </w:r>
    </w:p>
    <w:p>
      <w:pPr>
        <w:spacing w:after="0" w:line="121"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options would become immediately vested and exercisable. Vested and exercisable options will remain exercisable until the earlier of 90 days from the termination date or the expiration of the option period, as defined in the grant agreement.</w:t>
      </w:r>
    </w:p>
    <w:p>
      <w:pPr>
        <w:spacing w:after="0" w:line="72"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options will become vested and exercisable. Vested and exercisable options will remain exercisable until the earlier of one year from the termination date or the expiration of the option period, as defined in the grant agreement.</w:t>
      </w:r>
    </w:p>
    <w:p>
      <w:pPr>
        <w:spacing w:after="0" w:line="72" w:lineRule="exact"/>
        <w:rPr>
          <w:sz w:val="20"/>
          <w:szCs w:val="20"/>
          <w:color w:val="auto"/>
        </w:rPr>
      </w:pPr>
    </w:p>
    <w:p>
      <w:pPr>
        <w:jc w:val="both"/>
        <w:ind w:left="760"/>
        <w:spacing w:after="0" w:line="258" w:lineRule="auto"/>
        <w:rPr>
          <w:sz w:val="20"/>
          <w:szCs w:val="20"/>
          <w:color w:val="auto"/>
        </w:rPr>
      </w:pPr>
      <w:r>
        <w:rPr>
          <w:rFonts w:ascii="Arial" w:cs="Arial" w:eastAsia="Arial" w:hAnsi="Arial"/>
          <w:sz w:val="18"/>
          <w:szCs w:val="18"/>
          <w:i w:val="1"/>
          <w:iCs w:val="1"/>
          <w:color w:val="auto"/>
        </w:rPr>
        <w:t xml:space="preserve">Effect of Qualifying Termination or Retirement on Vesting. </w:t>
      </w:r>
      <w:r>
        <w:rPr>
          <w:rFonts w:ascii="Arial" w:cs="Arial" w:eastAsia="Arial" w:hAnsi="Arial"/>
          <w:sz w:val="18"/>
          <w:szCs w:val="18"/>
          <w:color w:val="auto"/>
        </w:rPr>
        <w:t>Upon a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Plan),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p>
    <w:p>
      <w:pPr>
        <w:spacing w:after="0" w:line="7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21"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in the 2017 Omnibus Plan),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PSUs will be converted into time-based restricted stock equal to the greater of the target number of PSUs or the number of PSUs that would have been earned based on the actual performance as of the date of the change in</w:t>
      </w:r>
    </w:p>
    <w:p>
      <w:pPr>
        <w:spacing w:after="0" w:line="30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control. If a successor does not assume, convert, or replace the award in connection with the change in control, or upon a Qualifying Termination within the two-year period following a change in control, the converted award would become fully vested.</w:t>
      </w:r>
    </w:p>
    <w:p>
      <w:pPr>
        <w:spacing w:after="0" w:line="76"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the outstanding and unvested PSUs would become vested assuming a payout at 100% of the target award.</w:t>
      </w:r>
    </w:p>
    <w:p>
      <w:pPr>
        <w:spacing w:after="0" w:line="68"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subject to compliance with applicable restrictive covenants during the performance period, a pro rata portion of the PSUs will remain outstanding and eligible to vest based on actual performance on the last day of the performance period.</w:t>
      </w:r>
    </w:p>
    <w:p>
      <w:pPr>
        <w:spacing w:after="0" w:line="72"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Effect of Retirement on Vesting</w:t>
      </w:r>
      <w:r>
        <w:rPr>
          <w:rFonts w:ascii="Arial" w:cs="Arial" w:eastAsia="Arial" w:hAnsi="Arial"/>
          <w:sz w:val="18"/>
          <w:szCs w:val="18"/>
          <w:color w:val="auto"/>
        </w:rPr>
        <w:t>: Upon retirement of a NEO, unvested PSUs will not become vested and any PSU</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unvested as of the date of termination of employment or retirement will immediately be forfeited.</w:t>
      </w:r>
    </w:p>
    <w:p>
      <w:pPr>
        <w:spacing w:after="0" w:line="5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PSUs, unvested PSUs will not become vested following termination of employment with us for any reason, and any PSU that is unvested as of the date of termination of employment will immediately be forfeited.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1"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RSUs would become vested.</w:t>
      </w:r>
    </w:p>
    <w:p>
      <w:pPr>
        <w:spacing w:after="0" w:line="54"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RSUs would become vested.</w:t>
      </w:r>
    </w:p>
    <w:p>
      <w:pPr>
        <w:spacing w:after="0" w:line="5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a pro rata portion of the RSUs that would have vested on the next vesting date following the termination date would become vested.</w:t>
      </w:r>
    </w:p>
    <w:p>
      <w:pPr>
        <w:spacing w:after="0" w:line="72"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 Qualifying Termination on vesting of time-based RSUs, unvested RSUs will not become vested following termination of employment with us for any reason and any RSU that is unvested as of the date of termination of employment will immediately be forfeited.</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January 2, 2021. Consistent with SEC requirements, these estimated amounts have been calculated as if the NEO’s employment had been terminated as of January 2, 2021, the last day of fiscal 2020, and using the closing market price of our common stock on December 31, 2020, the last trading day in fiscal 2020 ($45.29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January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sz w:val="1"/>
          <w:szCs w:val="1"/>
          <w:color w:val="auto"/>
        </w:rPr>
        <w:drawing>
          <wp:inline distT="0" distB="0" distL="0" distR="0">
            <wp:extent cx="299720" cy="2400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8"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60" w:type="dxa"/>
            <w:vAlign w:val="bottom"/>
            <w:tcBorders>
              <w:top w:val="single" w:sz="8" w:color="3C5896"/>
              <w:left w:val="single" w:sz="8" w:color="3C5896"/>
            </w:tcBorders>
            <w:shd w:val="clear" w:color="auto" w:fill="3C5896"/>
          </w:tcPr>
          <w:p>
            <w:pPr>
              <w:spacing w:after="0"/>
              <w:rPr>
                <w:sz w:val="18"/>
                <w:szCs w:val="18"/>
                <w:color w:val="auto"/>
              </w:rPr>
            </w:pPr>
          </w:p>
        </w:tc>
        <w:tc>
          <w:tcPr>
            <w:tcW w:w="4260" w:type="dxa"/>
            <w:vAlign w:val="bottom"/>
            <w:tcBorders>
              <w:top w:val="single" w:sz="8" w:color="3C5896"/>
              <w:right w:val="single" w:sz="8" w:color="9EACCA"/>
            </w:tcBorders>
            <w:shd w:val="clear" w:color="auto" w:fill="3C5896"/>
          </w:tcPr>
          <w:p>
            <w:pPr>
              <w:spacing w:after="0"/>
              <w:rPr>
                <w:sz w:val="18"/>
                <w:szCs w:val="18"/>
                <w:color w:val="auto"/>
              </w:rPr>
            </w:pPr>
          </w:p>
        </w:tc>
        <w:tc>
          <w:tcPr>
            <w:tcW w:w="60" w:type="dxa"/>
            <w:vAlign w:val="bottom"/>
            <w:tcBorders>
              <w:top w:val="single" w:sz="8" w:color="3C5896"/>
            </w:tcBorders>
            <w:shd w:val="clear" w:color="auto" w:fill="3C5896"/>
          </w:tcPr>
          <w:p>
            <w:pPr>
              <w:spacing w:after="0"/>
              <w:rPr>
                <w:sz w:val="18"/>
                <w:szCs w:val="18"/>
                <w:color w:val="auto"/>
              </w:rPr>
            </w:pPr>
          </w:p>
        </w:tc>
        <w:tc>
          <w:tcPr>
            <w:tcW w:w="860" w:type="dxa"/>
            <w:vAlign w:val="bottom"/>
            <w:tcBorders>
              <w:top w:val="single" w:sz="8" w:color="3C5896"/>
              <w:right w:val="single" w:sz="8" w:color="9EACCA"/>
            </w:tcBorders>
            <w:shd w:val="clear" w:color="auto" w:fill="3C5896"/>
          </w:tcPr>
          <w:p>
            <w:pPr>
              <w:spacing w:after="0"/>
              <w:rPr>
                <w:sz w:val="18"/>
                <w:szCs w:val="18"/>
                <w:color w:val="auto"/>
              </w:rPr>
            </w:pPr>
          </w:p>
        </w:tc>
        <w:tc>
          <w:tcPr>
            <w:tcW w:w="1120" w:type="dxa"/>
            <w:vAlign w:val="bottom"/>
            <w:tcBorders>
              <w:top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Continuation</w:t>
            </w:r>
          </w:p>
        </w:tc>
        <w:tc>
          <w:tcPr>
            <w:tcW w:w="720" w:type="dxa"/>
            <w:vAlign w:val="bottom"/>
            <w:tcBorders>
              <w:top w:val="single" w:sz="8" w:color="3C5896"/>
              <w:right w:val="single" w:sz="8" w:color="9EACCA"/>
            </w:tcBorders>
            <w:shd w:val="clear" w:color="auto" w:fill="3C5896"/>
          </w:tcPr>
          <w:p>
            <w:pPr>
              <w:spacing w:after="0"/>
              <w:rPr>
                <w:sz w:val="18"/>
                <w:szCs w:val="18"/>
                <w:color w:val="auto"/>
              </w:rPr>
            </w:pPr>
          </w:p>
        </w:tc>
        <w:tc>
          <w:tcPr>
            <w:tcW w:w="160" w:type="dxa"/>
            <w:vAlign w:val="bottom"/>
            <w:tcBorders>
              <w:top w:val="single" w:sz="8" w:color="3C5896"/>
            </w:tcBorders>
            <w:shd w:val="clear" w:color="auto" w:fill="3C5896"/>
          </w:tcPr>
          <w:p>
            <w:pPr>
              <w:spacing w:after="0"/>
              <w:rPr>
                <w:sz w:val="18"/>
                <w:szCs w:val="18"/>
                <w:color w:val="auto"/>
              </w:rPr>
            </w:pPr>
          </w:p>
        </w:tc>
        <w:tc>
          <w:tcPr>
            <w:tcW w:w="940" w:type="dxa"/>
            <w:vAlign w:val="bottom"/>
            <w:tcBorders>
              <w:top w:val="single" w:sz="8" w:color="3C5896"/>
              <w:right w:val="single" w:sz="8" w:color="9EACCA"/>
            </w:tcBorders>
            <w:shd w:val="clear" w:color="auto" w:fill="3C5896"/>
          </w:tcPr>
          <w:p>
            <w:pPr>
              <w:spacing w:after="0"/>
              <w:rPr>
                <w:sz w:val="18"/>
                <w:szCs w:val="18"/>
                <w:color w:val="auto"/>
              </w:rPr>
            </w:pPr>
          </w:p>
        </w:tc>
        <w:tc>
          <w:tcPr>
            <w:tcW w:w="1020" w:type="dxa"/>
            <w:vAlign w:val="bottom"/>
            <w:tcBorders>
              <w:top w:val="single" w:sz="8" w:color="3C5896"/>
              <w:right w:val="single" w:sz="8" w:color="3C5896"/>
            </w:tcBorders>
            <w:shd w:val="clear" w:color="auto" w:fill="3C589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4260" w:type="dxa"/>
            <w:vAlign w:val="bottom"/>
            <w:tcBorders>
              <w:right w:val="single" w:sz="8" w:color="9EACCA"/>
            </w:tcBorders>
            <w:shd w:val="clear" w:color="auto" w:fill="3C5896"/>
          </w:tcPr>
          <w:p>
            <w:pPr>
              <w:spacing w:after="0"/>
              <w:rPr>
                <w:sz w:val="16"/>
                <w:szCs w:val="16"/>
                <w:color w:val="auto"/>
              </w:rPr>
            </w:pP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Severance</w:t>
            </w:r>
          </w:p>
        </w:tc>
        <w:tc>
          <w:tcPr>
            <w:tcW w:w="11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of Health</w:t>
            </w: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Stock</w:t>
            </w:r>
          </w:p>
        </w:tc>
        <w:tc>
          <w:tcPr>
            <w:tcW w:w="110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6"/>
                <w:szCs w:val="16"/>
                <w:b w:val="1"/>
                <w:bCs w:val="1"/>
                <w:color w:val="FFFFFF"/>
              </w:rPr>
              <w:t>Performance</w:t>
            </w:r>
          </w:p>
        </w:tc>
        <w:tc>
          <w:tcPr>
            <w:tcW w:w="1020" w:type="dxa"/>
            <w:vAlign w:val="bottom"/>
            <w:tcBorders>
              <w:right w:val="single" w:sz="8" w:color="3C5896"/>
            </w:tcBorders>
            <w:shd w:val="clear" w:color="auto" w:fill="3C5896"/>
          </w:tcPr>
          <w:p>
            <w:pPr>
              <w:jc w:val="center"/>
              <w:ind w:right="19"/>
              <w:spacing w:after="0"/>
              <w:rPr>
                <w:sz w:val="20"/>
                <w:szCs w:val="20"/>
                <w:color w:val="auto"/>
              </w:rPr>
            </w:pPr>
            <w:r>
              <w:rPr>
                <w:rFonts w:ascii="Arial" w:cs="Arial" w:eastAsia="Arial" w:hAnsi="Arial"/>
                <w:sz w:val="16"/>
                <w:szCs w:val="16"/>
                <w:b w:val="1"/>
                <w:bCs w:val="1"/>
                <w:color w:val="FFFFFF"/>
              </w:rPr>
              <w:t>Restricted</w:t>
            </w:r>
          </w:p>
        </w:tc>
        <w:tc>
          <w:tcPr>
            <w:tcW w:w="0" w:type="dxa"/>
            <w:vAlign w:val="bottom"/>
          </w:tcPr>
          <w:p>
            <w:pPr>
              <w:spacing w:after="0"/>
              <w:rPr>
                <w:sz w:val="1"/>
                <w:szCs w:val="1"/>
                <w:color w:val="auto"/>
              </w:rPr>
            </w:pPr>
          </w:p>
        </w:tc>
      </w:tr>
      <w:tr>
        <w:trPr>
          <w:trHeight w:val="167"/>
        </w:trPr>
        <w:tc>
          <w:tcPr>
            <w:tcW w:w="60" w:type="dxa"/>
            <w:vAlign w:val="bottom"/>
            <w:tcBorders>
              <w:left w:val="single" w:sz="8" w:color="3C5896"/>
            </w:tcBorders>
            <w:shd w:val="clear" w:color="auto" w:fill="3C5896"/>
          </w:tcPr>
          <w:p>
            <w:pPr>
              <w:spacing w:after="0"/>
              <w:rPr>
                <w:sz w:val="14"/>
                <w:szCs w:val="14"/>
                <w:color w:val="auto"/>
              </w:rPr>
            </w:pPr>
          </w:p>
        </w:tc>
        <w:tc>
          <w:tcPr>
            <w:tcW w:w="4260" w:type="dxa"/>
            <w:vAlign w:val="bottom"/>
            <w:tcBorders>
              <w:right w:val="single" w:sz="8" w:color="9EACCA"/>
            </w:tcBorders>
            <w:shd w:val="clear" w:color="auto" w:fill="3C5896"/>
          </w:tcPr>
          <w:p>
            <w:pPr>
              <w:spacing w:after="0"/>
              <w:rPr>
                <w:sz w:val="14"/>
                <w:szCs w:val="14"/>
                <w:color w:val="auto"/>
              </w:rPr>
            </w:pPr>
          </w:p>
        </w:tc>
        <w:tc>
          <w:tcPr>
            <w:tcW w:w="60" w:type="dxa"/>
            <w:vAlign w:val="bottom"/>
            <w:shd w:val="clear" w:color="auto" w:fill="3C5896"/>
          </w:tcPr>
          <w:p>
            <w:pPr>
              <w:spacing w:after="0"/>
              <w:rPr>
                <w:sz w:val="14"/>
                <w:szCs w:val="14"/>
                <w:color w:val="auto"/>
              </w:rPr>
            </w:pPr>
          </w:p>
        </w:tc>
        <w:tc>
          <w:tcPr>
            <w:tcW w:w="860" w:type="dxa"/>
            <w:vAlign w:val="bottom"/>
            <w:tcBorders>
              <w:right w:val="single" w:sz="8" w:color="9EACCA"/>
            </w:tcBorders>
            <w:shd w:val="clear" w:color="auto" w:fill="3C5896"/>
          </w:tcPr>
          <w:p>
            <w:pPr>
              <w:jc w:val="center"/>
              <w:ind w:right="39"/>
              <w:spacing w:after="0" w:line="167" w:lineRule="exact"/>
              <w:rPr>
                <w:sz w:val="20"/>
                <w:szCs w:val="20"/>
                <w:color w:val="auto"/>
              </w:rPr>
            </w:pPr>
            <w:r>
              <w:rPr>
                <w:rFonts w:ascii="Arial" w:cs="Arial" w:eastAsia="Arial" w:hAnsi="Arial"/>
                <w:sz w:val="16"/>
                <w:szCs w:val="16"/>
                <w:b w:val="1"/>
                <w:bCs w:val="1"/>
                <w:color w:val="FFFFFF"/>
                <w:w w:val="99"/>
              </w:rPr>
              <w:t>Benefit</w:t>
            </w:r>
          </w:p>
        </w:tc>
        <w:tc>
          <w:tcPr>
            <w:tcW w:w="1120" w:type="dxa"/>
            <w:vAlign w:val="bottom"/>
            <w:tcBorders>
              <w:right w:val="single" w:sz="8" w:color="9EACCA"/>
            </w:tcBorders>
            <w:gridSpan w:val="2"/>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rPr>
              <w:t>Benefits</w:t>
            </w:r>
          </w:p>
        </w:tc>
        <w:tc>
          <w:tcPr>
            <w:tcW w:w="72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w w:val="99"/>
              </w:rPr>
              <w:t>Options</w:t>
            </w:r>
          </w:p>
        </w:tc>
        <w:tc>
          <w:tcPr>
            <w:tcW w:w="1100" w:type="dxa"/>
            <w:vAlign w:val="bottom"/>
            <w:tcBorders>
              <w:right w:val="single" w:sz="8" w:color="9EACCA"/>
            </w:tcBorders>
            <w:gridSpan w:val="2"/>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w w:val="99"/>
              </w:rPr>
              <w:t>Stock Units</w:t>
            </w:r>
          </w:p>
        </w:tc>
        <w:tc>
          <w:tcPr>
            <w:tcW w:w="1020" w:type="dxa"/>
            <w:vAlign w:val="bottom"/>
            <w:tcBorders>
              <w:right w:val="single" w:sz="8" w:color="3C5896"/>
            </w:tcBorders>
            <w:shd w:val="clear" w:color="auto" w:fill="3C5896"/>
          </w:tcPr>
          <w:p>
            <w:pPr>
              <w:jc w:val="center"/>
              <w:ind w:right="19"/>
              <w:spacing w:after="0" w:line="167" w:lineRule="exact"/>
              <w:rPr>
                <w:sz w:val="20"/>
                <w:szCs w:val="20"/>
                <w:color w:val="auto"/>
              </w:rPr>
            </w:pPr>
            <w:r>
              <w:rPr>
                <w:rFonts w:ascii="Arial" w:cs="Arial" w:eastAsia="Arial" w:hAnsi="Arial"/>
                <w:sz w:val="16"/>
                <w:szCs w:val="16"/>
                <w:b w:val="1"/>
                <w:bCs w:val="1"/>
                <w:color w:val="FFFFFF"/>
                <w:w w:val="99"/>
              </w:rPr>
              <w:t>Stock Units</w:t>
            </w: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shd w:val="clear" w:color="auto" w:fill="3C5896"/>
          </w:tcPr>
          <w:p>
            <w:pPr>
              <w:spacing w:after="0"/>
              <w:rPr>
                <w:sz w:val="21"/>
                <w:szCs w:val="21"/>
                <w:color w:val="auto"/>
              </w:rPr>
            </w:pPr>
          </w:p>
        </w:tc>
        <w:tc>
          <w:tcPr>
            <w:tcW w:w="4260" w:type="dxa"/>
            <w:vAlign w:val="bottom"/>
            <w:tcBorders>
              <w:right w:val="single" w:sz="8" w:color="9EACCA"/>
            </w:tcBorders>
            <w:shd w:val="clear" w:color="auto" w:fill="3C5896"/>
          </w:tcPr>
          <w:p>
            <w:pPr>
              <w:ind w:left="1940"/>
              <w:spacing w:after="0"/>
              <w:rPr>
                <w:sz w:val="20"/>
                <w:szCs w:val="20"/>
                <w:color w:val="auto"/>
              </w:rPr>
            </w:pPr>
            <w:r>
              <w:rPr>
                <w:rFonts w:ascii="Arial" w:cs="Arial" w:eastAsia="Arial" w:hAnsi="Arial"/>
                <w:sz w:val="16"/>
                <w:szCs w:val="16"/>
                <w:b w:val="1"/>
                <w:bCs w:val="1"/>
                <w:color w:val="FFFFFF"/>
              </w:rPr>
              <w:t>NEO</w:t>
            </w:r>
          </w:p>
        </w:tc>
        <w:tc>
          <w:tcPr>
            <w:tcW w:w="920" w:type="dxa"/>
            <w:vAlign w:val="bottom"/>
            <w:tcBorders>
              <w:right w:val="single" w:sz="8" w:color="9EACCA"/>
            </w:tcBorders>
            <w:gridSpan w:val="2"/>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(1)</w:t>
            </w:r>
          </w:p>
        </w:tc>
        <w:tc>
          <w:tcPr>
            <w:tcW w:w="1120" w:type="dxa"/>
            <w:vAlign w:val="bottom"/>
            <w:tcBorders>
              <w:right w:val="single" w:sz="8" w:color="9EACCA"/>
            </w:tcBorders>
            <w:gridSpan w:val="2"/>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(2)</w:t>
            </w:r>
          </w:p>
        </w:tc>
        <w:tc>
          <w:tcPr>
            <w:tcW w:w="72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(3)</w:t>
            </w:r>
          </w:p>
        </w:tc>
        <w:tc>
          <w:tcPr>
            <w:tcW w:w="1100" w:type="dxa"/>
            <w:vAlign w:val="bottom"/>
            <w:tcBorders>
              <w:right w:val="single" w:sz="8" w:color="9EACCA"/>
            </w:tcBorders>
            <w:gridSpan w:val="2"/>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(4)</w:t>
            </w:r>
          </w:p>
        </w:tc>
        <w:tc>
          <w:tcPr>
            <w:tcW w:w="1020" w:type="dxa"/>
            <w:vAlign w:val="bottom"/>
            <w:tcBorders>
              <w:right w:val="single" w:sz="8" w:color="3C5896"/>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(5)</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L. Reade Fahs</w:t>
            </w:r>
          </w:p>
        </w:tc>
        <w:tc>
          <w:tcPr>
            <w:tcW w:w="60" w:type="dxa"/>
            <w:vAlign w:val="bottom"/>
          </w:tcPr>
          <w:p>
            <w:pPr>
              <w:spacing w:after="0"/>
              <w:rPr>
                <w:sz w:val="20"/>
                <w:szCs w:val="20"/>
                <w:color w:val="auto"/>
              </w:rPr>
            </w:pPr>
          </w:p>
        </w:tc>
        <w:tc>
          <w:tcPr>
            <w:tcW w:w="860" w:type="dxa"/>
            <w:vAlign w:val="bottom"/>
            <w:tcBorders>
              <w:right w:val="single" w:sz="8" w:color="9EACCA"/>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right w:val="single" w:sz="8" w:color="9EACCA"/>
            </w:tcBorders>
          </w:tcPr>
          <w:p>
            <w:pPr>
              <w:spacing w:after="0"/>
              <w:rPr>
                <w:sz w:val="20"/>
                <w:szCs w:val="20"/>
                <w:color w:val="auto"/>
              </w:rPr>
            </w:pPr>
          </w:p>
        </w:tc>
        <w:tc>
          <w:tcPr>
            <w:tcW w:w="720" w:type="dxa"/>
            <w:vAlign w:val="bottom"/>
            <w:tcBorders>
              <w:right w:val="single" w:sz="8" w:color="9EACCA"/>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right w:val="single" w:sz="8" w:color="9EACCA"/>
            </w:tcBorders>
          </w:tcPr>
          <w:p>
            <w:pPr>
              <w:spacing w:after="0"/>
              <w:rPr>
                <w:sz w:val="20"/>
                <w:szCs w:val="20"/>
                <w:color w:val="auto"/>
              </w:rPr>
            </w:pPr>
          </w:p>
        </w:tc>
        <w:tc>
          <w:tcPr>
            <w:tcW w:w="102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 w:type="dxa"/>
            <w:vAlign w:val="bottom"/>
            <w:tcBorders>
              <w:left w:val="single" w:sz="8" w:color="3C5896"/>
            </w:tcBorders>
          </w:tcPr>
          <w:p>
            <w:pPr>
              <w:spacing w:after="0"/>
              <w:rPr>
                <w:sz w:val="22"/>
                <w:szCs w:val="22"/>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gridSpan w:val="2"/>
          </w:tcPr>
          <w:p>
            <w:pPr>
              <w:jc w:val="right"/>
              <w:ind w:right="19"/>
              <w:spacing w:after="0"/>
              <w:rPr>
                <w:sz w:val="20"/>
                <w:szCs w:val="20"/>
                <w:color w:val="auto"/>
              </w:rPr>
            </w:pPr>
            <w:r>
              <w:rPr>
                <w:rFonts w:ascii="Arial" w:cs="Arial" w:eastAsia="Arial" w:hAnsi="Arial"/>
                <w:sz w:val="16"/>
                <w:szCs w:val="16"/>
                <w:color w:val="auto"/>
              </w:rPr>
              <w:t>3,820,000</w:t>
            </w:r>
          </w:p>
        </w:tc>
        <w:tc>
          <w:tcPr>
            <w:tcW w:w="1120" w:type="dxa"/>
            <w:vAlign w:val="bottom"/>
            <w:tcBorders>
              <w:right w:val="single" w:sz="8" w:color="9EACCA"/>
            </w:tcBorders>
            <w:gridSpan w:val="2"/>
          </w:tcPr>
          <w:p>
            <w:pPr>
              <w:jc w:val="right"/>
              <w:ind w:right="239"/>
              <w:spacing w:after="0"/>
              <w:rPr>
                <w:sz w:val="20"/>
                <w:szCs w:val="20"/>
                <w:color w:val="auto"/>
              </w:rPr>
            </w:pPr>
            <w:r>
              <w:rPr>
                <w:rFonts w:ascii="Arial" w:cs="Arial" w:eastAsia="Arial" w:hAnsi="Arial"/>
                <w:sz w:val="16"/>
                <w:szCs w:val="16"/>
                <w:color w:val="auto"/>
              </w:rPr>
              <w:t>2,351</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346,153</w:t>
            </w:r>
          </w:p>
        </w:tc>
        <w:tc>
          <w:tcPr>
            <w:tcW w:w="160" w:type="dxa"/>
            <w:vAlign w:val="bottom"/>
          </w:tcPr>
          <w:p>
            <w:pPr>
              <w:spacing w:after="0"/>
              <w:rPr>
                <w:sz w:val="22"/>
                <w:szCs w:val="22"/>
                <w:color w:val="auto"/>
              </w:rPr>
            </w:pPr>
          </w:p>
        </w:tc>
        <w:tc>
          <w:tcPr>
            <w:tcW w:w="94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206,468</w:t>
            </w:r>
          </w:p>
        </w:tc>
        <w:tc>
          <w:tcPr>
            <w:tcW w:w="0" w:type="dxa"/>
            <w:vAlign w:val="bottom"/>
          </w:tcPr>
          <w:p>
            <w:pPr>
              <w:spacing w:after="0"/>
              <w:rPr>
                <w:sz w:val="1"/>
                <w:szCs w:val="1"/>
                <w:color w:val="auto"/>
              </w:rPr>
            </w:pPr>
          </w:p>
        </w:tc>
      </w:tr>
      <w:tr>
        <w:trPr>
          <w:trHeight w:val="222"/>
        </w:trPr>
        <w:tc>
          <w:tcPr>
            <w:tcW w:w="60" w:type="dxa"/>
            <w:vAlign w:val="bottom"/>
            <w:tcBorders>
              <w:left w:val="single" w:sz="8" w:color="3C5896"/>
            </w:tcBorders>
          </w:tcPr>
          <w:p>
            <w:pPr>
              <w:spacing w:after="0"/>
              <w:rPr>
                <w:sz w:val="19"/>
                <w:szCs w:val="19"/>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gridSpan w:val="2"/>
          </w:tcPr>
          <w:p>
            <w:pPr>
              <w:jc w:val="right"/>
              <w:ind w:right="19"/>
              <w:spacing w:after="0"/>
              <w:rPr>
                <w:sz w:val="20"/>
                <w:szCs w:val="20"/>
                <w:color w:val="auto"/>
              </w:rPr>
            </w:pPr>
            <w:r>
              <w:rPr>
                <w:rFonts w:ascii="Arial" w:cs="Arial" w:eastAsia="Arial" w:hAnsi="Arial"/>
                <w:sz w:val="16"/>
                <w:szCs w:val="16"/>
                <w:color w:val="auto"/>
              </w:rPr>
              <w:t>4,795,000</w:t>
            </w:r>
          </w:p>
        </w:tc>
        <w:tc>
          <w:tcPr>
            <w:tcW w:w="1120" w:type="dxa"/>
            <w:vAlign w:val="bottom"/>
            <w:tcBorders>
              <w:right w:val="single" w:sz="8" w:color="9EACCA"/>
            </w:tcBorders>
            <w:gridSpan w:val="2"/>
          </w:tcPr>
          <w:p>
            <w:pPr>
              <w:jc w:val="right"/>
              <w:ind w:right="239"/>
              <w:spacing w:after="0"/>
              <w:rPr>
                <w:sz w:val="20"/>
                <w:szCs w:val="20"/>
                <w:color w:val="auto"/>
              </w:rPr>
            </w:pPr>
            <w:r>
              <w:rPr>
                <w:rFonts w:ascii="Arial" w:cs="Arial" w:eastAsia="Arial" w:hAnsi="Arial"/>
                <w:sz w:val="16"/>
                <w:szCs w:val="16"/>
                <w:color w:val="auto"/>
              </w:rPr>
              <w:t>2,939</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962,906</w:t>
            </w:r>
          </w:p>
        </w:tc>
        <w:tc>
          <w:tcPr>
            <w:tcW w:w="1100" w:type="dxa"/>
            <w:vAlign w:val="bottom"/>
            <w:tcBorders>
              <w:right w:val="single" w:sz="8" w:color="9EACCA"/>
            </w:tcBorders>
            <w:gridSpan w:val="2"/>
          </w:tcPr>
          <w:p>
            <w:pPr>
              <w:jc w:val="right"/>
              <w:ind w:right="119"/>
              <w:spacing w:after="0"/>
              <w:rPr>
                <w:sz w:val="20"/>
                <w:szCs w:val="20"/>
                <w:color w:val="auto"/>
              </w:rPr>
            </w:pPr>
            <w:r>
              <w:rPr>
                <w:rFonts w:ascii="Arial" w:cs="Arial" w:eastAsia="Arial" w:hAnsi="Arial"/>
                <w:sz w:val="16"/>
                <w:szCs w:val="16"/>
                <w:color w:val="auto"/>
              </w:rPr>
              <w:t>1,531,662</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731,660</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Pr>
          <w:p>
            <w:pPr>
              <w:spacing w:after="0"/>
              <w:rPr>
                <w:sz w:val="18"/>
                <w:szCs w:val="18"/>
                <w:color w:val="auto"/>
              </w:rPr>
            </w:pPr>
          </w:p>
        </w:tc>
        <w:tc>
          <w:tcPr>
            <w:tcW w:w="86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962,906</w:t>
            </w:r>
          </w:p>
        </w:tc>
        <w:tc>
          <w:tcPr>
            <w:tcW w:w="1100" w:type="dxa"/>
            <w:vAlign w:val="bottom"/>
            <w:tcBorders>
              <w:right w:val="single" w:sz="8" w:color="9EACCA"/>
            </w:tcBorders>
            <w:gridSpan w:val="2"/>
          </w:tcPr>
          <w:p>
            <w:pPr>
              <w:jc w:val="right"/>
              <w:ind w:right="119"/>
              <w:spacing w:after="0"/>
              <w:rPr>
                <w:sz w:val="20"/>
                <w:szCs w:val="20"/>
                <w:color w:val="auto"/>
              </w:rPr>
            </w:pPr>
            <w:r>
              <w:rPr>
                <w:rFonts w:ascii="Arial" w:cs="Arial" w:eastAsia="Arial" w:hAnsi="Arial"/>
                <w:sz w:val="16"/>
                <w:szCs w:val="16"/>
                <w:color w:val="auto"/>
              </w:rPr>
              <w:t>2,911,241</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731,660</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tcPr>
          <w:p>
            <w:pPr>
              <w:spacing w:after="0"/>
              <w:rPr>
                <w:sz w:val="2"/>
                <w:szCs w:val="2"/>
                <w:color w:val="auto"/>
              </w:rPr>
            </w:pPr>
          </w:p>
        </w:tc>
        <w:tc>
          <w:tcPr>
            <w:tcW w:w="426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right w:val="single" w:sz="8" w:color="9EACCA"/>
            </w:tcBorders>
          </w:tcPr>
          <w:p>
            <w:pPr>
              <w:spacing w:after="0"/>
              <w:rPr>
                <w:sz w:val="2"/>
                <w:szCs w:val="2"/>
                <w:color w:val="auto"/>
              </w:rPr>
            </w:pPr>
          </w:p>
        </w:tc>
        <w:tc>
          <w:tcPr>
            <w:tcW w:w="10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Patrick R. Moore</w:t>
            </w:r>
          </w:p>
        </w:tc>
        <w:tc>
          <w:tcPr>
            <w:tcW w:w="60" w:type="dxa"/>
            <w:vAlign w:val="bottom"/>
            <w:shd w:val="clear" w:color="auto" w:fill="CCCCCC"/>
          </w:tcPr>
          <w:p>
            <w:pPr>
              <w:spacing w:after="0"/>
              <w:rPr>
                <w:sz w:val="20"/>
                <w:szCs w:val="20"/>
                <w:color w:val="auto"/>
              </w:rPr>
            </w:pPr>
          </w:p>
        </w:tc>
        <w:tc>
          <w:tcPr>
            <w:tcW w:w="860" w:type="dxa"/>
            <w:vAlign w:val="bottom"/>
            <w:tcBorders>
              <w:right w:val="single" w:sz="8" w:color="9EACCA"/>
            </w:tcBorders>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840" w:type="dxa"/>
            <w:vAlign w:val="bottom"/>
            <w:tcBorders>
              <w:right w:val="single" w:sz="8" w:color="9EACCA"/>
            </w:tcBorders>
            <w:shd w:val="clear" w:color="auto" w:fill="CCCCCC"/>
          </w:tcPr>
          <w:p>
            <w:pPr>
              <w:spacing w:after="0"/>
              <w:rPr>
                <w:sz w:val="20"/>
                <w:szCs w:val="20"/>
                <w:color w:val="auto"/>
              </w:rPr>
            </w:pPr>
          </w:p>
        </w:tc>
        <w:tc>
          <w:tcPr>
            <w:tcW w:w="720" w:type="dxa"/>
            <w:vAlign w:val="bottom"/>
            <w:tcBorders>
              <w:right w:val="single" w:sz="8" w:color="9EACCA"/>
            </w:tcBorders>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940" w:type="dxa"/>
            <w:vAlign w:val="bottom"/>
            <w:tcBorders>
              <w:right w:val="single" w:sz="8" w:color="9EACCA"/>
            </w:tcBorders>
            <w:shd w:val="clear" w:color="auto" w:fill="CCCCCC"/>
          </w:tcPr>
          <w:p>
            <w:pPr>
              <w:spacing w:after="0"/>
              <w:rPr>
                <w:sz w:val="20"/>
                <w:szCs w:val="20"/>
                <w:color w:val="auto"/>
              </w:rPr>
            </w:pPr>
          </w:p>
        </w:tc>
        <w:tc>
          <w:tcPr>
            <w:tcW w:w="102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3C5896"/>
            </w:tcBorders>
            <w:shd w:val="clear" w:color="auto" w:fill="CCCCCC"/>
          </w:tcPr>
          <w:p>
            <w:pPr>
              <w:spacing w:after="0"/>
              <w:rPr>
                <w:sz w:val="21"/>
                <w:szCs w:val="21"/>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60" w:type="dxa"/>
            <w:vAlign w:val="bottom"/>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1,237,500</w:t>
            </w:r>
          </w:p>
        </w:tc>
        <w:tc>
          <w:tcPr>
            <w:tcW w:w="280" w:type="dxa"/>
            <w:vAlign w:val="bottom"/>
            <w:shd w:val="clear" w:color="auto" w:fill="CCCCCC"/>
          </w:tcPr>
          <w:p>
            <w:pPr>
              <w:spacing w:after="0"/>
              <w:rPr>
                <w:sz w:val="21"/>
                <w:szCs w:val="21"/>
                <w:color w:val="auto"/>
              </w:rPr>
            </w:pPr>
          </w:p>
        </w:tc>
        <w:tc>
          <w:tcPr>
            <w:tcW w:w="84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113,896</w:t>
            </w:r>
          </w:p>
        </w:tc>
        <w:tc>
          <w:tcPr>
            <w:tcW w:w="160" w:type="dxa"/>
            <w:vAlign w:val="bottom"/>
            <w:shd w:val="clear" w:color="auto" w:fill="CCCCCC"/>
          </w:tcPr>
          <w:p>
            <w:pPr>
              <w:spacing w:after="0"/>
              <w:rPr>
                <w:sz w:val="21"/>
                <w:szCs w:val="21"/>
                <w:color w:val="auto"/>
              </w:rPr>
            </w:pPr>
          </w:p>
        </w:tc>
        <w:tc>
          <w:tcPr>
            <w:tcW w:w="94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371,627</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Change in Control</w:t>
            </w:r>
          </w:p>
        </w:tc>
        <w:tc>
          <w:tcPr>
            <w:tcW w:w="60" w:type="dxa"/>
            <w:vAlign w:val="bottom"/>
            <w:shd w:val="clear" w:color="auto" w:fill="CCCCCC"/>
          </w:tcPr>
          <w:p>
            <w:pPr>
              <w:spacing w:after="0"/>
              <w:rPr>
                <w:sz w:val="20"/>
                <w:szCs w:val="20"/>
                <w:color w:val="auto"/>
              </w:rPr>
            </w:pPr>
          </w:p>
        </w:tc>
        <w:tc>
          <w:tcPr>
            <w:tcW w:w="86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1,670,000</w:t>
            </w:r>
          </w:p>
        </w:tc>
        <w:tc>
          <w:tcPr>
            <w:tcW w:w="280" w:type="dxa"/>
            <w:vAlign w:val="bottom"/>
            <w:shd w:val="clear" w:color="auto" w:fill="CCCCCC"/>
          </w:tcPr>
          <w:p>
            <w:pPr>
              <w:spacing w:after="0"/>
              <w:rPr>
                <w:sz w:val="20"/>
                <w:szCs w:val="20"/>
                <w:color w:val="auto"/>
              </w:rPr>
            </w:pPr>
          </w:p>
        </w:tc>
        <w:tc>
          <w:tcPr>
            <w:tcW w:w="84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333,270</w:t>
            </w:r>
          </w:p>
        </w:tc>
        <w:tc>
          <w:tcPr>
            <w:tcW w:w="160" w:type="dxa"/>
            <w:vAlign w:val="bottom"/>
            <w:shd w:val="clear" w:color="auto" w:fill="CCCCCC"/>
          </w:tcPr>
          <w:p>
            <w:pPr>
              <w:spacing w:after="0"/>
              <w:rPr>
                <w:sz w:val="20"/>
                <w:szCs w:val="20"/>
                <w:color w:val="auto"/>
              </w:rPr>
            </w:pPr>
          </w:p>
        </w:tc>
        <w:tc>
          <w:tcPr>
            <w:tcW w:w="94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487,750</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822,331</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42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Borders>
              <w:bottom w:val="single" w:sz="8" w:color="CCCCCC"/>
            </w:tcBorders>
            <w:shd w:val="clear" w:color="auto" w:fill="CCCCCC"/>
          </w:tcPr>
          <w:p>
            <w:pPr>
              <w:spacing w:after="0"/>
              <w:rPr>
                <w:sz w:val="19"/>
                <w:szCs w:val="19"/>
                <w:color w:val="auto"/>
              </w:rPr>
            </w:pPr>
          </w:p>
        </w:tc>
        <w:tc>
          <w:tcPr>
            <w:tcW w:w="860" w:type="dxa"/>
            <w:vAlign w:val="bottom"/>
            <w:tcBorders>
              <w:bottom w:val="single" w:sz="8" w:color="CCCCCC"/>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333,270</w:t>
            </w:r>
          </w:p>
        </w:tc>
        <w:tc>
          <w:tcPr>
            <w:tcW w:w="16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1,036,507</w:t>
            </w:r>
          </w:p>
        </w:tc>
        <w:tc>
          <w:tcPr>
            <w:tcW w:w="1020" w:type="dxa"/>
            <w:vAlign w:val="bottom"/>
            <w:tcBorders>
              <w:bottom w:val="single" w:sz="8" w:color="CCCCCC"/>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822,331</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Bill Clark</w:t>
            </w:r>
          </w:p>
        </w:tc>
        <w:tc>
          <w:tcPr>
            <w:tcW w:w="60" w:type="dxa"/>
            <w:vAlign w:val="bottom"/>
          </w:tcPr>
          <w:p>
            <w:pPr>
              <w:spacing w:after="0"/>
              <w:rPr>
                <w:sz w:val="20"/>
                <w:szCs w:val="20"/>
                <w:color w:val="auto"/>
              </w:rPr>
            </w:pPr>
          </w:p>
        </w:tc>
        <w:tc>
          <w:tcPr>
            <w:tcW w:w="860" w:type="dxa"/>
            <w:vAlign w:val="bottom"/>
            <w:tcBorders>
              <w:right w:val="single" w:sz="8" w:color="9EACCA"/>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right w:val="single" w:sz="8" w:color="9EACCA"/>
            </w:tcBorders>
          </w:tcPr>
          <w:p>
            <w:pPr>
              <w:spacing w:after="0"/>
              <w:rPr>
                <w:sz w:val="20"/>
                <w:szCs w:val="20"/>
                <w:color w:val="auto"/>
              </w:rPr>
            </w:pPr>
          </w:p>
        </w:tc>
        <w:tc>
          <w:tcPr>
            <w:tcW w:w="720" w:type="dxa"/>
            <w:vAlign w:val="bottom"/>
            <w:tcBorders>
              <w:right w:val="single" w:sz="8" w:color="9EACCA"/>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right w:val="single" w:sz="8" w:color="9EACCA"/>
            </w:tcBorders>
          </w:tcPr>
          <w:p>
            <w:pPr>
              <w:spacing w:after="0"/>
              <w:rPr>
                <w:sz w:val="20"/>
                <w:szCs w:val="20"/>
                <w:color w:val="auto"/>
              </w:rPr>
            </w:pPr>
          </w:p>
        </w:tc>
        <w:tc>
          <w:tcPr>
            <w:tcW w:w="102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 w:type="dxa"/>
            <w:vAlign w:val="bottom"/>
            <w:tcBorders>
              <w:left w:val="single" w:sz="8" w:color="3C5896"/>
            </w:tcBorders>
          </w:tcPr>
          <w:p>
            <w:pPr>
              <w:spacing w:after="0"/>
              <w:rPr>
                <w:sz w:val="22"/>
                <w:szCs w:val="22"/>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gridSpan w:val="2"/>
          </w:tcPr>
          <w:p>
            <w:pPr>
              <w:jc w:val="right"/>
              <w:ind w:right="19"/>
              <w:spacing w:after="0"/>
              <w:rPr>
                <w:sz w:val="20"/>
                <w:szCs w:val="20"/>
                <w:color w:val="auto"/>
              </w:rPr>
            </w:pPr>
            <w:r>
              <w:rPr>
                <w:rFonts w:ascii="Arial" w:cs="Arial" w:eastAsia="Arial" w:hAnsi="Arial"/>
                <w:sz w:val="16"/>
                <w:szCs w:val="16"/>
                <w:color w:val="auto"/>
              </w:rPr>
              <w:t>525,000</w:t>
            </w:r>
          </w:p>
        </w:tc>
        <w:tc>
          <w:tcPr>
            <w:tcW w:w="1120" w:type="dxa"/>
            <w:vAlign w:val="bottom"/>
            <w:tcBorders>
              <w:right w:val="single" w:sz="8" w:color="9EACCA"/>
            </w:tcBorders>
            <w:gridSpan w:val="2"/>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91,998</w:t>
            </w:r>
          </w:p>
        </w:tc>
        <w:tc>
          <w:tcPr>
            <w:tcW w:w="160" w:type="dxa"/>
            <w:vAlign w:val="bottom"/>
          </w:tcPr>
          <w:p>
            <w:pPr>
              <w:spacing w:after="0"/>
              <w:rPr>
                <w:sz w:val="22"/>
                <w:szCs w:val="22"/>
                <w:color w:val="auto"/>
              </w:rPr>
            </w:pPr>
          </w:p>
        </w:tc>
        <w:tc>
          <w:tcPr>
            <w:tcW w:w="94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309,245</w:t>
            </w:r>
          </w:p>
        </w:tc>
        <w:tc>
          <w:tcPr>
            <w:tcW w:w="0" w:type="dxa"/>
            <w:vAlign w:val="bottom"/>
          </w:tcPr>
          <w:p>
            <w:pPr>
              <w:spacing w:after="0"/>
              <w:rPr>
                <w:sz w:val="1"/>
                <w:szCs w:val="1"/>
                <w:color w:val="auto"/>
              </w:rPr>
            </w:pPr>
          </w:p>
        </w:tc>
      </w:tr>
      <w:tr>
        <w:trPr>
          <w:trHeight w:val="222"/>
        </w:trPr>
        <w:tc>
          <w:tcPr>
            <w:tcW w:w="60" w:type="dxa"/>
            <w:vAlign w:val="bottom"/>
            <w:tcBorders>
              <w:left w:val="single" w:sz="8" w:color="3C5896"/>
            </w:tcBorders>
          </w:tcPr>
          <w:p>
            <w:pPr>
              <w:spacing w:after="0"/>
              <w:rPr>
                <w:sz w:val="19"/>
                <w:szCs w:val="19"/>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gridSpan w:val="2"/>
          </w:tcPr>
          <w:p>
            <w:pPr>
              <w:jc w:val="right"/>
              <w:ind w:right="19"/>
              <w:spacing w:after="0"/>
              <w:rPr>
                <w:sz w:val="20"/>
                <w:szCs w:val="20"/>
                <w:color w:val="auto"/>
              </w:rPr>
            </w:pPr>
            <w:r>
              <w:rPr>
                <w:rFonts w:ascii="Arial" w:cs="Arial" w:eastAsia="Arial" w:hAnsi="Arial"/>
                <w:sz w:val="16"/>
                <w:szCs w:val="16"/>
                <w:color w:val="auto"/>
              </w:rPr>
              <w:t>807,500</w:t>
            </w:r>
          </w:p>
        </w:tc>
        <w:tc>
          <w:tcPr>
            <w:tcW w:w="1120" w:type="dxa"/>
            <w:vAlign w:val="bottom"/>
            <w:tcBorders>
              <w:right w:val="single" w:sz="8" w:color="9EACCA"/>
            </w:tcBorders>
            <w:gridSpan w:val="2"/>
          </w:tcPr>
          <w:p>
            <w:pPr>
              <w:jc w:val="right"/>
              <w:ind w:right="239"/>
              <w:spacing w:after="0"/>
              <w:rPr>
                <w:sz w:val="20"/>
                <w:szCs w:val="20"/>
                <w:color w:val="auto"/>
              </w:rPr>
            </w:pPr>
            <w:r>
              <w:rPr>
                <w:rFonts w:ascii="Arial" w:cs="Arial" w:eastAsia="Arial" w:hAnsi="Arial"/>
                <w:sz w:val="16"/>
                <w:szCs w:val="16"/>
                <w:color w:val="auto"/>
              </w:rPr>
              <w:t>45,744</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326,011</w:t>
            </w:r>
          </w:p>
        </w:tc>
        <w:tc>
          <w:tcPr>
            <w:tcW w:w="1100" w:type="dxa"/>
            <w:vAlign w:val="bottom"/>
            <w:tcBorders>
              <w:right w:val="single" w:sz="8" w:color="9EACCA"/>
            </w:tcBorders>
            <w:gridSpan w:val="2"/>
          </w:tcPr>
          <w:p>
            <w:pPr>
              <w:jc w:val="right"/>
              <w:ind w:right="119"/>
              <w:spacing w:after="0"/>
              <w:rPr>
                <w:sz w:val="20"/>
                <w:szCs w:val="20"/>
                <w:color w:val="auto"/>
              </w:rPr>
            </w:pPr>
            <w:r>
              <w:rPr>
                <w:rFonts w:ascii="Arial" w:cs="Arial" w:eastAsia="Arial" w:hAnsi="Arial"/>
                <w:sz w:val="16"/>
                <w:szCs w:val="16"/>
                <w:color w:val="auto"/>
              </w:rPr>
              <w:t>316,385</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601,225</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Pr>
          <w:p>
            <w:pPr>
              <w:spacing w:after="0"/>
              <w:rPr>
                <w:sz w:val="18"/>
                <w:szCs w:val="18"/>
                <w:color w:val="auto"/>
              </w:rPr>
            </w:pPr>
          </w:p>
        </w:tc>
        <w:tc>
          <w:tcPr>
            <w:tcW w:w="86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326,011</w:t>
            </w:r>
          </w:p>
        </w:tc>
        <w:tc>
          <w:tcPr>
            <w:tcW w:w="1100" w:type="dxa"/>
            <w:vAlign w:val="bottom"/>
            <w:tcBorders>
              <w:right w:val="single" w:sz="8" w:color="9EACCA"/>
            </w:tcBorders>
            <w:gridSpan w:val="2"/>
          </w:tcPr>
          <w:p>
            <w:pPr>
              <w:jc w:val="right"/>
              <w:ind w:right="119"/>
              <w:spacing w:after="0"/>
              <w:rPr>
                <w:sz w:val="20"/>
                <w:szCs w:val="20"/>
                <w:color w:val="auto"/>
              </w:rPr>
            </w:pPr>
            <w:r>
              <w:rPr>
                <w:rFonts w:ascii="Arial" w:cs="Arial" w:eastAsia="Arial" w:hAnsi="Arial"/>
                <w:sz w:val="16"/>
                <w:szCs w:val="16"/>
                <w:color w:val="auto"/>
              </w:rPr>
              <w:t>605,754</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601,225</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tcPr>
          <w:p>
            <w:pPr>
              <w:spacing w:after="0"/>
              <w:rPr>
                <w:sz w:val="2"/>
                <w:szCs w:val="2"/>
                <w:color w:val="auto"/>
              </w:rPr>
            </w:pPr>
          </w:p>
        </w:tc>
        <w:tc>
          <w:tcPr>
            <w:tcW w:w="426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right w:val="single" w:sz="8" w:color="9EACCA"/>
            </w:tcBorders>
          </w:tcPr>
          <w:p>
            <w:pPr>
              <w:spacing w:after="0"/>
              <w:rPr>
                <w:sz w:val="2"/>
                <w:szCs w:val="2"/>
                <w:color w:val="auto"/>
              </w:rPr>
            </w:pPr>
          </w:p>
        </w:tc>
        <w:tc>
          <w:tcPr>
            <w:tcW w:w="10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Jared Brandman</w:t>
            </w:r>
          </w:p>
        </w:tc>
        <w:tc>
          <w:tcPr>
            <w:tcW w:w="60" w:type="dxa"/>
            <w:vAlign w:val="bottom"/>
            <w:shd w:val="clear" w:color="auto" w:fill="CCCCCC"/>
          </w:tcPr>
          <w:p>
            <w:pPr>
              <w:spacing w:after="0"/>
              <w:rPr>
                <w:sz w:val="20"/>
                <w:szCs w:val="20"/>
                <w:color w:val="auto"/>
              </w:rPr>
            </w:pPr>
          </w:p>
        </w:tc>
        <w:tc>
          <w:tcPr>
            <w:tcW w:w="860" w:type="dxa"/>
            <w:vAlign w:val="bottom"/>
            <w:tcBorders>
              <w:right w:val="single" w:sz="8" w:color="9EACCA"/>
            </w:tcBorders>
            <w:shd w:val="clear" w:color="auto" w:fill="CCCCCC"/>
          </w:tcPr>
          <w:p>
            <w:pPr>
              <w:spacing w:after="0"/>
              <w:rPr>
                <w:sz w:val="20"/>
                <w:szCs w:val="20"/>
                <w:color w:val="auto"/>
              </w:rPr>
            </w:pPr>
          </w:p>
        </w:tc>
        <w:tc>
          <w:tcPr>
            <w:tcW w:w="280" w:type="dxa"/>
            <w:vAlign w:val="bottom"/>
            <w:shd w:val="clear" w:color="auto" w:fill="CCCCCC"/>
          </w:tcPr>
          <w:p>
            <w:pPr>
              <w:spacing w:after="0"/>
              <w:rPr>
                <w:sz w:val="20"/>
                <w:szCs w:val="20"/>
                <w:color w:val="auto"/>
              </w:rPr>
            </w:pPr>
          </w:p>
        </w:tc>
        <w:tc>
          <w:tcPr>
            <w:tcW w:w="840" w:type="dxa"/>
            <w:vAlign w:val="bottom"/>
            <w:tcBorders>
              <w:right w:val="single" w:sz="8" w:color="9EACCA"/>
            </w:tcBorders>
            <w:shd w:val="clear" w:color="auto" w:fill="CCCCCC"/>
          </w:tcPr>
          <w:p>
            <w:pPr>
              <w:spacing w:after="0"/>
              <w:rPr>
                <w:sz w:val="20"/>
                <w:szCs w:val="20"/>
                <w:color w:val="auto"/>
              </w:rPr>
            </w:pPr>
          </w:p>
        </w:tc>
        <w:tc>
          <w:tcPr>
            <w:tcW w:w="720" w:type="dxa"/>
            <w:vAlign w:val="bottom"/>
            <w:tcBorders>
              <w:right w:val="single" w:sz="8" w:color="9EACCA"/>
            </w:tcBorders>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940" w:type="dxa"/>
            <w:vAlign w:val="bottom"/>
            <w:tcBorders>
              <w:right w:val="single" w:sz="8" w:color="9EACCA"/>
            </w:tcBorders>
            <w:shd w:val="clear" w:color="auto" w:fill="CCCCCC"/>
          </w:tcPr>
          <w:p>
            <w:pPr>
              <w:spacing w:after="0"/>
              <w:rPr>
                <w:sz w:val="20"/>
                <w:szCs w:val="20"/>
                <w:color w:val="auto"/>
              </w:rPr>
            </w:pPr>
          </w:p>
        </w:tc>
        <w:tc>
          <w:tcPr>
            <w:tcW w:w="102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3C5896"/>
            </w:tcBorders>
            <w:shd w:val="clear" w:color="auto" w:fill="CCCCCC"/>
          </w:tcPr>
          <w:p>
            <w:pPr>
              <w:spacing w:after="0"/>
              <w:rPr>
                <w:sz w:val="21"/>
                <w:szCs w:val="21"/>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60" w:type="dxa"/>
            <w:vAlign w:val="bottom"/>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787,500</w:t>
            </w:r>
          </w:p>
        </w:tc>
        <w:tc>
          <w:tcPr>
            <w:tcW w:w="280" w:type="dxa"/>
            <w:vAlign w:val="bottom"/>
            <w:shd w:val="clear" w:color="auto" w:fill="CCCCCC"/>
          </w:tcPr>
          <w:p>
            <w:pPr>
              <w:spacing w:after="0"/>
              <w:rPr>
                <w:sz w:val="21"/>
                <w:szCs w:val="21"/>
                <w:color w:val="auto"/>
              </w:rPr>
            </w:pPr>
          </w:p>
        </w:tc>
        <w:tc>
          <w:tcPr>
            <w:tcW w:w="84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22,872</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131,348</w:t>
            </w:r>
          </w:p>
        </w:tc>
        <w:tc>
          <w:tcPr>
            <w:tcW w:w="160" w:type="dxa"/>
            <w:vAlign w:val="bottom"/>
            <w:shd w:val="clear" w:color="auto" w:fill="CCCCCC"/>
          </w:tcPr>
          <w:p>
            <w:pPr>
              <w:spacing w:after="0"/>
              <w:rPr>
                <w:sz w:val="21"/>
                <w:szCs w:val="21"/>
                <w:color w:val="auto"/>
              </w:rPr>
            </w:pPr>
          </w:p>
        </w:tc>
        <w:tc>
          <w:tcPr>
            <w:tcW w:w="94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302,804</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Change in Control</w:t>
            </w:r>
          </w:p>
        </w:tc>
        <w:tc>
          <w:tcPr>
            <w:tcW w:w="60" w:type="dxa"/>
            <w:vAlign w:val="bottom"/>
            <w:shd w:val="clear" w:color="auto" w:fill="CCCCCC"/>
          </w:tcPr>
          <w:p>
            <w:pPr>
              <w:spacing w:after="0"/>
              <w:rPr>
                <w:sz w:val="20"/>
                <w:szCs w:val="20"/>
                <w:color w:val="auto"/>
              </w:rPr>
            </w:pPr>
          </w:p>
        </w:tc>
        <w:tc>
          <w:tcPr>
            <w:tcW w:w="86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1,070,000</w:t>
            </w:r>
          </w:p>
        </w:tc>
        <w:tc>
          <w:tcPr>
            <w:tcW w:w="280" w:type="dxa"/>
            <w:vAlign w:val="bottom"/>
            <w:shd w:val="clear" w:color="auto" w:fill="CCCCCC"/>
          </w:tcPr>
          <w:p>
            <w:pPr>
              <w:spacing w:after="0"/>
              <w:rPr>
                <w:sz w:val="20"/>
                <w:szCs w:val="20"/>
                <w:color w:val="auto"/>
              </w:rPr>
            </w:pPr>
          </w:p>
        </w:tc>
        <w:tc>
          <w:tcPr>
            <w:tcW w:w="84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587,889</w:t>
            </w:r>
          </w:p>
        </w:tc>
        <w:tc>
          <w:tcPr>
            <w:tcW w:w="160" w:type="dxa"/>
            <w:vAlign w:val="bottom"/>
            <w:shd w:val="clear" w:color="auto" w:fill="CCCCCC"/>
          </w:tcPr>
          <w:p>
            <w:pPr>
              <w:spacing w:after="0"/>
              <w:rPr>
                <w:sz w:val="20"/>
                <w:szCs w:val="20"/>
                <w:color w:val="auto"/>
              </w:rPr>
            </w:pPr>
          </w:p>
        </w:tc>
        <w:tc>
          <w:tcPr>
            <w:tcW w:w="94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170,211</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578,444</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42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Borders>
              <w:bottom w:val="single" w:sz="8" w:color="CCCCCC"/>
            </w:tcBorders>
            <w:shd w:val="clear" w:color="auto" w:fill="CCCCCC"/>
          </w:tcPr>
          <w:p>
            <w:pPr>
              <w:spacing w:after="0"/>
              <w:rPr>
                <w:sz w:val="19"/>
                <w:szCs w:val="19"/>
                <w:color w:val="auto"/>
              </w:rPr>
            </w:pPr>
          </w:p>
        </w:tc>
        <w:tc>
          <w:tcPr>
            <w:tcW w:w="860" w:type="dxa"/>
            <w:vAlign w:val="bottom"/>
            <w:tcBorders>
              <w:bottom w:val="single" w:sz="8" w:color="CCCCCC"/>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CCCC"/>
            </w:tcBorders>
            <w:shd w:val="clear" w:color="auto" w:fill="CCCCCC"/>
          </w:tcPr>
          <w:p>
            <w:pPr>
              <w:spacing w:after="0"/>
              <w:rPr>
                <w:sz w:val="19"/>
                <w:szCs w:val="19"/>
                <w:color w:val="auto"/>
              </w:rPr>
            </w:pPr>
          </w:p>
        </w:tc>
        <w:tc>
          <w:tcPr>
            <w:tcW w:w="840" w:type="dxa"/>
            <w:vAlign w:val="bottom"/>
            <w:tcBorders>
              <w:bottom w:val="single" w:sz="8" w:color="CCCCCC"/>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587,889</w:t>
            </w:r>
          </w:p>
        </w:tc>
        <w:tc>
          <w:tcPr>
            <w:tcW w:w="160" w:type="dxa"/>
            <w:vAlign w:val="bottom"/>
            <w:tcBorders>
              <w:bottom w:val="single" w:sz="8" w:color="CCCCCC"/>
            </w:tcBorders>
            <w:shd w:val="clear" w:color="auto" w:fill="CCCCCC"/>
          </w:tcPr>
          <w:p>
            <w:pPr>
              <w:spacing w:after="0"/>
              <w:rPr>
                <w:sz w:val="19"/>
                <w:szCs w:val="19"/>
                <w:color w:val="auto"/>
              </w:rPr>
            </w:pPr>
          </w:p>
        </w:tc>
        <w:tc>
          <w:tcPr>
            <w:tcW w:w="940" w:type="dxa"/>
            <w:vAlign w:val="bottom"/>
            <w:tcBorders>
              <w:bottom w:val="single" w:sz="8" w:color="CCCCCC"/>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323,506</w:t>
            </w:r>
          </w:p>
        </w:tc>
        <w:tc>
          <w:tcPr>
            <w:tcW w:w="1020" w:type="dxa"/>
            <w:vAlign w:val="bottom"/>
            <w:tcBorders>
              <w:bottom w:val="single" w:sz="8" w:color="CCCCCC"/>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578,444</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Joan Blackwood</w:t>
            </w:r>
          </w:p>
        </w:tc>
        <w:tc>
          <w:tcPr>
            <w:tcW w:w="920" w:type="dxa"/>
            <w:vAlign w:val="bottom"/>
            <w:tcBorders>
              <w:right w:val="single" w:sz="8" w:color="9EACCA"/>
            </w:tcBorders>
            <w:gridSpan w:val="2"/>
            <w:vMerge w:val="restart"/>
          </w:tcPr>
          <w:p>
            <w:pPr>
              <w:jc w:val="right"/>
              <w:ind w:right="19"/>
              <w:spacing w:after="0"/>
              <w:rPr>
                <w:sz w:val="20"/>
                <w:szCs w:val="20"/>
                <w:color w:val="auto"/>
              </w:rPr>
            </w:pPr>
            <w:r>
              <w:rPr>
                <w:rFonts w:ascii="Arial" w:cs="Arial" w:eastAsia="Arial" w:hAnsi="Arial"/>
                <w:sz w:val="16"/>
                <w:szCs w:val="16"/>
                <w:color w:val="auto"/>
              </w:rPr>
              <w:t>480,000</w:t>
            </w:r>
          </w:p>
        </w:tc>
        <w:tc>
          <w:tcPr>
            <w:tcW w:w="1120" w:type="dxa"/>
            <w:vAlign w:val="bottom"/>
            <w:tcBorders>
              <w:right w:val="single" w:sz="8" w:color="9EACCA"/>
            </w:tcBorders>
            <w:gridSpan w:val="2"/>
            <w:vMerge w:val="restart"/>
          </w:tcPr>
          <w:p>
            <w:pPr>
              <w:jc w:val="right"/>
              <w:ind w:right="239"/>
              <w:spacing w:after="0"/>
              <w:rPr>
                <w:sz w:val="20"/>
                <w:szCs w:val="20"/>
                <w:color w:val="auto"/>
              </w:rPr>
            </w:pPr>
            <w:r>
              <w:rPr>
                <w:rFonts w:ascii="Arial" w:cs="Arial" w:eastAsia="Arial" w:hAnsi="Arial"/>
                <w:sz w:val="16"/>
                <w:szCs w:val="16"/>
                <w:color w:val="auto"/>
              </w:rPr>
              <w:t>22,872</w:t>
            </w: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13,490</w:t>
            </w:r>
          </w:p>
        </w:tc>
        <w:tc>
          <w:tcPr>
            <w:tcW w:w="160" w:type="dxa"/>
            <w:vAlign w:val="bottom"/>
          </w:tcPr>
          <w:p>
            <w:pPr>
              <w:spacing w:after="0"/>
              <w:rPr>
                <w:sz w:val="20"/>
                <w:szCs w:val="20"/>
                <w:color w:val="auto"/>
              </w:rPr>
            </w:pPr>
          </w:p>
        </w:tc>
        <w:tc>
          <w:tcPr>
            <w:tcW w:w="940" w:type="dxa"/>
            <w:vAlign w:val="bottom"/>
            <w:tcBorders>
              <w:right w:val="single" w:sz="8" w:color="9EACCA"/>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31,431</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tcPr>
          <w:p>
            <w:pPr>
              <w:spacing w:after="0"/>
              <w:rPr>
                <w:sz w:val="16"/>
                <w:szCs w:val="16"/>
                <w:color w:val="auto"/>
              </w:rPr>
            </w:pPr>
          </w:p>
        </w:tc>
        <w:tc>
          <w:tcPr>
            <w:tcW w:w="42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gridSpan w:val="2"/>
            <w:vMerge w:val="continue"/>
          </w:tcPr>
          <w:p>
            <w:pPr>
              <w:spacing w:after="0"/>
              <w:rPr>
                <w:sz w:val="16"/>
                <w:szCs w:val="16"/>
                <w:color w:val="auto"/>
              </w:rPr>
            </w:pPr>
          </w:p>
        </w:tc>
        <w:tc>
          <w:tcPr>
            <w:tcW w:w="1120" w:type="dxa"/>
            <w:vAlign w:val="bottom"/>
            <w:tcBorders>
              <w:right w:val="single" w:sz="8" w:color="9EACCA"/>
            </w:tcBorders>
            <w:gridSpan w:val="2"/>
            <w:vMerge w:val="continue"/>
          </w:tcPr>
          <w:p>
            <w:pPr>
              <w:spacing w:after="0"/>
              <w:rPr>
                <w:sz w:val="16"/>
                <w:szCs w:val="16"/>
                <w:color w:val="auto"/>
              </w:rPr>
            </w:pPr>
          </w:p>
        </w:tc>
        <w:tc>
          <w:tcPr>
            <w:tcW w:w="720" w:type="dxa"/>
            <w:vAlign w:val="bottom"/>
            <w:tcBorders>
              <w:right w:val="single" w:sz="8" w:color="9EACCA"/>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right w:val="single" w:sz="8" w:color="9EACCA"/>
            </w:tcBorders>
            <w:vMerge w:val="continue"/>
          </w:tcPr>
          <w:p>
            <w:pPr>
              <w:spacing w:after="0"/>
              <w:rPr>
                <w:sz w:val="16"/>
                <w:szCs w:val="16"/>
                <w:color w:val="auto"/>
              </w:rPr>
            </w:pPr>
          </w:p>
        </w:tc>
        <w:tc>
          <w:tcPr>
            <w:tcW w:w="1020" w:type="dxa"/>
            <w:vAlign w:val="bottom"/>
            <w:tcBorders>
              <w:right w:val="single" w:sz="8" w:color="3C5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3C5896"/>
            </w:tcBorders>
          </w:tcPr>
          <w:p>
            <w:pPr>
              <w:spacing w:after="0"/>
              <w:rPr>
                <w:sz w:val="7"/>
                <w:szCs w:val="7"/>
                <w:color w:val="auto"/>
              </w:rPr>
            </w:pPr>
          </w:p>
        </w:tc>
        <w:tc>
          <w:tcPr>
            <w:tcW w:w="4260" w:type="dxa"/>
            <w:vAlign w:val="bottom"/>
            <w:tcBorders>
              <w:right w:val="single" w:sz="8" w:color="9EACCA"/>
            </w:tcBorders>
            <w:vMerge w:val="continue"/>
          </w:tcPr>
          <w:p>
            <w:pPr>
              <w:spacing w:after="0"/>
              <w:rPr>
                <w:sz w:val="7"/>
                <w:szCs w:val="7"/>
                <w:color w:val="auto"/>
              </w:rPr>
            </w:pPr>
          </w:p>
        </w:tc>
        <w:tc>
          <w:tcPr>
            <w:tcW w:w="920" w:type="dxa"/>
            <w:vAlign w:val="bottom"/>
            <w:tcBorders>
              <w:right w:val="single" w:sz="8" w:color="9EACCA"/>
            </w:tcBorders>
            <w:gridSpan w:val="2"/>
            <w:vMerge w:val="restart"/>
          </w:tcPr>
          <w:p>
            <w:pPr>
              <w:jc w:val="right"/>
              <w:ind w:right="19"/>
              <w:spacing w:after="0"/>
              <w:rPr>
                <w:sz w:val="20"/>
                <w:szCs w:val="20"/>
                <w:color w:val="auto"/>
              </w:rPr>
            </w:pPr>
            <w:r>
              <w:rPr>
                <w:rFonts w:ascii="Arial" w:cs="Arial" w:eastAsia="Arial" w:hAnsi="Arial"/>
                <w:sz w:val="16"/>
                <w:szCs w:val="16"/>
                <w:color w:val="auto"/>
              </w:rPr>
              <w:t>740,000</w:t>
            </w:r>
          </w:p>
        </w:tc>
        <w:tc>
          <w:tcPr>
            <w:tcW w:w="1120" w:type="dxa"/>
            <w:vAlign w:val="bottom"/>
            <w:tcBorders>
              <w:right w:val="single" w:sz="8" w:color="9EACCA"/>
            </w:tcBorders>
            <w:gridSpan w:val="2"/>
            <w:vMerge w:val="restart"/>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47,806</w:t>
            </w:r>
          </w:p>
        </w:tc>
        <w:tc>
          <w:tcPr>
            <w:tcW w:w="1100" w:type="dxa"/>
            <w:vAlign w:val="bottom"/>
            <w:tcBorders>
              <w:right w:val="single" w:sz="8" w:color="9EACCA"/>
            </w:tcBorders>
            <w:gridSpan w:val="2"/>
            <w:vMerge w:val="restart"/>
          </w:tcPr>
          <w:p>
            <w:pPr>
              <w:jc w:val="right"/>
              <w:ind w:right="119"/>
              <w:spacing w:after="0"/>
              <w:rPr>
                <w:sz w:val="20"/>
                <w:szCs w:val="20"/>
                <w:color w:val="auto"/>
              </w:rPr>
            </w:pPr>
            <w:r>
              <w:rPr>
                <w:rFonts w:ascii="Arial" w:cs="Arial" w:eastAsia="Arial" w:hAnsi="Arial"/>
                <w:sz w:val="16"/>
                <w:szCs w:val="16"/>
                <w:color w:val="auto"/>
              </w:rPr>
              <w:t>49,552</w:t>
            </w: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329,802</w:t>
            </w:r>
          </w:p>
        </w:tc>
        <w:tc>
          <w:tcPr>
            <w:tcW w:w="0" w:type="dxa"/>
            <w:vAlign w:val="bottom"/>
          </w:tcPr>
          <w:p>
            <w:pPr>
              <w:spacing w:after="0"/>
              <w:rPr>
                <w:sz w:val="1"/>
                <w:szCs w:val="1"/>
                <w:color w:val="auto"/>
              </w:rPr>
            </w:pPr>
          </w:p>
        </w:tc>
      </w:tr>
      <w:tr>
        <w:trPr>
          <w:trHeight w:val="148"/>
        </w:trPr>
        <w:tc>
          <w:tcPr>
            <w:tcW w:w="60" w:type="dxa"/>
            <w:vAlign w:val="bottom"/>
            <w:tcBorders>
              <w:left w:val="single" w:sz="8" w:color="3C5896"/>
            </w:tcBorders>
          </w:tcPr>
          <w:p>
            <w:pPr>
              <w:spacing w:after="0"/>
              <w:rPr>
                <w:sz w:val="12"/>
                <w:szCs w:val="12"/>
                <w:color w:val="auto"/>
              </w:rPr>
            </w:pPr>
          </w:p>
        </w:tc>
        <w:tc>
          <w:tcPr>
            <w:tcW w:w="42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gridSpan w:val="2"/>
            <w:vMerge w:val="continue"/>
          </w:tcPr>
          <w:p>
            <w:pPr>
              <w:spacing w:after="0"/>
              <w:rPr>
                <w:sz w:val="12"/>
                <w:szCs w:val="12"/>
                <w:color w:val="auto"/>
              </w:rPr>
            </w:pPr>
          </w:p>
        </w:tc>
        <w:tc>
          <w:tcPr>
            <w:tcW w:w="1120" w:type="dxa"/>
            <w:vAlign w:val="bottom"/>
            <w:tcBorders>
              <w:right w:val="single" w:sz="8" w:color="9EACCA"/>
            </w:tcBorders>
            <w:gridSpan w:val="2"/>
            <w:vMerge w:val="continue"/>
          </w:tcPr>
          <w:p>
            <w:pPr>
              <w:spacing w:after="0"/>
              <w:rPr>
                <w:sz w:val="12"/>
                <w:szCs w:val="12"/>
                <w:color w:val="auto"/>
              </w:rPr>
            </w:pPr>
          </w:p>
        </w:tc>
        <w:tc>
          <w:tcPr>
            <w:tcW w:w="720" w:type="dxa"/>
            <w:vAlign w:val="bottom"/>
            <w:tcBorders>
              <w:right w:val="single" w:sz="8" w:color="9EACCA"/>
            </w:tcBorders>
            <w:vMerge w:val="continue"/>
          </w:tcPr>
          <w:p>
            <w:pPr>
              <w:spacing w:after="0"/>
              <w:rPr>
                <w:sz w:val="12"/>
                <w:szCs w:val="12"/>
                <w:color w:val="auto"/>
              </w:rPr>
            </w:pPr>
          </w:p>
        </w:tc>
        <w:tc>
          <w:tcPr>
            <w:tcW w:w="1100" w:type="dxa"/>
            <w:vAlign w:val="bottom"/>
            <w:tcBorders>
              <w:right w:val="single" w:sz="8" w:color="9EACCA"/>
            </w:tcBorders>
            <w:gridSpan w:val="2"/>
            <w:vMerge w:val="continue"/>
          </w:tcPr>
          <w:p>
            <w:pPr>
              <w:spacing w:after="0"/>
              <w:rPr>
                <w:sz w:val="12"/>
                <w:szCs w:val="12"/>
                <w:color w:val="auto"/>
              </w:rPr>
            </w:pPr>
          </w:p>
        </w:tc>
        <w:tc>
          <w:tcPr>
            <w:tcW w:w="1020" w:type="dxa"/>
            <w:vAlign w:val="bottom"/>
            <w:tcBorders>
              <w:right w:val="single" w:sz="8" w:color="3C589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left w:val="single" w:sz="8" w:color="3C5896"/>
            </w:tcBorders>
          </w:tcPr>
          <w:p>
            <w:pPr>
              <w:spacing w:after="0"/>
              <w:rPr>
                <w:sz w:val="5"/>
                <w:szCs w:val="5"/>
                <w:color w:val="auto"/>
              </w:rPr>
            </w:pPr>
          </w:p>
        </w:tc>
        <w:tc>
          <w:tcPr>
            <w:tcW w:w="4260" w:type="dxa"/>
            <w:vAlign w:val="bottom"/>
            <w:tcBorders>
              <w:right w:val="single" w:sz="8" w:color="9EACCA"/>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right w:val="single" w:sz="8" w:color="9EACCA"/>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5"/>
                <w:szCs w:val="5"/>
                <w:color w:val="auto"/>
              </w:rPr>
            </w:pPr>
          </w:p>
        </w:tc>
        <w:tc>
          <w:tcPr>
            <w:tcW w:w="840" w:type="dxa"/>
            <w:vAlign w:val="bottom"/>
            <w:tcBorders>
              <w:right w:val="single" w:sz="8" w:color="9EACCA"/>
            </w:tcBorders>
            <w:vMerge w:val="restart"/>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47,806</w:t>
            </w:r>
          </w:p>
        </w:tc>
        <w:tc>
          <w:tcPr>
            <w:tcW w:w="1100" w:type="dxa"/>
            <w:vAlign w:val="bottom"/>
            <w:tcBorders>
              <w:right w:val="single" w:sz="8" w:color="9EACCA"/>
            </w:tcBorders>
            <w:gridSpan w:val="2"/>
            <w:vMerge w:val="restart"/>
          </w:tcPr>
          <w:p>
            <w:pPr>
              <w:jc w:val="right"/>
              <w:ind w:right="119"/>
              <w:spacing w:after="0"/>
              <w:rPr>
                <w:sz w:val="20"/>
                <w:szCs w:val="20"/>
                <w:color w:val="auto"/>
              </w:rPr>
            </w:pPr>
            <w:r>
              <w:rPr>
                <w:rFonts w:ascii="Arial" w:cs="Arial" w:eastAsia="Arial" w:hAnsi="Arial"/>
                <w:sz w:val="16"/>
                <w:szCs w:val="16"/>
                <w:color w:val="auto"/>
              </w:rPr>
              <w:t>162,591</w:t>
            </w: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329,802</w:t>
            </w:r>
          </w:p>
        </w:tc>
        <w:tc>
          <w:tcPr>
            <w:tcW w:w="0" w:type="dxa"/>
            <w:vAlign w:val="bottom"/>
          </w:tcPr>
          <w:p>
            <w:pPr>
              <w:spacing w:after="0"/>
              <w:rPr>
                <w:sz w:val="1"/>
                <w:szCs w:val="1"/>
                <w:color w:val="auto"/>
              </w:rPr>
            </w:pPr>
          </w:p>
        </w:tc>
      </w:tr>
      <w:tr>
        <w:trPr>
          <w:trHeight w:val="219"/>
        </w:trPr>
        <w:tc>
          <w:tcPr>
            <w:tcW w:w="60" w:type="dxa"/>
            <w:vAlign w:val="bottom"/>
            <w:tcBorders>
              <w:left w:val="single" w:sz="8" w:color="3C5896"/>
              <w:bottom w:val="single" w:sz="8" w:color="3C5896"/>
            </w:tcBorders>
          </w:tcPr>
          <w:p>
            <w:pPr>
              <w:spacing w:after="0"/>
              <w:rPr>
                <w:sz w:val="19"/>
                <w:szCs w:val="19"/>
                <w:color w:val="auto"/>
              </w:rPr>
            </w:pPr>
          </w:p>
        </w:tc>
        <w:tc>
          <w:tcPr>
            <w:tcW w:w="4260" w:type="dxa"/>
            <w:vAlign w:val="bottom"/>
            <w:tcBorders>
              <w:bottom w:val="single" w:sz="8" w:color="3C5896"/>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60" w:type="dxa"/>
            <w:vAlign w:val="bottom"/>
            <w:tcBorders>
              <w:bottom w:val="single" w:sz="8" w:color="3C5896"/>
            </w:tcBorders>
          </w:tcPr>
          <w:p>
            <w:pPr>
              <w:spacing w:after="0"/>
              <w:rPr>
                <w:sz w:val="19"/>
                <w:szCs w:val="19"/>
                <w:color w:val="auto"/>
              </w:rPr>
            </w:pPr>
          </w:p>
        </w:tc>
        <w:tc>
          <w:tcPr>
            <w:tcW w:w="860" w:type="dxa"/>
            <w:vAlign w:val="bottom"/>
            <w:tcBorders>
              <w:bottom w:val="single" w:sz="8" w:color="3C5896"/>
              <w:right w:val="single" w:sz="8" w:color="9EACCA"/>
            </w:tcBorders>
            <w:vMerge w:val="continue"/>
          </w:tcPr>
          <w:p>
            <w:pPr>
              <w:spacing w:after="0"/>
              <w:rPr>
                <w:sz w:val="19"/>
                <w:szCs w:val="19"/>
                <w:color w:val="auto"/>
              </w:rPr>
            </w:pPr>
          </w:p>
        </w:tc>
        <w:tc>
          <w:tcPr>
            <w:tcW w:w="280" w:type="dxa"/>
            <w:vAlign w:val="bottom"/>
            <w:tcBorders>
              <w:bottom w:val="single" w:sz="8" w:color="3C5896"/>
            </w:tcBorders>
          </w:tcPr>
          <w:p>
            <w:pPr>
              <w:spacing w:after="0"/>
              <w:rPr>
                <w:sz w:val="19"/>
                <w:szCs w:val="19"/>
                <w:color w:val="auto"/>
              </w:rPr>
            </w:pPr>
          </w:p>
        </w:tc>
        <w:tc>
          <w:tcPr>
            <w:tcW w:w="840" w:type="dxa"/>
            <w:vAlign w:val="bottom"/>
            <w:tcBorders>
              <w:bottom w:val="single" w:sz="8" w:color="3C5896"/>
              <w:right w:val="single" w:sz="8" w:color="9EACCA"/>
            </w:tcBorders>
            <w:vMerge w:val="continue"/>
          </w:tcPr>
          <w:p>
            <w:pPr>
              <w:spacing w:after="0"/>
              <w:rPr>
                <w:sz w:val="19"/>
                <w:szCs w:val="19"/>
                <w:color w:val="auto"/>
              </w:rPr>
            </w:pPr>
          </w:p>
        </w:tc>
        <w:tc>
          <w:tcPr>
            <w:tcW w:w="720" w:type="dxa"/>
            <w:vAlign w:val="bottom"/>
            <w:tcBorders>
              <w:bottom w:val="single" w:sz="8" w:color="3C5896"/>
              <w:right w:val="single" w:sz="8" w:color="9EACCA"/>
            </w:tcBorders>
            <w:vMerge w:val="continue"/>
          </w:tcPr>
          <w:p>
            <w:pPr>
              <w:spacing w:after="0"/>
              <w:rPr>
                <w:sz w:val="19"/>
                <w:szCs w:val="19"/>
                <w:color w:val="auto"/>
              </w:rPr>
            </w:pPr>
          </w:p>
        </w:tc>
        <w:tc>
          <w:tcPr>
            <w:tcW w:w="1100" w:type="dxa"/>
            <w:vAlign w:val="bottom"/>
            <w:tcBorders>
              <w:bottom w:val="single" w:sz="8" w:color="3C5896"/>
              <w:right w:val="single" w:sz="8" w:color="9EACCA"/>
            </w:tcBorders>
            <w:gridSpan w:val="2"/>
            <w:vMerge w:val="continue"/>
          </w:tcPr>
          <w:p>
            <w:pPr>
              <w:spacing w:after="0"/>
              <w:rPr>
                <w:sz w:val="19"/>
                <w:szCs w:val="19"/>
                <w:color w:val="auto"/>
              </w:rPr>
            </w:pPr>
          </w:p>
        </w:tc>
        <w:tc>
          <w:tcPr>
            <w:tcW w:w="1020" w:type="dxa"/>
            <w:vAlign w:val="bottom"/>
            <w:tcBorders>
              <w:bottom w:val="single" w:sz="8" w:color="3C5896"/>
              <w:right w:val="single" w:sz="8" w:color="3C5896"/>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-3076575</wp:posOffset>
            </wp:positionV>
            <wp:extent cx="582041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1" w:lineRule="exact"/>
        <w:rPr>
          <w:sz w:val="20"/>
          <w:szCs w:val="20"/>
          <w:color w:val="auto"/>
        </w:rPr>
      </w:pPr>
    </w:p>
    <w:p>
      <w:pPr>
        <w:jc w:val="both"/>
        <w:ind w:left="1120" w:hanging="358"/>
        <w:spacing w:after="0" w:line="246"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Amounts reported for Messrs. Fahs, Moore, Brandman and Clark and Ms. Blackwood represent (i) upon a Qualifying Termination of employment (A) a lump-sum pro-rata bonus for the year of termination, based on actual performance and (B) the cash severance amount, times the multiplier applicable to such executive (2.0 for Mr. Fahs; 1.5 for Messrs. Moore and Brandman; 1.0 for Mr. Clark and Ms. Blackwood), payable over 24 months (Mr. Fahs), 18 months (Messrs. Moore and Brandman) and 12 months (Mr. Clark and Ms. Blackwood)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and Brandman; 1.5 for Mr. Clark and Ms. Blackwood), payable over 30 months (Mr. Fahs), 24 months (Messrs. Moore and Brandman,) and 18 months (Mr. Clark and Ms. Blackwood) and (C) payment of, or reimbursement for, up to $20,000 in outplacement services within the six-month period following termination of employment.</w:t>
      </w:r>
    </w:p>
    <w:p>
      <w:pPr>
        <w:spacing w:after="0" w:line="68"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reported represent the cost of providing each applicable NEO with the welfare benefit (i) upon a Qualifying Termination of employment, for 24 months (Mr. Fahs), 18 months (Messrs. Moore and Brandman), and 12 months (Mr. Clark and Ms. Blackwood) and (ii) upon a Qualifying Termination of employment in the two-year period following a change in control, for 30 months (Mr. Fahs), 24 months (Messrs. Moore and Brandman), and 18 months (Mr. Clark and Ms. Blackwood).</w:t>
      </w:r>
    </w:p>
    <w:p>
      <w:pPr>
        <w:spacing w:after="0" w:line="53" w:lineRule="exact"/>
        <w:rPr>
          <w:rFonts w:ascii="Arial" w:cs="Arial" w:eastAsia="Arial" w:hAnsi="Arial"/>
          <w:sz w:val="15"/>
          <w:szCs w:val="15"/>
          <w:color w:val="auto"/>
        </w:rPr>
      </w:pPr>
    </w:p>
    <w:p>
      <w:pPr>
        <w:jc w:val="both"/>
        <w:ind w:left="1120" w:hanging="358"/>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reported represent accelerated vesting of unvested options upon a change in control and as a result of termination upon death or disability, as applicable, and are based on the closing price of our common stock of $45.29 per share on December 31, 2020, the last trading day in fiscal 2020.</w:t>
      </w:r>
    </w:p>
    <w:p>
      <w:pPr>
        <w:spacing w:after="0" w:line="64" w:lineRule="exact"/>
        <w:rPr>
          <w:rFonts w:ascii="Arial" w:cs="Arial" w:eastAsia="Arial" w:hAnsi="Arial"/>
          <w:sz w:val="15"/>
          <w:szCs w:val="15"/>
          <w:color w:val="auto"/>
        </w:rPr>
      </w:pPr>
    </w:p>
    <w:p>
      <w:pPr>
        <w:jc w:val="both"/>
        <w:ind w:left="1120" w:hanging="358"/>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reported represent vesting of PSUs upon a Qualifying Termination of employment, a change in control, and as a result of termination upon death or disability, as applicable, and are based on the closing price of our common stock of $45.29 per share on December 31, 2020, the last trading day in fiscal 2020.</w:t>
      </w:r>
    </w:p>
    <w:p>
      <w:pPr>
        <w:spacing w:after="0" w:line="50" w:lineRule="exact"/>
        <w:rPr>
          <w:rFonts w:ascii="Arial" w:cs="Arial" w:eastAsia="Arial" w:hAnsi="Arial"/>
          <w:sz w:val="15"/>
          <w:szCs w:val="15"/>
          <w:color w:val="auto"/>
        </w:rPr>
      </w:pPr>
    </w:p>
    <w:p>
      <w:pPr>
        <w:jc w:val="both"/>
        <w:ind w:left="1120" w:hanging="358"/>
        <w:spacing w:after="0" w:line="252" w:lineRule="auto"/>
        <w:tabs>
          <w:tab w:leader="none" w:pos="11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reported represent vesting of RSUs upon a change in control and as a result of termination upon death or disability, as applicable, and are based on the closing price of our common stock of $45.29 per share on December 31, 2020, the last trading day in fiscal 2020.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During fiscal 2020, none of the members of our compensation committee has at any time been one of our executive officers or employees or, other than as noted herein and in the “Transactions with Related Persons” section above, had any relationship requiring disclosure by the Company. A former director, Mr. N. Taylor, is an affiliate of KKR and we are parties to certain transactions with KKR described in the “Transactions with Related Persons” section. During 2020, none of our executive officers served as a member of the compensation committee (or other committee serving an equivalent function) or as a director of any other entity whose executive officers served on our compensation committee or Board of Directors.</w:t>
      </w:r>
    </w:p>
    <w:p>
      <w:pPr>
        <w:spacing w:after="0" w:line="30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numbers in the following table are as of January 2, 2021.</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480" w:type="dxa"/>
            <w:vAlign w:val="bottom"/>
            <w:tcBorders>
              <w:top w:val="single" w:sz="8" w:color="3C5896"/>
              <w:right w:val="single" w:sz="8" w:color="9EACCA"/>
            </w:tcBorders>
            <w:shd w:val="clear" w:color="auto" w:fill="3C5896"/>
          </w:tcPr>
          <w:p>
            <w:pPr>
              <w:spacing w:after="0"/>
              <w:rPr>
                <w:sz w:val="17"/>
                <w:szCs w:val="17"/>
                <w:color w:val="auto"/>
              </w:rPr>
            </w:pPr>
          </w:p>
        </w:tc>
        <w:tc>
          <w:tcPr>
            <w:tcW w:w="190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Weighted-</w:t>
            </w:r>
          </w:p>
        </w:tc>
        <w:tc>
          <w:tcPr>
            <w:tcW w:w="40" w:type="dxa"/>
            <w:vAlign w:val="bottom"/>
            <w:tcBorders>
              <w:top w:val="single" w:sz="8" w:color="3C5896"/>
            </w:tcBorders>
            <w:shd w:val="clear" w:color="auto" w:fill="3C5896"/>
          </w:tcPr>
          <w:p>
            <w:pPr>
              <w:spacing w:after="0"/>
              <w:rPr>
                <w:sz w:val="17"/>
                <w:szCs w:val="17"/>
                <w:color w:val="auto"/>
              </w:rPr>
            </w:pPr>
          </w:p>
        </w:tc>
        <w:tc>
          <w:tcPr>
            <w:tcW w:w="2080" w:type="dxa"/>
            <w:vAlign w:val="bottom"/>
            <w:tcBorders>
              <w:top w:val="single" w:sz="8" w:color="3C5896"/>
              <w:right w:val="single" w:sz="8" w:color="3C5896"/>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Number of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50"/>
              <w:spacing w:after="0" w:line="189" w:lineRule="exact"/>
              <w:rPr>
                <w:sz w:val="20"/>
                <w:szCs w:val="20"/>
                <w:color w:val="auto"/>
              </w:rPr>
            </w:pPr>
            <w:r>
              <w:rPr>
                <w:rFonts w:ascii="Arial" w:cs="Arial" w:eastAsia="Arial" w:hAnsi="Arial"/>
                <w:sz w:val="18"/>
                <w:szCs w:val="18"/>
                <w:b w:val="1"/>
                <w:bCs w:val="1"/>
                <w:color w:val="FFFFFF"/>
                <w:w w:val="98"/>
              </w:rPr>
              <w:t>remaining available for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securities to be</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average exercise</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50"/>
              <w:spacing w:after="0" w:line="189" w:lineRule="exact"/>
              <w:rPr>
                <w:sz w:val="20"/>
                <w:szCs w:val="20"/>
                <w:color w:val="auto"/>
              </w:rPr>
            </w:pPr>
            <w:r>
              <w:rPr>
                <w:rFonts w:ascii="Arial" w:cs="Arial" w:eastAsia="Arial" w:hAnsi="Arial"/>
                <w:sz w:val="18"/>
                <w:szCs w:val="18"/>
                <w:b w:val="1"/>
                <w:bCs w:val="1"/>
                <w:color w:val="FFFFFF"/>
                <w:w w:val="98"/>
              </w:rPr>
              <w:t>future issuance under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issued upon</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rPr>
              <w:t>price of</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equity compensation</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exercise of</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outstanding</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rPr>
              <w:t>plans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outstanding options,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9"/>
              </w:rPr>
              <w:t>options, warrants</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(excluding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vMerge w:val="restart"/>
            <w:shd w:val="clear" w:color="auto" w:fill="3C5896"/>
          </w:tcPr>
          <w:p>
            <w:pPr>
              <w:ind w:left="1120"/>
              <w:spacing w:after="0"/>
              <w:rPr>
                <w:sz w:val="20"/>
                <w:szCs w:val="20"/>
                <w:color w:val="auto"/>
              </w:rPr>
            </w:pPr>
            <w:r>
              <w:rPr>
                <w:rFonts w:ascii="Arial" w:cs="Arial" w:eastAsia="Arial" w:hAnsi="Arial"/>
                <w:sz w:val="18"/>
                <w:szCs w:val="18"/>
                <w:b w:val="1"/>
                <w:bCs w:val="1"/>
                <w:color w:val="FFFFFF"/>
              </w:rPr>
              <w:t>Plan category</w:t>
            </w: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warrants and rights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and rights</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reflected in column (a))</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480" w:type="dxa"/>
            <w:vAlign w:val="bottom"/>
            <w:tcBorders>
              <w:right w:val="single" w:sz="8" w:color="9EACCA"/>
            </w:tcBorders>
            <w:vMerge w:val="continue"/>
            <w:shd w:val="clear" w:color="auto" w:fill="3C5896"/>
          </w:tcPr>
          <w:p>
            <w:pPr>
              <w:spacing w:after="0"/>
              <w:rPr>
                <w:sz w:val="21"/>
                <w:szCs w:val="21"/>
                <w:color w:val="auto"/>
              </w:rPr>
            </w:pPr>
          </w:p>
        </w:tc>
        <w:tc>
          <w:tcPr>
            <w:tcW w:w="19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w:t>
            </w:r>
          </w:p>
        </w:tc>
        <w:tc>
          <w:tcPr>
            <w:tcW w:w="40" w:type="dxa"/>
            <w:vAlign w:val="bottom"/>
            <w:shd w:val="clear" w:color="auto" w:fill="3C5896"/>
          </w:tcPr>
          <w:p>
            <w:pPr>
              <w:spacing w:after="0"/>
              <w:rPr>
                <w:sz w:val="21"/>
                <w:szCs w:val="21"/>
                <w:color w:val="auto"/>
              </w:rPr>
            </w:pPr>
          </w:p>
        </w:tc>
        <w:tc>
          <w:tcPr>
            <w:tcW w:w="16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5"/>
              </w:rPr>
              <w:t>(b)</w:t>
            </w:r>
          </w:p>
        </w:tc>
        <w:tc>
          <w:tcPr>
            <w:tcW w:w="40" w:type="dxa"/>
            <w:vAlign w:val="bottom"/>
            <w:shd w:val="clear" w:color="auto" w:fill="3C5896"/>
          </w:tcPr>
          <w:p>
            <w:pPr>
              <w:spacing w:after="0"/>
              <w:rPr>
                <w:sz w:val="21"/>
                <w:szCs w:val="21"/>
                <w:color w:val="auto"/>
              </w:rPr>
            </w:pPr>
          </w:p>
        </w:tc>
        <w:tc>
          <w:tcPr>
            <w:tcW w:w="208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tcPr>
          <w:p>
            <w:pPr>
              <w:spacing w:after="0"/>
              <w:rPr>
                <w:sz w:val="19"/>
                <w:szCs w:val="19"/>
                <w:color w:val="auto"/>
              </w:rPr>
            </w:pPr>
          </w:p>
        </w:tc>
        <w:tc>
          <w:tcPr>
            <w:tcW w:w="34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Equity compensation plans approved by</w:t>
            </w:r>
          </w:p>
        </w:tc>
        <w:tc>
          <w:tcPr>
            <w:tcW w:w="1900" w:type="dxa"/>
            <w:vAlign w:val="bottom"/>
            <w:tcBorders>
              <w:right w:val="single" w:sz="8" w:color="9EACCA"/>
            </w:tcBorders>
            <w:vMerge w:val="restart"/>
          </w:tcPr>
          <w:p>
            <w:pPr>
              <w:ind w:left="540"/>
              <w:spacing w:after="0"/>
              <w:rPr>
                <w:sz w:val="20"/>
                <w:szCs w:val="20"/>
                <w:color w:val="auto"/>
              </w:rPr>
            </w:pPr>
            <w:r>
              <w:rPr>
                <w:rFonts w:ascii="Arial" w:cs="Arial" w:eastAsia="Arial" w:hAnsi="Arial"/>
                <w:sz w:val="18"/>
                <w:szCs w:val="18"/>
                <w:color w:val="auto"/>
              </w:rPr>
              <w:t>2,723,617</w:t>
            </w:r>
            <w:r>
              <w:rPr>
                <w:rFonts w:ascii="Arial" w:cs="Arial" w:eastAsia="Arial" w:hAnsi="Arial"/>
                <w:sz w:val="26"/>
                <w:szCs w:val="26"/>
                <w:color w:val="auto"/>
                <w:vertAlign w:val="superscript"/>
              </w:rPr>
              <w:t>(1)</w:t>
            </w:r>
          </w:p>
        </w:tc>
        <w:tc>
          <w:tcPr>
            <w:tcW w:w="1640" w:type="dxa"/>
            <w:vAlign w:val="bottom"/>
            <w:tcBorders>
              <w:right w:val="single" w:sz="8" w:color="9EACCA"/>
            </w:tcBorders>
            <w:gridSpan w:val="2"/>
            <w:vMerge w:val="restart"/>
          </w:tcPr>
          <w:p>
            <w:pPr>
              <w:ind w:left="540"/>
              <w:spacing w:after="0"/>
              <w:rPr>
                <w:sz w:val="20"/>
                <w:szCs w:val="20"/>
                <w:color w:val="auto"/>
              </w:rPr>
            </w:pPr>
            <w:r>
              <w:rPr>
                <w:rFonts w:ascii="Arial" w:cs="Arial" w:eastAsia="Arial" w:hAnsi="Arial"/>
                <w:sz w:val="18"/>
                <w:szCs w:val="18"/>
                <w:color w:val="auto"/>
              </w:rPr>
              <w:t>$13.32</w:t>
            </w:r>
            <w:r>
              <w:rPr>
                <w:rFonts w:ascii="Arial" w:cs="Arial" w:eastAsia="Arial" w:hAnsi="Arial"/>
                <w:sz w:val="26"/>
                <w:szCs w:val="26"/>
                <w:color w:val="auto"/>
                <w:vertAlign w:val="superscript"/>
              </w:rPr>
              <w:t>(2)</w:t>
            </w:r>
          </w:p>
        </w:tc>
        <w:tc>
          <w:tcPr>
            <w:tcW w:w="2120" w:type="dxa"/>
            <w:vAlign w:val="bottom"/>
            <w:tcBorders>
              <w:right w:val="single" w:sz="8" w:color="3C5896"/>
            </w:tcBorders>
            <w:gridSpan w:val="2"/>
            <w:vMerge w:val="restart"/>
          </w:tcPr>
          <w:p>
            <w:pPr>
              <w:ind w:left="600"/>
              <w:spacing w:after="0"/>
              <w:rPr>
                <w:sz w:val="20"/>
                <w:szCs w:val="20"/>
                <w:color w:val="auto"/>
              </w:rPr>
            </w:pPr>
            <w:r>
              <w:rPr>
                <w:rFonts w:ascii="Arial" w:cs="Arial" w:eastAsia="Arial" w:hAnsi="Arial"/>
                <w:sz w:val="18"/>
                <w:szCs w:val="18"/>
                <w:color w:val="auto"/>
              </w:rPr>
              <w:t>12,281,394</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44"/>
        </w:trPr>
        <w:tc>
          <w:tcPr>
            <w:tcW w:w="60" w:type="dxa"/>
            <w:vAlign w:val="bottom"/>
            <w:tcBorders>
              <w:left w:val="single" w:sz="8" w:color="3C5896"/>
            </w:tcBorders>
          </w:tcPr>
          <w:p>
            <w:pPr>
              <w:spacing w:after="0"/>
              <w:rPr>
                <w:sz w:val="21"/>
                <w:szCs w:val="21"/>
                <w:color w:val="auto"/>
              </w:rPr>
            </w:pPr>
          </w:p>
        </w:tc>
        <w:tc>
          <w:tcPr>
            <w:tcW w:w="348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security holders</w:t>
            </w:r>
          </w:p>
        </w:tc>
        <w:tc>
          <w:tcPr>
            <w:tcW w:w="1900" w:type="dxa"/>
            <w:vAlign w:val="bottom"/>
            <w:tcBorders>
              <w:right w:val="single" w:sz="8" w:color="9EACCA"/>
            </w:tcBorders>
            <w:vMerge w:val="continue"/>
          </w:tcPr>
          <w:p>
            <w:pPr>
              <w:spacing w:after="0"/>
              <w:rPr>
                <w:sz w:val="21"/>
                <w:szCs w:val="21"/>
                <w:color w:val="auto"/>
              </w:rPr>
            </w:pPr>
          </w:p>
        </w:tc>
        <w:tc>
          <w:tcPr>
            <w:tcW w:w="1640" w:type="dxa"/>
            <w:vAlign w:val="bottom"/>
            <w:tcBorders>
              <w:right w:val="single" w:sz="8" w:color="9EACCA"/>
            </w:tcBorders>
            <w:gridSpan w:val="2"/>
            <w:vMerge w:val="continue"/>
          </w:tcPr>
          <w:p>
            <w:pPr>
              <w:spacing w:after="0"/>
              <w:rPr>
                <w:sz w:val="21"/>
                <w:szCs w:val="21"/>
                <w:color w:val="auto"/>
              </w:rPr>
            </w:pPr>
          </w:p>
        </w:tc>
        <w:tc>
          <w:tcPr>
            <w:tcW w:w="2120" w:type="dxa"/>
            <w:vAlign w:val="bottom"/>
            <w:tcBorders>
              <w:right w:val="single" w:sz="8" w:color="3C5896"/>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shd w:val="clear" w:color="auto" w:fill="CCCCCC"/>
          </w:tcPr>
          <w:p>
            <w:pPr>
              <w:spacing w:after="0"/>
              <w:rPr>
                <w:sz w:val="19"/>
                <w:szCs w:val="19"/>
                <w:color w:val="auto"/>
              </w:rPr>
            </w:pPr>
          </w:p>
        </w:tc>
        <w:tc>
          <w:tcPr>
            <w:tcW w:w="34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Equity compensation plans not approved</w:t>
            </w:r>
          </w:p>
        </w:tc>
        <w:tc>
          <w:tcPr>
            <w:tcW w:w="19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1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208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34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8"/>
                <w:szCs w:val="18"/>
                <w:color w:val="auto"/>
              </w:rPr>
              <w:t>by security holders</w:t>
            </w:r>
          </w:p>
        </w:tc>
        <w:tc>
          <w:tcPr>
            <w:tcW w:w="190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160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208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4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Total</w:t>
            </w:r>
          </w:p>
        </w:tc>
        <w:tc>
          <w:tcPr>
            <w:tcW w:w="1900" w:type="dxa"/>
            <w:vAlign w:val="bottom"/>
            <w:tcBorders>
              <w:right w:val="single" w:sz="8" w:color="9EACCA"/>
            </w:tcBorders>
          </w:tcPr>
          <w:p>
            <w:pPr>
              <w:ind w:left="540"/>
              <w:spacing w:after="0"/>
              <w:rPr>
                <w:sz w:val="20"/>
                <w:szCs w:val="20"/>
                <w:color w:val="auto"/>
              </w:rPr>
            </w:pPr>
            <w:r>
              <w:rPr>
                <w:rFonts w:ascii="Arial" w:cs="Arial" w:eastAsia="Arial" w:hAnsi="Arial"/>
                <w:sz w:val="18"/>
                <w:szCs w:val="18"/>
                <w:color w:val="auto"/>
              </w:rPr>
              <w:t>2,723,617</w:t>
            </w:r>
          </w:p>
        </w:tc>
        <w:tc>
          <w:tcPr>
            <w:tcW w:w="1640" w:type="dxa"/>
            <w:vAlign w:val="bottom"/>
            <w:tcBorders>
              <w:right w:val="single" w:sz="8" w:color="9EACCA"/>
            </w:tcBorders>
            <w:gridSpan w:val="2"/>
          </w:tcPr>
          <w:p>
            <w:pPr>
              <w:ind w:left="540"/>
              <w:spacing w:after="0"/>
              <w:rPr>
                <w:sz w:val="20"/>
                <w:szCs w:val="20"/>
                <w:color w:val="auto"/>
              </w:rPr>
            </w:pPr>
            <w:r>
              <w:rPr>
                <w:rFonts w:ascii="Arial" w:cs="Arial" w:eastAsia="Arial" w:hAnsi="Arial"/>
                <w:sz w:val="18"/>
                <w:szCs w:val="18"/>
                <w:color w:val="auto"/>
              </w:rPr>
              <w:t>$13.32</w:t>
            </w:r>
          </w:p>
        </w:tc>
        <w:tc>
          <w:tcPr>
            <w:tcW w:w="2120" w:type="dxa"/>
            <w:vAlign w:val="bottom"/>
            <w:tcBorders>
              <w:right w:val="single" w:sz="8" w:color="3C5896"/>
            </w:tcBorders>
            <w:gridSpan w:val="2"/>
          </w:tcPr>
          <w:p>
            <w:pPr>
              <w:ind w:left="600"/>
              <w:spacing w:after="0"/>
              <w:rPr>
                <w:sz w:val="20"/>
                <w:szCs w:val="20"/>
                <w:color w:val="auto"/>
              </w:rPr>
            </w:pPr>
            <w:r>
              <w:rPr>
                <w:rFonts w:ascii="Arial" w:cs="Arial" w:eastAsia="Arial" w:hAnsi="Arial"/>
                <w:sz w:val="18"/>
                <w:szCs w:val="18"/>
                <w:color w:val="auto"/>
              </w:rPr>
              <w:t>12,281,394</w:t>
            </w:r>
          </w:p>
        </w:tc>
        <w:tc>
          <w:tcPr>
            <w:tcW w:w="0" w:type="dxa"/>
            <w:vAlign w:val="bottom"/>
          </w:tcPr>
          <w:p>
            <w:pPr>
              <w:spacing w:after="0"/>
              <w:rPr>
                <w:sz w:val="1"/>
                <w:szCs w:val="1"/>
                <w:color w:val="auto"/>
              </w:rPr>
            </w:pPr>
          </w:p>
        </w:tc>
      </w:tr>
      <w:tr>
        <w:trPr>
          <w:trHeight w:val="27"/>
        </w:trPr>
        <w:tc>
          <w:tcPr>
            <w:tcW w:w="60" w:type="dxa"/>
            <w:vAlign w:val="bottom"/>
            <w:tcBorders>
              <w:left w:val="single" w:sz="8" w:color="3C5896"/>
            </w:tcBorders>
            <w:shd w:val="clear" w:color="auto" w:fill="3C5896"/>
          </w:tcPr>
          <w:p>
            <w:pPr>
              <w:spacing w:after="0"/>
              <w:rPr>
                <w:sz w:val="2"/>
                <w:szCs w:val="2"/>
                <w:color w:val="auto"/>
              </w:rPr>
            </w:pPr>
          </w:p>
        </w:tc>
        <w:tc>
          <w:tcPr>
            <w:tcW w:w="3480" w:type="dxa"/>
            <w:vAlign w:val="bottom"/>
            <w:tcBorders>
              <w:right w:val="single" w:sz="8" w:color="3C5896"/>
            </w:tcBorders>
            <w:shd w:val="clear" w:color="auto" w:fill="3C5896"/>
          </w:tcPr>
          <w:p>
            <w:pPr>
              <w:spacing w:after="0"/>
              <w:rPr>
                <w:sz w:val="2"/>
                <w:szCs w:val="2"/>
                <w:color w:val="auto"/>
              </w:rPr>
            </w:pPr>
          </w:p>
        </w:tc>
        <w:tc>
          <w:tcPr>
            <w:tcW w:w="1900" w:type="dxa"/>
            <w:vAlign w:val="bottom"/>
            <w:tcBorders>
              <w:right w:val="single" w:sz="8" w:color="3C5896"/>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0" w:type="dxa"/>
            <w:vAlign w:val="bottom"/>
            <w:tcBorders>
              <w:right w:val="single" w:sz="8" w:color="3C5896"/>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80" w:type="dxa"/>
            <w:vAlign w:val="bottom"/>
            <w:tcBorders>
              <w:right w:val="single" w:sz="8" w:color="3C5896"/>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-796290</wp:posOffset>
            </wp:positionV>
            <wp:extent cx="58204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44" w:lineRule="exact"/>
        <w:rPr>
          <w:sz w:val="20"/>
          <w:szCs w:val="20"/>
          <w:color w:val="auto"/>
        </w:rPr>
      </w:pPr>
    </w:p>
    <w:p>
      <w:pPr>
        <w:jc w:val="both"/>
        <w:ind w:left="1120" w:hanging="358"/>
        <w:spacing w:after="0" w:line="249"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1,548,691 shares issuable under the 2014 Stock Incentive Plan. The weighted-average exercise price of such options within this plan is $7.25. Includes 1,174,926 shares issuable under the 2017 Omnibus Incentive Plan. Included within the 1,174,926 shares are 220,184 shares that could be issued upon the vesting of PSU awards, assuming target level of achievement. The weighted-average exercise price of such options within this plan is $32.11.</w:t>
      </w:r>
    </w:p>
    <w:p>
      <w:pPr>
        <w:spacing w:after="0" w:line="53"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weighted-average exercise price excludes shares in of common stock that may be issued upon the settlement of restricted stock, RSUs or PSUs.</w:t>
      </w:r>
    </w:p>
    <w:p>
      <w:pPr>
        <w:spacing w:after="0" w:line="58" w:lineRule="exact"/>
        <w:rPr>
          <w:rFonts w:ascii="Arial" w:cs="Arial" w:eastAsia="Arial" w:hAnsi="Arial"/>
          <w:sz w:val="15"/>
          <w:szCs w:val="15"/>
          <w:color w:val="auto"/>
        </w:rPr>
      </w:pPr>
    </w:p>
    <w:p>
      <w:pPr>
        <w:jc w:val="both"/>
        <w:ind w:left="1120" w:hanging="358"/>
        <w:spacing w:after="0" w:line="247"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8,715,417 shares that can be issued pursuant to future awards under the 2014 Stock Incentive Plan. Also includes 2,798,298 shares that can be issued pursuant to future awards under the 2017 Omnibus Incentive Plan. Includes 767,679 shares that can be issued under our ASPP. Total does not include (i) 6,081 shares purchased during our ASPP offering period ended February 28, 2021 and (ii) 7,838 shares subject to purchase during our current ASPP offering period ending May 28, 2021, which are estimated based on the closing price of the Company's common stock of $49.43 on March 1, 2021, the first day in the current ASPP offering period, including the 10%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sz w:val="1"/>
          <w:szCs w:val="1"/>
          <w:color w:val="auto"/>
        </w:rPr>
        <w:drawing>
          <wp:inline distT="0" distB="0" distL="0" distR="0">
            <wp:extent cx="299720" cy="24003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2020:</w:t>
      </w:r>
    </w:p>
    <w:p>
      <w:pPr>
        <w:spacing w:after="0" w:line="117" w:lineRule="exact"/>
        <w:rPr>
          <w:sz w:val="20"/>
          <w:szCs w:val="20"/>
          <w:color w:val="auto"/>
        </w:rPr>
      </w:pPr>
    </w:p>
    <w:p>
      <w:pPr>
        <w:ind w:left="1120" w:hanging="214"/>
        <w:spacing w:after="0" w:line="246" w:lineRule="auto"/>
        <w:tabs>
          <w:tab w:leader="none" w:pos="1120" w:val="left"/>
        </w:tabs>
        <w:numPr>
          <w:ilvl w:val="0"/>
          <w:numId w:val="49"/>
        </w:numPr>
        <w:rPr>
          <w:rFonts w:ascii="Arial" w:cs="Arial" w:eastAsia="Arial" w:hAnsi="Arial"/>
          <w:sz w:val="18"/>
          <w:szCs w:val="18"/>
          <w:color w:val="3C5896"/>
        </w:rPr>
      </w:pPr>
      <w:r>
        <w:rPr>
          <w:rFonts w:ascii="Arial" w:cs="Arial" w:eastAsia="Arial" w:hAnsi="Arial"/>
          <w:sz w:val="18"/>
          <w:szCs w:val="18"/>
          <w:color w:val="auto"/>
        </w:rPr>
        <w:t>the median of the annual total compensation of all our employees (other than Mr. Fahs, our CEO), was $25,549; and</w:t>
      </w:r>
    </w:p>
    <w:p>
      <w:pPr>
        <w:spacing w:after="0" w:line="88" w:lineRule="exact"/>
        <w:rPr>
          <w:rFonts w:ascii="Arial" w:cs="Arial" w:eastAsia="Arial" w:hAnsi="Arial"/>
          <w:sz w:val="18"/>
          <w:szCs w:val="18"/>
          <w:color w:val="3C5896"/>
        </w:rPr>
      </w:pPr>
    </w:p>
    <w:p>
      <w:pPr>
        <w:ind w:left="1120" w:hanging="214"/>
        <w:spacing w:after="0"/>
        <w:tabs>
          <w:tab w:leader="none" w:pos="1120" w:val="left"/>
        </w:tabs>
        <w:numPr>
          <w:ilvl w:val="0"/>
          <w:numId w:val="49"/>
        </w:numPr>
        <w:rPr>
          <w:rFonts w:ascii="Arial" w:cs="Arial" w:eastAsia="Arial" w:hAnsi="Arial"/>
          <w:sz w:val="18"/>
          <w:szCs w:val="18"/>
          <w:color w:val="3C5896"/>
        </w:rPr>
      </w:pPr>
      <w:r>
        <w:rPr>
          <w:rFonts w:ascii="Arial" w:cs="Arial" w:eastAsia="Arial" w:hAnsi="Arial"/>
          <w:sz w:val="18"/>
          <w:szCs w:val="18"/>
          <w:color w:val="auto"/>
        </w:rPr>
        <w:t>the annual total compensation of Mr. Fahs, our CEO, was $3,976,328.</w:t>
      </w:r>
    </w:p>
    <w:p>
      <w:pPr>
        <w:spacing w:after="0" w:line="10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employees was 156:1.</w:t>
      </w:r>
    </w:p>
    <w:p>
      <w:pPr>
        <w:spacing w:after="0" w:line="90"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To determine this pay ratio, we identified our median employee using our employee population as of November 1, 2020, which consisted of approximately 12,703 full-time and part-time employees, with 100% of these individuals located in the United States. We changed the date of determining our employee population from the last day of the fiscal year to November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this year to allow for us to capture a more accurate employee population as any departures or new hires as of the last date of the fiscal year would lag in being recorded until a later time frame. Other than the date to determine our employee population, no methodology was changed in determining the pay ratio. To identify our median employee, we used salary/wages and annual incentive/bonus from our payroll records in fiscal 2020 as our consistently applied compensation measure. In making this determination, we annualized the compensation of approximately full-time and part-time employees who were hired or separated in fiscal 2020 but did not work for us for the entire fiscal year. After identifying our median employee, we calculated the median employee’s compensation for fiscal 2020 in accordance with the requirements of Item 402(c)(2)(x) of Regulation S-K of the Exchange Act. Compensation amounts were determined from our human resources and payroll systems of record.</w:t>
      </w:r>
    </w:p>
    <w:p>
      <w:pPr>
        <w:spacing w:after="0" w:line="11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OWNERSHIP OF OUR SECURITIES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OWNERSHIP OF OUR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2020 all reports required by Section 16(a) were timely filed.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15, 2021 by (1) each individual or entity known by us to beneficially own more than 5% of our outstanding common stock, (2) each of our named executive officers, (3) each of our directors and director nominees and (4) all of our directors and our executive officers as a group. As of April 15, 2021, there were 81,423,974 shares of our common stock, par value $0.01 per share, outstanding.</w:t>
      </w:r>
    </w:p>
    <w:p>
      <w:pPr>
        <w:spacing w:after="0" w:line="9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9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sz w:val="1"/>
          <w:szCs w:val="1"/>
          <w:color w:val="auto"/>
        </w:rPr>
        <w:drawing>
          <wp:inline distT="0" distB="0" distL="0" distR="0">
            <wp:extent cx="29972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FFFFFF"/>
        </w:rPr>
        <w:t>OWNERSHIP OF OUR SECURITIES</w:t>
      </w:r>
    </w:p>
    <w:p>
      <w:pPr>
        <w:spacing w:after="0" w:line="228"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5880" w:type="dxa"/>
            <w:vAlign w:val="bottom"/>
            <w:tcBorders>
              <w:top w:val="single" w:sz="8" w:color="3C5896"/>
              <w:right w:val="single" w:sz="8" w:color="9EACCA"/>
            </w:tcBorders>
            <w:shd w:val="clear" w:color="auto" w:fill="3C5896"/>
          </w:tcPr>
          <w:p>
            <w:pPr>
              <w:spacing w:after="0"/>
              <w:rPr>
                <w:sz w:val="17"/>
                <w:szCs w:val="17"/>
                <w:color w:val="auto"/>
              </w:rPr>
            </w:pPr>
          </w:p>
        </w:tc>
        <w:tc>
          <w:tcPr>
            <w:tcW w:w="162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3C5896"/>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Percentage of</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5880" w:type="dxa"/>
            <w:vAlign w:val="bottom"/>
            <w:tcBorders>
              <w:right w:val="single" w:sz="8" w:color="9EACCA"/>
            </w:tcBorders>
            <w:vMerge w:val="restart"/>
            <w:shd w:val="clear" w:color="auto" w:fill="3C5896"/>
          </w:tcPr>
          <w:p>
            <w:pPr>
              <w:ind w:left="1800"/>
              <w:spacing w:after="0"/>
              <w:rPr>
                <w:sz w:val="20"/>
                <w:szCs w:val="20"/>
                <w:color w:val="auto"/>
              </w:rPr>
            </w:pPr>
            <w:r>
              <w:rPr>
                <w:rFonts w:ascii="Arial" w:cs="Arial" w:eastAsia="Arial" w:hAnsi="Arial"/>
                <w:sz w:val="18"/>
                <w:szCs w:val="18"/>
                <w:b w:val="1"/>
                <w:bCs w:val="1"/>
                <w:color w:val="FFFFFF"/>
              </w:rPr>
              <w:t>Name of Beneficial Owner</w:t>
            </w:r>
          </w:p>
        </w:tc>
        <w:tc>
          <w:tcPr>
            <w:tcW w:w="1620" w:type="dxa"/>
            <w:vAlign w:val="bottom"/>
            <w:tcBorders>
              <w:right w:val="single" w:sz="8" w:color="9EACCA"/>
            </w:tcBorders>
            <w:vMerge w:val="restart"/>
            <w:shd w:val="clear" w:color="auto" w:fill="3C5896"/>
          </w:tcPr>
          <w:p>
            <w:pPr>
              <w:jc w:val="right"/>
              <w:ind w:right="310"/>
              <w:spacing w:after="0"/>
              <w:rPr>
                <w:sz w:val="20"/>
                <w:szCs w:val="20"/>
                <w:color w:val="auto"/>
              </w:rPr>
            </w:pPr>
            <w:r>
              <w:rPr>
                <w:rFonts w:ascii="Arial" w:cs="Arial" w:eastAsia="Arial" w:hAnsi="Arial"/>
                <w:sz w:val="18"/>
                <w:szCs w:val="18"/>
                <w:b w:val="1"/>
                <w:bCs w:val="1"/>
                <w:color w:val="FFFFFF"/>
              </w:rPr>
              <w:t>Number</w:t>
            </w:r>
            <w:r>
              <w:rPr>
                <w:rFonts w:ascii="Arial" w:cs="Arial" w:eastAsia="Arial" w:hAnsi="Arial"/>
                <w:sz w:val="26"/>
                <w:szCs w:val="26"/>
                <w:b w:val="1"/>
                <w:bCs w:val="1"/>
                <w:color w:val="FFFFFF"/>
                <w:vertAlign w:val="superscript"/>
              </w:rPr>
              <w:t>(1)</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Total Common</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880" w:type="dxa"/>
            <w:vAlign w:val="bottom"/>
            <w:tcBorders>
              <w:right w:val="single" w:sz="8" w:color="9EACCA"/>
            </w:tcBorders>
            <w:vMerge w:val="continue"/>
            <w:shd w:val="clear" w:color="auto" w:fill="3C5896"/>
          </w:tcPr>
          <w:p>
            <w:pPr>
              <w:spacing w:after="0"/>
              <w:rPr>
                <w:sz w:val="21"/>
                <w:szCs w:val="21"/>
                <w:color w:val="auto"/>
              </w:rPr>
            </w:pPr>
          </w:p>
        </w:tc>
        <w:tc>
          <w:tcPr>
            <w:tcW w:w="162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60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88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Greater than 5% Stockholders:</w:t>
            </w:r>
          </w:p>
        </w:tc>
        <w:tc>
          <w:tcPr>
            <w:tcW w:w="162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JPMorgan Chase &amp; Co.</w:t>
            </w:r>
            <w:r>
              <w:rPr>
                <w:rFonts w:ascii="Arial" w:cs="Arial" w:eastAsia="Arial" w:hAnsi="Arial"/>
                <w:sz w:val="26"/>
                <w:szCs w:val="26"/>
                <w:color w:val="auto"/>
                <w:vertAlign w:val="superscript"/>
              </w:rPr>
              <w:t>(2)</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7,887,774</w:t>
            </w:r>
          </w:p>
        </w:tc>
        <w:tc>
          <w:tcPr>
            <w:tcW w:w="1640" w:type="dxa"/>
            <w:vAlign w:val="bottom"/>
            <w:tcBorders>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6"/>
                <w:szCs w:val="26"/>
                <w:color w:val="auto"/>
                <w:vertAlign w:val="superscript"/>
              </w:rPr>
              <w:t>(3)</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7,867,543</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(4)</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7,290,675</w:t>
            </w:r>
          </w:p>
        </w:tc>
        <w:tc>
          <w:tcPr>
            <w:tcW w:w="1640" w:type="dxa"/>
            <w:vAlign w:val="bottom"/>
            <w:tcBorders>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(5)</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5,799,645</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6"/>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62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0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 Reade Fahs</w:t>
            </w:r>
            <w:r>
              <w:rPr>
                <w:rFonts w:ascii="Arial" w:cs="Arial" w:eastAsia="Arial" w:hAnsi="Arial"/>
                <w:sz w:val="26"/>
                <w:szCs w:val="26"/>
                <w:color w:val="auto"/>
                <w:vertAlign w:val="superscript"/>
              </w:rPr>
              <w:t>(6)</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1,444,375</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202,535</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Jared Brandman</w:t>
            </w:r>
            <w:r>
              <w:rPr>
                <w:rFonts w:ascii="Arial" w:cs="Arial" w:eastAsia="Arial" w:hAnsi="Arial"/>
                <w:sz w:val="26"/>
                <w:szCs w:val="26"/>
                <w:color w:val="auto"/>
                <w:vertAlign w:val="superscript"/>
              </w:rPr>
              <w:t>(7)</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67,330</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Bill Clark</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17,701</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8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2,120</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D. Randolph Peeler</w:t>
            </w:r>
            <w:r>
              <w:rPr>
                <w:rFonts w:ascii="Arial" w:cs="Arial" w:eastAsia="Arial" w:hAnsi="Arial"/>
                <w:sz w:val="26"/>
                <w:szCs w:val="26"/>
                <w:color w:val="auto"/>
                <w:vertAlign w:val="superscript"/>
              </w:rPr>
              <w:t>(8)(9)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71,277</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David M. Tehle</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15,153</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Virginia A. Hepner</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9,527</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Thomas V. Taylor, Jr.</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12,971</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Heather Cianfrocco</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6,748</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Naomi Kelman</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2,687</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Susan S. Johnson</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2,368</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Jose Armario</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2,112</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60" w:type="dxa"/>
            <w:vAlign w:val="bottom"/>
            <w:tcBorders>
              <w:left w:val="single" w:sz="8" w:color="3C5896"/>
              <w:bottom w:val="single" w:sz="8" w:color="3C5896"/>
            </w:tcBorders>
            <w:shd w:val="clear" w:color="auto" w:fill="CCCCCC"/>
          </w:tcPr>
          <w:p>
            <w:pPr>
              <w:spacing w:after="0"/>
              <w:rPr>
                <w:sz w:val="24"/>
                <w:szCs w:val="24"/>
                <w:color w:val="auto"/>
              </w:rPr>
            </w:pPr>
          </w:p>
        </w:tc>
        <w:tc>
          <w:tcPr>
            <w:tcW w:w="588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6"/>
                <w:szCs w:val="26"/>
                <w:color w:val="auto"/>
                <w:vertAlign w:val="superscript"/>
              </w:rPr>
              <w:t>(10)</w:t>
            </w:r>
          </w:p>
        </w:tc>
        <w:tc>
          <w:tcPr>
            <w:tcW w:w="1620" w:type="dxa"/>
            <w:vAlign w:val="bottom"/>
            <w:tcBorders>
              <w:bottom w:val="single" w:sz="8" w:color="3C5896"/>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1,857,319</w:t>
            </w:r>
          </w:p>
        </w:tc>
        <w:tc>
          <w:tcPr>
            <w:tcW w:w="1640" w:type="dxa"/>
            <w:vAlign w:val="bottom"/>
            <w:tcBorders>
              <w:bottom w:val="single" w:sz="8" w:color="3C5896"/>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-3462655</wp:posOffset>
            </wp:positionV>
            <wp:extent cx="58204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71" w:lineRule="exact"/>
        <w:rPr>
          <w:sz w:val="20"/>
          <w:szCs w:val="20"/>
          <w:color w:val="auto"/>
        </w:rPr>
      </w:pPr>
    </w:p>
    <w:p>
      <w:pPr>
        <w:ind w:left="1120" w:hanging="358"/>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71" w:lineRule="exact"/>
        <w:rPr>
          <w:sz w:val="20"/>
          <w:szCs w:val="20"/>
          <w:color w:val="auto"/>
        </w:rPr>
      </w:pPr>
    </w:p>
    <w:p>
      <w:pPr>
        <w:jc w:val="both"/>
        <w:ind w:left="1120" w:hanging="359"/>
        <w:spacing w:after="0" w:line="252" w:lineRule="auto"/>
        <w:tabs>
          <w:tab w:leader="none" w:pos="1100" w:val="left"/>
        </w:tabs>
        <w:rPr>
          <w:sz w:val="20"/>
          <w:szCs w:val="20"/>
          <w:color w:val="auto"/>
        </w:rPr>
      </w:pPr>
      <w:r>
        <w:rPr>
          <w:rFonts w:ascii="Arial" w:cs="Arial" w:eastAsia="Arial" w:hAnsi="Arial"/>
          <w:sz w:val="15"/>
          <w:szCs w:val="15"/>
          <w:color w:val="auto"/>
        </w:rPr>
        <w:t>(1)</w:t>
        <w:tab/>
        <w:t>The number of shares reported includes shares covered by options that are exercisable within 60 days as follows: Mr. Fahs,1,042,908; Mr. Moore, 198,035; Mr. Brandman, 60,618; Mr. Clark, 17,701; Ms. Blackwood, 1,522; and all directors and executive officers as a group,1,326,138.</w:t>
      </w:r>
    </w:p>
    <w:p>
      <w:pPr>
        <w:spacing w:after="0" w:line="51" w:lineRule="exact"/>
        <w:rPr>
          <w:sz w:val="20"/>
          <w:szCs w:val="20"/>
          <w:color w:val="auto"/>
        </w:rPr>
      </w:pPr>
    </w:p>
    <w:p>
      <w:pPr>
        <w:jc w:val="both"/>
        <w:ind w:left="1120" w:hanging="358"/>
        <w:spacing w:after="0" w:line="249"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JPMorgan Chase &amp; Co. with the SEC on January 27,2021, reporting beneficial ownership as of December 31, 2020. JPMorgan Chase &amp; Co. reported that it has sole voting power with respect to 7,407,909 shares of common stock, shared voting power with respect to 70,828 shares of common stock, sole dispositive power with respect to 7,816,946 shares of common stock and shared dispositive power with respect to 70,828 shares of common stock.</w:t>
      </w:r>
    </w:p>
    <w:p>
      <w:pPr>
        <w:spacing w:after="0" w:line="53" w:lineRule="exact"/>
        <w:rPr>
          <w:rFonts w:ascii="Arial" w:cs="Arial" w:eastAsia="Arial" w:hAnsi="Arial"/>
          <w:sz w:val="15"/>
          <w:szCs w:val="15"/>
          <w:color w:val="auto"/>
        </w:rPr>
      </w:pPr>
    </w:p>
    <w:p>
      <w:pPr>
        <w:jc w:val="both"/>
        <w:ind w:left="1120" w:hanging="358"/>
        <w:spacing w:after="0" w:line="252"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Adage Capital Partners, L.P. with the SEC on February 11, 2021, reporting beneficial ownership as of December 31, 2020. Adage Capital Partners, L.P. reported that it has shared voting power and shared dispositive power with respect to 7,867,543 shares of common stock.</w:t>
      </w:r>
    </w:p>
    <w:p>
      <w:pPr>
        <w:spacing w:after="0" w:line="50"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The Vanguard Group with the SEC on February 10, 2021, reporting beneficial ownership as of December 31, 2020. The Vanguard Group reported that it has sole dispositive power with respect to 7,059,070 shares of common stock, shared voting power with respect to 167,752 shares of common stock and shared dispositive power with respect to 231,605 shares of common stock.</w:t>
      </w:r>
    </w:p>
    <w:p>
      <w:pPr>
        <w:spacing w:after="0" w:line="53" w:lineRule="exact"/>
        <w:rPr>
          <w:rFonts w:ascii="Arial" w:cs="Arial" w:eastAsia="Arial" w:hAnsi="Arial"/>
          <w:sz w:val="15"/>
          <w:szCs w:val="15"/>
          <w:color w:val="auto"/>
        </w:rPr>
      </w:pPr>
    </w:p>
    <w:p>
      <w:pPr>
        <w:jc w:val="both"/>
        <w:ind w:left="1120" w:hanging="358"/>
        <w:spacing w:after="0" w:line="252"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BlackRock, Inc. with the SEC on February 5, 2021, reporting beneficial ownership as of December 31, 2020. BlackRock, Inc. reported that it has sole voting power with respect to 5,661,640 shares of common stock and sole dispositive power with respect to 5,799,645 shares of common stock.</w:t>
      </w:r>
    </w:p>
    <w:p>
      <w:pPr>
        <w:spacing w:after="0" w:line="50" w:lineRule="exact"/>
        <w:rPr>
          <w:rFonts w:ascii="Arial" w:cs="Arial" w:eastAsia="Arial" w:hAnsi="Arial"/>
          <w:sz w:val="15"/>
          <w:szCs w:val="15"/>
          <w:color w:val="auto"/>
        </w:rPr>
      </w:pPr>
    </w:p>
    <w:p>
      <w:pPr>
        <w:ind w:left="1120" w:hanging="358"/>
        <w:spacing w:after="0"/>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shares held by the Fahs Family Trust.</w:t>
      </w:r>
    </w:p>
    <w:p>
      <w:pPr>
        <w:spacing w:after="0" w:line="84"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estimate of 235 shares to be purchased by Mr. Brandman through the ASPP based on the closing price of Company stock of $49.43 on March 1, 2021, the first day in the enrollment period for the current purchase cycle, and the ASPP discount.</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shares held by The David Randolph Peeler Trust—2001.</w:t>
      </w:r>
    </w:p>
    <w:p>
      <w:pPr>
        <w:spacing w:after="0" w:line="70"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Ms. Kelman, Ms. Johnson and Mr. Armario, the table includes grants made on September 14, 2020, October 26, 2020 and February 4, 2021, respectively, which will vest on their respective one-year grant anniversary dates. For Mr. Tehle, Ms. Hepner, Mr. Taylor and Ms. Cianfrocco, this table includes grants of restricted stock made on June 10, 2020 which will vest within 60 days of the record date.</w:t>
      </w:r>
    </w:p>
    <w:p>
      <w:pPr>
        <w:spacing w:after="0" w:line="53"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estimate of shares to be purchased by one executive officer through the ASPP based on the closing price of Company stock of $49.43 on March 1, 2021, the first day in the enrollment period for the current purchase cycle, and the ASPP discount.</w:t>
      </w:r>
    </w:p>
    <w:p>
      <w:pPr>
        <w:spacing w:after="0" w:line="311"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AUDIT COMMITTEE MATTERS</w:t>
      </w:r>
    </w:p>
    <w:p>
      <w:pPr>
        <w:spacing w:after="0" w:line="238" w:lineRule="exact"/>
        <w:rPr>
          <w:sz w:val="20"/>
          <w:szCs w:val="20"/>
          <w:color w:val="auto"/>
        </w:rPr>
      </w:pPr>
    </w:p>
    <w:p>
      <w:pPr>
        <w:ind w:left="760" w:right="1040"/>
        <w:spacing w:after="0" w:line="242" w:lineRule="auto"/>
        <w:rPr>
          <w:sz w:val="20"/>
          <w:szCs w:val="20"/>
          <w:color w:val="auto"/>
        </w:rPr>
      </w:pPr>
      <w:r>
        <w:rPr>
          <w:rFonts w:ascii="Arial" w:cs="Arial" w:eastAsia="Arial" w:hAnsi="Arial"/>
          <w:sz w:val="32"/>
          <w:szCs w:val="32"/>
          <w:color w:val="auto"/>
        </w:rPr>
        <w:t>PROPOSAL NO. 5—RATIFICATION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74930</wp:posOffset>
            </wp:positionV>
            <wp:extent cx="5837555" cy="14573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37555" cy="1457325"/>
                    </a:xfrm>
                    <a:prstGeom prst="rect">
                      <a:avLst/>
                    </a:prstGeom>
                    <a:noFill/>
                  </pic:spPr>
                </pic:pic>
              </a:graphicData>
            </a:graphic>
          </wp:anchor>
        </w:drawing>
      </w:r>
    </w:p>
    <w:p>
      <w:pPr>
        <w:spacing w:after="0" w:line="156" w:lineRule="exact"/>
        <w:rPr>
          <w:sz w:val="20"/>
          <w:szCs w:val="20"/>
          <w:color w:val="auto"/>
        </w:rPr>
      </w:pPr>
    </w:p>
    <w:p>
      <w:pPr>
        <w:ind w:left="820" w:right="300"/>
        <w:spacing w:after="0" w:line="289"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ratify the appointment of Deloitte &amp; Touche LLP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independent registered public accounting firm for fiscal 2021.</w:t>
      </w:r>
    </w:p>
    <w:p>
      <w:pPr>
        <w:spacing w:after="0" w:line="1" w:lineRule="exact"/>
        <w:rPr>
          <w:sz w:val="20"/>
          <w:szCs w:val="20"/>
          <w:color w:val="auto"/>
        </w:rPr>
      </w:pPr>
    </w:p>
    <w:p>
      <w:pPr>
        <w:ind w:left="820" w:right="20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ratification of Deloitte &amp;</w:t>
      </w:r>
      <w:r>
        <w:rPr>
          <w:rFonts w:ascii="Arial" w:cs="Arial" w:eastAsia="Arial" w:hAnsi="Arial"/>
          <w:sz w:val="18"/>
          <w:szCs w:val="18"/>
          <w:b w:val="1"/>
          <w:bCs w:val="1"/>
          <w:color w:val="auto"/>
        </w:rPr>
        <w:t xml:space="preserve"> </w:t>
      </w:r>
      <w:r>
        <w:rPr>
          <w:rFonts w:ascii="Arial" w:cs="Arial" w:eastAsia="Arial" w:hAnsi="Arial"/>
          <w:sz w:val="18"/>
          <w:szCs w:val="18"/>
          <w:color w:val="auto"/>
        </w:rPr>
        <w:t>Touche LLP as our independent auditors for fiscal 2021.</w:t>
      </w:r>
    </w:p>
    <w:p>
      <w:pPr>
        <w:spacing w:after="0" w:line="1" w:lineRule="exact"/>
        <w:rPr>
          <w:sz w:val="20"/>
          <w:szCs w:val="20"/>
          <w:color w:val="auto"/>
        </w:rPr>
      </w:pPr>
    </w:p>
    <w:p>
      <w:pPr>
        <w:ind w:left="820" w:right="100"/>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audit committee has sole authority to appoint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the Board submits its selection to our stockholders for ratification as a matter of good corporate governance. The proposal must be approved by a majority of the voting power of the shares of stock present in person or represented by proxy and entitled to vote at the Annual Meeting. If our stockholders should not ratify the appointment of Deloitte &amp; Touche LLP, the audit committee will reconsider the appointment.</w:t>
      </w:r>
    </w:p>
    <w:p>
      <w:pPr>
        <w:spacing w:after="0" w:line="26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2021.</w:t>
      </w:r>
    </w:p>
    <w:p>
      <w:pPr>
        <w:spacing w:after="0" w:line="89"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One or more representatives of Deloitte &amp; Touche LLP are expected to be present at the Annual Meeting. The representative(s) will have an opportunity to make a statement if they desire and will be available to respond to questions from stockholders.</w:t>
      </w:r>
    </w:p>
    <w:p>
      <w:pPr>
        <w:spacing w:after="0" w:line="99"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2020 and 2019 and for fees billed for other services rendered by Deloitte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770" w:type="dxa"/>
        <w:tblCellMar>
          <w:top w:w="0" w:type="dxa"/>
          <w:left w:w="0" w:type="dxa"/>
          <w:bottom w:w="0" w:type="dxa"/>
          <w:right w:w="0" w:type="dxa"/>
        </w:tblCellMar>
      </w:tblPr>
      <w:tr>
        <w:trPr>
          <w:trHeight w:val="250"/>
        </w:trPr>
        <w:tc>
          <w:tcPr>
            <w:tcW w:w="5480" w:type="dxa"/>
            <w:vAlign w:val="bottom"/>
            <w:tcBorders>
              <w:top w:val="single" w:sz="8" w:color="3C5896"/>
              <w:left w:val="single" w:sz="8" w:color="3C5896"/>
              <w:right w:val="single" w:sz="8" w:color="9EACCA"/>
            </w:tcBorders>
            <w:shd w:val="clear" w:color="auto" w:fill="3C5896"/>
          </w:tcPr>
          <w:p>
            <w:pPr>
              <w:spacing w:after="0"/>
              <w:rPr>
                <w:sz w:val="21"/>
                <w:szCs w:val="21"/>
                <w:color w:val="auto"/>
              </w:rPr>
            </w:pPr>
          </w:p>
        </w:tc>
        <w:tc>
          <w:tcPr>
            <w:tcW w:w="40" w:type="dxa"/>
            <w:vAlign w:val="bottom"/>
            <w:tcBorders>
              <w:top w:val="single" w:sz="8" w:color="3C5896"/>
            </w:tcBorders>
            <w:shd w:val="clear" w:color="auto" w:fill="3C5896"/>
          </w:tcPr>
          <w:p>
            <w:pPr>
              <w:spacing w:after="0"/>
              <w:rPr>
                <w:sz w:val="21"/>
                <w:szCs w:val="21"/>
                <w:color w:val="auto"/>
              </w:rPr>
            </w:pPr>
          </w:p>
        </w:tc>
        <w:tc>
          <w:tcPr>
            <w:tcW w:w="1820" w:type="dxa"/>
            <w:vAlign w:val="bottom"/>
            <w:tcBorders>
              <w:top w:val="single" w:sz="8" w:color="3C5896"/>
              <w:right w:val="single" w:sz="8" w:color="9EACCA"/>
            </w:tcBorders>
            <w:gridSpan w:val="2"/>
            <w:shd w:val="clear" w:color="auto" w:fill="3C5896"/>
          </w:tcPr>
          <w:p>
            <w:pPr>
              <w:jc w:val="right"/>
              <w:ind w:right="150"/>
              <w:spacing w:after="0"/>
              <w:rPr>
                <w:sz w:val="20"/>
                <w:szCs w:val="20"/>
                <w:color w:val="auto"/>
              </w:rPr>
            </w:pPr>
            <w:r>
              <w:rPr>
                <w:rFonts w:ascii="Arial" w:cs="Arial" w:eastAsia="Arial" w:hAnsi="Arial"/>
                <w:sz w:val="18"/>
                <w:szCs w:val="18"/>
                <w:b w:val="1"/>
                <w:bCs w:val="1"/>
                <w:color w:val="FFFFFF"/>
              </w:rPr>
              <w:t>Fiscal Year 2020</w:t>
            </w:r>
          </w:p>
        </w:tc>
        <w:tc>
          <w:tcPr>
            <w:tcW w:w="40" w:type="dxa"/>
            <w:vAlign w:val="bottom"/>
            <w:tcBorders>
              <w:top w:val="single" w:sz="8" w:color="3C5896"/>
            </w:tcBorders>
            <w:shd w:val="clear" w:color="auto" w:fill="3C5896"/>
          </w:tcPr>
          <w:p>
            <w:pPr>
              <w:spacing w:after="0"/>
              <w:rPr>
                <w:sz w:val="21"/>
                <w:szCs w:val="21"/>
                <w:color w:val="auto"/>
              </w:rPr>
            </w:pPr>
          </w:p>
        </w:tc>
        <w:tc>
          <w:tcPr>
            <w:tcW w:w="1820" w:type="dxa"/>
            <w:vAlign w:val="bottom"/>
            <w:tcBorders>
              <w:top w:val="single" w:sz="8" w:color="3C5896"/>
              <w:right w:val="single" w:sz="8" w:color="3C5896"/>
            </w:tcBorders>
            <w:shd w:val="clear" w:color="auto" w:fill="3C5896"/>
          </w:tcPr>
          <w:p>
            <w:pPr>
              <w:jc w:val="right"/>
              <w:ind w:right="170"/>
              <w:spacing w:after="0"/>
              <w:rPr>
                <w:sz w:val="20"/>
                <w:szCs w:val="20"/>
                <w:color w:val="auto"/>
              </w:rPr>
            </w:pPr>
            <w:r>
              <w:rPr>
                <w:rFonts w:ascii="Arial" w:cs="Arial" w:eastAsia="Arial" w:hAnsi="Arial"/>
                <w:sz w:val="18"/>
                <w:szCs w:val="18"/>
                <w:b w:val="1"/>
                <w:bCs w:val="1"/>
                <w:color w:val="FFFFFF"/>
              </w:rPr>
              <w:t>Fiscal Year 2019</w:t>
            </w:r>
          </w:p>
        </w:tc>
      </w:tr>
      <w:tr>
        <w:trPr>
          <w:trHeight w:val="243"/>
        </w:trPr>
        <w:tc>
          <w:tcPr>
            <w:tcW w:w="5480" w:type="dxa"/>
            <w:vAlign w:val="bottom"/>
            <w:tcBorders>
              <w:left w:val="single" w:sz="8" w:color="3C5896"/>
              <w:right w:val="single" w:sz="8" w:color="9EACCA"/>
            </w:tcBorders>
          </w:tcPr>
          <w:p>
            <w:pPr>
              <w:ind w:left="60"/>
              <w:spacing w:after="0" w:line="24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w w:val="97"/>
              </w:rPr>
              <w:t>1,972,656</w:t>
            </w:r>
          </w:p>
        </w:tc>
        <w:tc>
          <w:tcPr>
            <w:tcW w:w="1860" w:type="dxa"/>
            <w:vAlign w:val="bottom"/>
            <w:tcBorders>
              <w:right w:val="single" w:sz="8" w:color="3C5896"/>
            </w:tcBorders>
            <w:gridSpan w:val="2"/>
          </w:tcPr>
          <w:p>
            <w:pPr>
              <w:jc w:val="right"/>
              <w:ind w:right="390"/>
              <w:spacing w:after="0"/>
              <w:rPr>
                <w:sz w:val="20"/>
                <w:szCs w:val="20"/>
                <w:color w:val="auto"/>
              </w:rPr>
            </w:pPr>
            <w:r>
              <w:rPr>
                <w:rFonts w:ascii="Arial" w:cs="Arial" w:eastAsia="Arial" w:hAnsi="Arial"/>
                <w:sz w:val="18"/>
                <w:szCs w:val="18"/>
                <w:color w:val="auto"/>
              </w:rPr>
              <w:t>$2,064,280</w:t>
            </w:r>
          </w:p>
        </w:tc>
      </w:tr>
      <w:tr>
        <w:trPr>
          <w:trHeight w:val="243"/>
        </w:trPr>
        <w:tc>
          <w:tcPr>
            <w:tcW w:w="5480" w:type="dxa"/>
            <w:vAlign w:val="bottom"/>
            <w:tcBorders>
              <w:left w:val="single" w:sz="8" w:color="3C5896"/>
              <w:right w:val="single" w:sz="8" w:color="9EACCA"/>
            </w:tcBorders>
            <w:shd w:val="clear" w:color="auto" w:fill="CCCCCC"/>
          </w:tcPr>
          <w:p>
            <w:pPr>
              <w:ind w:left="60"/>
              <w:spacing w:after="0" w:line="243"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5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104,520</w:t>
            </w:r>
          </w:p>
        </w:tc>
        <w:tc>
          <w:tcPr>
            <w:tcW w:w="40" w:type="dxa"/>
            <w:vAlign w:val="bottom"/>
            <w:shd w:val="clear" w:color="auto" w:fill="CCCCCC"/>
          </w:tcPr>
          <w:p>
            <w:pPr>
              <w:spacing w:after="0"/>
              <w:rPr>
                <w:sz w:val="21"/>
                <w:szCs w:val="21"/>
                <w:color w:val="auto"/>
              </w:rPr>
            </w:pPr>
          </w:p>
        </w:tc>
        <w:tc>
          <w:tcPr>
            <w:tcW w:w="1820" w:type="dxa"/>
            <w:vAlign w:val="bottom"/>
            <w:tcBorders>
              <w:right w:val="single" w:sz="8" w:color="3C5896"/>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Borders>
              <w:left w:val="single" w:sz="8" w:color="3C5896"/>
              <w:right w:val="single" w:sz="8" w:color="9EACCA"/>
            </w:tcBorders>
          </w:tcPr>
          <w:p>
            <w:pPr>
              <w:ind w:left="60"/>
              <w:spacing w:after="0" w:line="24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17,375</w:t>
            </w:r>
          </w:p>
        </w:tc>
        <w:tc>
          <w:tcPr>
            <w:tcW w:w="40" w:type="dxa"/>
            <w:vAlign w:val="bottom"/>
          </w:tcPr>
          <w:p>
            <w:pPr>
              <w:spacing w:after="0"/>
              <w:rPr>
                <w:sz w:val="21"/>
                <w:szCs w:val="21"/>
                <w:color w:val="auto"/>
              </w:rPr>
            </w:pPr>
          </w:p>
        </w:tc>
        <w:tc>
          <w:tcPr>
            <w:tcW w:w="1820" w:type="dxa"/>
            <w:vAlign w:val="bottom"/>
            <w:tcBorders>
              <w:right w:val="single" w:sz="8" w:color="3C5896"/>
            </w:tcBorders>
          </w:tcPr>
          <w:p>
            <w:pPr>
              <w:jc w:val="right"/>
              <w:ind w:right="39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All other fees</w:t>
            </w:r>
          </w:p>
        </w:tc>
        <w:tc>
          <w:tcPr>
            <w:tcW w:w="40" w:type="dxa"/>
            <w:vAlign w:val="bottom"/>
            <w:shd w:val="clear" w:color="auto" w:fill="CCCCCC"/>
          </w:tcPr>
          <w:p>
            <w:pPr>
              <w:spacing w:after="0"/>
              <w:rPr>
                <w:sz w:val="19"/>
                <w:szCs w:val="19"/>
                <w:color w:val="auto"/>
              </w:rPr>
            </w:pPr>
          </w:p>
        </w:tc>
        <w:tc>
          <w:tcPr>
            <w:tcW w:w="540" w:type="dxa"/>
            <w:vAlign w:val="bottom"/>
            <w:shd w:val="clear" w:color="auto" w:fill="CCCCCC"/>
          </w:tcPr>
          <w:p>
            <w:pPr>
              <w:spacing w:after="0"/>
              <w:rPr>
                <w:sz w:val="19"/>
                <w:szCs w:val="19"/>
                <w:color w:val="auto"/>
              </w:rPr>
            </w:pPr>
          </w:p>
        </w:tc>
        <w:tc>
          <w:tcPr>
            <w:tcW w:w="128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19"/>
                <w:szCs w:val="19"/>
                <w:color w:val="auto"/>
              </w:rPr>
            </w:pPr>
          </w:p>
        </w:tc>
        <w:tc>
          <w:tcPr>
            <w:tcW w:w="1820" w:type="dxa"/>
            <w:vAlign w:val="bottom"/>
            <w:tcBorders>
              <w:right w:val="single" w:sz="8" w:color="3C5896"/>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r>
      <w:tr>
        <w:trPr>
          <w:trHeight w:val="270"/>
        </w:trPr>
        <w:tc>
          <w:tcPr>
            <w:tcW w:w="54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w w:val="97"/>
              </w:rPr>
              <w:t>2,094,551</w:t>
            </w:r>
          </w:p>
        </w:tc>
        <w:tc>
          <w:tcPr>
            <w:tcW w:w="1860" w:type="dxa"/>
            <w:vAlign w:val="bottom"/>
            <w:tcBorders>
              <w:right w:val="single" w:sz="8" w:color="3C5896"/>
            </w:tcBorders>
            <w:gridSpan w:val="2"/>
          </w:tcPr>
          <w:p>
            <w:pPr>
              <w:jc w:val="right"/>
              <w:ind w:right="390"/>
              <w:spacing w:after="0"/>
              <w:rPr>
                <w:sz w:val="20"/>
                <w:szCs w:val="20"/>
                <w:color w:val="auto"/>
              </w:rPr>
            </w:pPr>
            <w:r>
              <w:rPr>
                <w:rFonts w:ascii="Arial" w:cs="Arial" w:eastAsia="Arial" w:hAnsi="Arial"/>
                <w:sz w:val="18"/>
                <w:szCs w:val="18"/>
                <w:color w:val="auto"/>
              </w:rPr>
              <w:t>$2,064,280</w:t>
            </w:r>
          </w:p>
        </w:tc>
      </w:tr>
      <w:tr>
        <w:trPr>
          <w:trHeight w:val="20"/>
        </w:trPr>
        <w:tc>
          <w:tcPr>
            <w:tcW w:w="548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540" w:type="dxa"/>
            <w:vAlign w:val="bottom"/>
            <w:shd w:val="clear" w:color="auto" w:fill="3C5896"/>
          </w:tcPr>
          <w:p>
            <w:pPr>
              <w:spacing w:after="0" w:line="20" w:lineRule="exact"/>
              <w:rPr>
                <w:sz w:val="1"/>
                <w:szCs w:val="1"/>
                <w:color w:val="auto"/>
              </w:rPr>
            </w:pPr>
          </w:p>
        </w:tc>
        <w:tc>
          <w:tcPr>
            <w:tcW w:w="128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82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-788035</wp:posOffset>
            </wp:positionV>
            <wp:extent cx="58204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44" w:lineRule="exact"/>
        <w:rPr>
          <w:sz w:val="20"/>
          <w:szCs w:val="20"/>
          <w:color w:val="auto"/>
        </w:rPr>
      </w:pPr>
    </w:p>
    <w:p>
      <w:pPr>
        <w:ind w:left="1120" w:hanging="358"/>
        <w:spacing w:after="0" w:line="260"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the audit of the Company’s annual financial statements and the quarterly reviews of its financial statements, and assistance with documents filed with the SEC</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aggregate fees for professional services performed in connection with the issuance of comfort letters.</w:t>
      </w:r>
    </w:p>
    <w:p>
      <w:pPr>
        <w:spacing w:after="0" w:line="70" w:lineRule="exact"/>
        <w:rPr>
          <w:rFonts w:ascii="Arial" w:cs="Arial" w:eastAsia="Arial" w:hAnsi="Arial"/>
          <w:sz w:val="15"/>
          <w:szCs w:val="15"/>
          <w:color w:val="auto"/>
        </w:rPr>
      </w:pPr>
    </w:p>
    <w:p>
      <w:pPr>
        <w:ind w:left="1120" w:hanging="358"/>
        <w:spacing w:after="0"/>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tax compliance, and tax consultation and planning.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w:t>
      </w:r>
    </w:p>
    <w:p>
      <w:pPr>
        <w:spacing w:after="0" w:line="32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sz w:val="1"/>
          <w:szCs w:val="1"/>
          <w:color w:val="auto"/>
        </w:rPr>
        <w:drawing>
          <wp:inline distT="0" distB="0" distL="0" distR="0">
            <wp:extent cx="299720" cy="2317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99720" cy="231775"/>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FFFFFF"/>
        </w:rPr>
        <w:t>AUDIT COMMITTEE MATTERS</w:t>
      </w:r>
    </w:p>
    <w:p>
      <w:pPr>
        <w:spacing w:after="0" w:line="24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accounting firm for additional services not contemplated in the original pre-approval categories. In those instances, the audit committee requires specific pre-approval before engaging the independent registered public accounting firm.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spacing w:after="0" w:line="268" w:lineRule="auto"/>
        <w:rPr>
          <w:sz w:val="20"/>
          <w:szCs w:val="20"/>
          <w:color w:val="auto"/>
        </w:rPr>
      </w:pPr>
      <w:r>
        <w:rPr>
          <w:rFonts w:ascii="Arial" w:cs="Arial" w:eastAsia="Arial" w:hAnsi="Arial"/>
          <w:sz w:val="17"/>
          <w:szCs w:val="17"/>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90"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0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January 2, 2021 filed with the SEC.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Audit Committee</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David M. Tehle,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Virginia A. Hepner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Susan S. Johnson</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Naomi Kelman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198" w:lineRule="exact"/>
        <w:rPr>
          <w:sz w:val="20"/>
          <w:szCs w:val="20"/>
          <w:color w:val="auto"/>
        </w:rPr>
      </w:pPr>
    </w:p>
    <w:p>
      <w:pPr>
        <w:jc w:val="both"/>
        <w:ind w:left="760" w:right="20"/>
        <w:spacing w:after="0" w:line="268" w:lineRule="auto"/>
        <w:rPr>
          <w:sz w:val="20"/>
          <w:szCs w:val="20"/>
          <w:color w:val="auto"/>
        </w:rPr>
      </w:pPr>
      <w:r>
        <w:rPr>
          <w:rFonts w:ascii="Arial" w:cs="Arial" w:eastAsia="Arial" w:hAnsi="Arial"/>
          <w:sz w:val="32"/>
          <w:szCs w:val="32"/>
          <w:b w:val="1"/>
          <w:bCs w:val="1"/>
          <w:color w:val="auto"/>
        </w:rPr>
        <w:t>IMPORTANT INFORMATION ABOUT VOTING AT THE ANNUAL MEETING</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Annual Meeting will be conducted entirely by means of a virtual meeting format only due to the pandemic and to support the health and safety of our stockholders, associates, directors and officers. While you will not be able to attend the Annual Meeting at a physical location, we are committed to ensuring that stockholders will be afforded the same rights and opportunities to participate as they would at an in-person meeting. You will be able to attend the meeting online, vote your shares electronically and submit questions during the virtual Annual Meeting.</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The Annual Meeting will be a virtual meeting only and will be conducted exclusively by webcast. To attend the virtual Annual Meeting, please visit </w:t>
      </w:r>
      <w:r>
        <w:rPr>
          <w:rFonts w:ascii="Arial" w:cs="Arial" w:eastAsia="Arial" w:hAnsi="Arial"/>
          <w:sz w:val="18"/>
          <w:szCs w:val="18"/>
          <w:u w:val="single" w:color="auto"/>
          <w:color w:val="auto"/>
        </w:rPr>
        <w:t>http://www.meetingcenter.io/208004347</w:t>
      </w:r>
      <w:r>
        <w:rPr>
          <w:rFonts w:ascii="Arial" w:cs="Arial" w:eastAsia="Arial" w:hAnsi="Arial"/>
          <w:sz w:val="18"/>
          <w:szCs w:val="18"/>
          <w:color w:val="auto"/>
        </w:rPr>
        <w:t xml:space="preserve"> and enter your control number included on your Notice of Internet Availability of Proxy Materials, proxy card or voting instruction form, and the password EYE2021. The Annual Meeting will begin promptly at 1:00 p.m., Eastern Time, on June 8, 2021. We encourage you to access the Annual Meeting webcast 15 minutes prior to the start time.</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During the Annual Meeting, you may vote and submit questions by following the instructions provided on the meeting website.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during the Annual Meeting on the meeting website.</w:t>
      </w:r>
    </w:p>
    <w:p>
      <w:pPr>
        <w:spacing w:after="0" w:line="10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If you encounter technical difficulties accessing the Annual Meeting or during the check-in or meeting time, please call the technical support number that will be posted on the meeting log-in page for assistance. Technical support will be available beginning approximately 15 minutes prior to the start of the Annual Meeting through its conclusion.</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Even if you plan to attend and participate in the Annual Meeting, we encourage you to vote your shares in advance using one of the methods described in this proxy statement to ensure your vote will be represented at the Annual Meeting.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If at the close of business on April 15, 2021, you were a stockholder of record or held shares through a broker or bank, you may vote your shares during the Annual Meeting.</w:t>
      </w:r>
    </w:p>
    <w:p>
      <w:pPr>
        <w:spacing w:after="0" w:line="9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Except as set forth below, if you wish to vote in advance of the Annual Meeting using one of the following methods, your vote must be received prior to 11:59 p.m., Eastern Time, on June 7, 2021.</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vote by proxy if you are a stockholder of record: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ind w:left="1120" w:hanging="214"/>
        <w:spacing w:after="0"/>
        <w:tabs>
          <w:tab w:leader="none" w:pos="1120" w:val="left"/>
        </w:tabs>
        <w:numPr>
          <w:ilvl w:val="0"/>
          <w:numId w:val="53"/>
        </w:numPr>
        <w:rPr>
          <w:rFonts w:ascii="Arial" w:cs="Arial" w:eastAsia="Arial" w:hAnsi="Arial"/>
          <w:sz w:val="18"/>
          <w:szCs w:val="18"/>
          <w:color w:val="3C5896"/>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3"/>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to obtain your records and to create an electronic voting instruction form.</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1120" w:hanging="214"/>
        <w:spacing w:after="0" w:line="246"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From a touch-tone telephone, dial 1-800-652-VOTE (8683) and follow the recorded instructions, 24 hours a day, seven days a week.</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in order to vote by telephone.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sz w:val="1"/>
          <w:szCs w:val="1"/>
          <w:color w:val="auto"/>
        </w:rPr>
        <w:drawing>
          <wp:inline distT="0" distB="0" distL="0" distR="0">
            <wp:extent cx="299720" cy="24003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1120" w:hanging="214"/>
        <w:spacing w:after="0"/>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Mark your selections on the proxy card.</w:t>
      </w:r>
    </w:p>
    <w:p>
      <w:pPr>
        <w:spacing w:after="0" w:line="103" w:lineRule="exact"/>
        <w:rPr>
          <w:rFonts w:ascii="Arial" w:cs="Arial" w:eastAsia="Arial" w:hAnsi="Arial"/>
          <w:sz w:val="18"/>
          <w:szCs w:val="18"/>
          <w:color w:val="3C5896"/>
        </w:rPr>
      </w:pPr>
    </w:p>
    <w:p>
      <w:pPr>
        <w:ind w:left="1120" w:hanging="214"/>
        <w:spacing w:after="0"/>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3C5896"/>
        </w:rPr>
      </w:pPr>
    </w:p>
    <w:p>
      <w:pPr>
        <w:ind w:left="1120" w:hanging="214"/>
        <w:spacing w:after="0"/>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Mail the proxy card in the enclosed postage-paid envelope provided to you.</w:t>
      </w:r>
    </w:p>
    <w:p>
      <w:pPr>
        <w:spacing w:after="0" w:line="103"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If you received a Notice of Internet Availability of Proxy Materials and would like to vote in writing, please follow the instructions in the notice to obtain paper proxy materials.</w:t>
      </w:r>
    </w:p>
    <w:p>
      <w:pPr>
        <w:spacing w:after="0" w:line="89"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To vote by proxy if you are a beneficial owner of shares held through a broker, bank or other nominee, you may submit voting instructions to your broker, bank or other nominee. Please refer to information from your broker, bank or other nominee on how to submit voting instructions.</w:t>
      </w:r>
    </w:p>
    <w:p>
      <w:pPr>
        <w:spacing w:after="0" w:line="72"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7, 2021 to be counted. If you hold shares through a broker, bank or other nominee, please refer to information from your bank, broker or nominee for voting instructions.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If you are a stockholder of record or a beneficial owner of shares held through a broker, bank or other nominee, you may vote online during the Annual Meeting. You will need the control number included on your Notice of Internet Availability of Proxy Materials, proxy card or voting instruction form, and the password EYE2021 to log into the virtual Annual Meeting platform at </w:t>
      </w:r>
      <w:r>
        <w:rPr>
          <w:rFonts w:ascii="Arial" w:cs="Arial" w:eastAsia="Arial" w:hAnsi="Arial"/>
          <w:sz w:val="18"/>
          <w:szCs w:val="18"/>
          <w:u w:val="single" w:color="auto"/>
          <w:color w:val="auto"/>
        </w:rPr>
        <w:t>http://www.meetingcenter.io/208004347</w:t>
      </w:r>
      <w:r>
        <w:rPr>
          <w:rFonts w:ascii="Arial" w:cs="Arial" w:eastAsia="Arial" w:hAnsi="Arial"/>
          <w:sz w:val="18"/>
          <w:szCs w:val="18"/>
          <w:color w:val="auto"/>
        </w:rPr>
        <w:t>. Voting electronically at the Annual Meeting will replace any previous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OTHER INFORMATION FOR STOCKHOLDERS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Proposals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If any stockholder wishes to propose a matter for consideration at our 2022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2022 Annual Meeting, a proposal must be received by our Secretary on or before December 31, 2021. Failure to deliver a proposal in accordance with this procedure may result in it not being deemed timely received.</w:t>
      </w:r>
    </w:p>
    <w:p>
      <w:pPr>
        <w:spacing w:after="0" w:line="100"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2022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2022 Annual Meeting, such a proposal must be received on or after February 8, 2022, but not later than March 10, 2022. In the event that the date of the 2022 Annual Meeting is advanced by more than 30 days, or delayed by more than 70 days, from the anniversary date of this year’s Annual Meeting of Stockholders, notice by the stockholder to be timely must be so delivered not earlier than the 120th day prior to the 2022 Annual Meeting and not later than the close of business on the later of the 90th day prior to the 2022 Annual Meeting or the tenth day following the day on which public announcement of the date of the 2022 Annual Meeting is first made. Any such proposal will be considered timely only if it is otherwise in compliance with the requirements set forth in our Bylaws. Notwithstanding the foregoing, if the number of directors to be elected to the Board of Directors at the 2022 Annual Meeting is increased and there is no public announcement by the Company naming all of the nominees for director or specifying the size of the increased Board of Directors at least 100 calendar days prior to the first anniversary of the 2021 Annual Meeting (i.e. prior to February 28, 2022), then notice by a stockholder shall be considered timely, but only with respect to nominees for any new positions created by such increase, if it is received by the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5"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January 2, 2021 by contacting the Secretary, National Vision Holdings, Inc., 2435 Commerce Avenue, Building 2200, Duluth, Georgia 30096 or by telephone at (770) 822-3600.</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properly presented, the proxy holders have discretionary authority to vote all proxies in accordance with their best judgment.</w:t>
      </w:r>
    </w:p>
    <w:p>
      <w:pPr>
        <w:spacing w:after="0" w:line="385"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sz w:val="1"/>
          <w:szCs w:val="1"/>
          <w:color w:val="auto"/>
        </w:rPr>
        <w:drawing>
          <wp:inline distT="0" distB="0" distL="0" distR="0">
            <wp:extent cx="299720" cy="24003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right="2900"/>
        <w:spacing w:after="0" w:line="412" w:lineRule="auto"/>
        <w:rPr>
          <w:sz w:val="20"/>
          <w:szCs w:val="20"/>
          <w:color w:val="auto"/>
        </w:rPr>
      </w:pPr>
      <w:r>
        <w:rPr>
          <w:rFonts w:ascii="Arial" w:cs="Arial" w:eastAsia="Arial" w:hAnsi="Arial"/>
          <w:sz w:val="22"/>
          <w:szCs w:val="22"/>
          <w:b w:val="1"/>
          <w:bCs w:val="1"/>
          <w:color w:val="3C5896"/>
        </w:rPr>
        <w:t>Questions and Answers About the Annual Meeting and Voting Why am I being provided with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-358775</wp:posOffset>
            </wp:positionV>
            <wp:extent cx="58375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jc w:val="both"/>
        <w:ind w:left="760"/>
        <w:spacing w:after="0"/>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8, 2021, and at any postponements or adjournments of the Annual Meeting.</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am I voting 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five proposals scheduled to be voted on at the Annual Meeting:</w:t>
      </w:r>
    </w:p>
    <w:p>
      <w:pPr>
        <w:spacing w:after="0" w:line="109" w:lineRule="exact"/>
        <w:rPr>
          <w:sz w:val="20"/>
          <w:szCs w:val="20"/>
          <w:color w:val="auto"/>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the Class I director nominees listed in this proxy statement.</w:t>
      </w:r>
    </w:p>
    <w:p>
      <w:pPr>
        <w:spacing w:after="0" w:line="76"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b w:val="1"/>
          <w:bCs w:val="1"/>
          <w:color w:val="auto"/>
        </w:rPr>
        <w:t>Proposal No. 2</w:t>
      </w:r>
      <w:r>
        <w:rPr>
          <w:rFonts w:ascii="Arial" w:cs="Arial" w:eastAsia="Arial" w:hAnsi="Arial"/>
          <w:sz w:val="18"/>
          <w:szCs w:val="18"/>
          <w:color w:val="auto"/>
        </w:rPr>
        <w:t>: Approve an amendment to the certificate of incorporation to eliminate the classified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32"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b w:val="1"/>
          <w:bCs w:val="1"/>
          <w:color w:val="auto"/>
        </w:rPr>
        <w:t>Proposal No. 3</w:t>
      </w:r>
      <w:r>
        <w:rPr>
          <w:rFonts w:ascii="Arial" w:cs="Arial" w:eastAsia="Arial" w:hAnsi="Arial"/>
          <w:sz w:val="18"/>
          <w:szCs w:val="18"/>
          <w:color w:val="auto"/>
        </w:rPr>
        <w:t>: Approve an amendment to the certificate of incorporation to eliminate the supermajority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and other obsolete provisions.</w:t>
      </w:r>
    </w:p>
    <w:p>
      <w:pPr>
        <w:spacing w:after="0" w:line="18"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b w:val="1"/>
          <w:bCs w:val="1"/>
          <w:color w:val="auto"/>
        </w:rPr>
        <w:t>Proposal No. 4</w:t>
      </w:r>
      <w:r>
        <w:rPr>
          <w:rFonts w:ascii="Arial" w:cs="Arial" w:eastAsia="Arial" w:hAnsi="Arial"/>
          <w:sz w:val="18"/>
          <w:szCs w:val="18"/>
          <w:color w:val="auto"/>
        </w:rPr>
        <w:t>: Approval, in a non-binding advisory vote, of the compensation paid to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8"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b w:val="1"/>
          <w:bCs w:val="1"/>
          <w:color w:val="auto"/>
        </w:rPr>
        <w:t>Proposal No. 5</w:t>
      </w:r>
      <w:r>
        <w:rPr>
          <w:rFonts w:ascii="Arial" w:cs="Arial" w:eastAsia="Arial" w:hAnsi="Arial"/>
          <w:sz w:val="18"/>
          <w:szCs w:val="18"/>
          <w:color w:val="auto"/>
        </w:rPr>
        <w:t>: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fiscal 2021.</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is entitled to vote?</w:t>
      </w:r>
    </w:p>
    <w:p>
      <w:pPr>
        <w:spacing w:after="0" w:line="130"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Stockholders as of the close of business on April 15, 2021 (the “Record Date”) may vote at the Annual Meeting. As of that date, there were 81,423,974 shares of common stock outstanding. You have one vote for each share of common stock held by you as of the Record Date, including shares:</w:t>
      </w:r>
    </w:p>
    <w:p>
      <w:pPr>
        <w:spacing w:after="0" w:line="95" w:lineRule="exact"/>
        <w:rPr>
          <w:sz w:val="20"/>
          <w:szCs w:val="20"/>
          <w:color w:val="auto"/>
        </w:rPr>
      </w:pPr>
    </w:p>
    <w:p>
      <w:pPr>
        <w:ind w:left="1120" w:hanging="214"/>
        <w:spacing w:after="0"/>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color w:val="auto"/>
        </w:rPr>
        <w:t>Held directly in your name as “stockholder of record” (also referred to as “registered stockholder”);</w:t>
      </w:r>
    </w:p>
    <w:p>
      <w:pPr>
        <w:spacing w:after="0" w:line="90" w:lineRule="exact"/>
        <w:rPr>
          <w:rFonts w:ascii="Arial" w:cs="Arial" w:eastAsia="Arial" w:hAnsi="Arial"/>
          <w:sz w:val="18"/>
          <w:szCs w:val="18"/>
          <w:color w:val="3C5896"/>
        </w:rPr>
      </w:pPr>
    </w:p>
    <w:p>
      <w:pPr>
        <w:jc w:val="both"/>
        <w:ind w:left="1120" w:hanging="214"/>
        <w:spacing w:after="0"/>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67" w:lineRule="exact"/>
        <w:rPr>
          <w:rFonts w:ascii="Arial" w:cs="Arial" w:eastAsia="Arial" w:hAnsi="Arial"/>
          <w:sz w:val="18"/>
          <w:szCs w:val="18"/>
          <w:color w:val="3C5896"/>
        </w:rPr>
      </w:pPr>
    </w:p>
    <w:p>
      <w:pPr>
        <w:ind w:left="1120" w:hanging="214"/>
        <w:spacing w:after="0"/>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color w:val="auto"/>
        </w:rPr>
        <w:t>Held for you by us as restricted securities under either our 2014 Stock Plan or our 2017 Omnibus Plan.</w:t>
      </w:r>
    </w:p>
    <w:p>
      <w:pPr>
        <w:spacing w:after="0" w:line="139" w:lineRule="exact"/>
        <w:rPr>
          <w:sz w:val="20"/>
          <w:szCs w:val="20"/>
          <w:color w:val="auto"/>
        </w:rPr>
      </w:pPr>
    </w:p>
    <w:p>
      <w:pPr>
        <w:ind w:left="760" w:right="40"/>
        <w:spacing w:after="0" w:line="261" w:lineRule="auto"/>
        <w:rPr>
          <w:sz w:val="20"/>
          <w:szCs w:val="20"/>
          <w:color w:val="auto"/>
        </w:rPr>
      </w:pPr>
      <w:r>
        <w:rPr>
          <w:rFonts w:ascii="Arial" w:cs="Arial" w:eastAsia="Arial" w:hAnsi="Arial"/>
          <w:sz w:val="22"/>
          <w:szCs w:val="22"/>
          <w:b w:val="1"/>
          <w:bCs w:val="1"/>
          <w:color w:val="3C5896"/>
        </w:rPr>
        <w:t>Important Notice Regarding the Availability of Proxy Materials for the Stockholder Meeting to be held on Tuesday, June 8, 2021</w:t>
      </w:r>
    </w:p>
    <w:p>
      <w:pPr>
        <w:spacing w:after="0" w:line="7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 xml:space="preserve">This Proxy Statement and our Annual Report on Form 10-K for the year ended January 2, 2021 are available free of charge at </w:t>
      </w:r>
      <w:r>
        <w:rPr>
          <w:rFonts w:ascii="Arial" w:cs="Arial" w:eastAsia="Arial" w:hAnsi="Arial"/>
          <w:sz w:val="18"/>
          <w:szCs w:val="18"/>
          <w:i w:val="1"/>
          <w:iCs w:val="1"/>
          <w:u w:val="single" w:color="auto"/>
          <w:color w:val="auto"/>
        </w:rPr>
        <w:t>www.edocumentview.com/EYE</w:t>
      </w:r>
      <w:r>
        <w:rPr>
          <w:rFonts w:ascii="Arial" w:cs="Arial" w:eastAsia="Arial" w:hAnsi="Arial"/>
          <w:sz w:val="18"/>
          <w:szCs w:val="18"/>
          <w:color w:val="auto"/>
        </w:rPr>
        <w: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constitutes a quorum?</w:t>
      </w:r>
    </w:p>
    <w:p>
      <w:pPr>
        <w:spacing w:after="0" w:line="130"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is a “broker non-vote”?</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jc w:val="both"/>
        <w:ind w:left="760" w:firstLine="2"/>
        <w:spacing w:after="0" w:line="238" w:lineRule="auto"/>
        <w:tabs>
          <w:tab w:leader="none" w:pos="10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 (2) the broker lacks the authority to vote the shares at its discretion. Proposal Nos. 1, 2, 3 and 4 are considered non-routine matters, and a broker will lack the authority to vote uninstructed shares at their discretion on such proposals. Proposal No. 5 is considered a routine matter, and a broker will be permitted to exercise its discretion to vote uninstructed shares on this proposal.</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many votes are required to approve each proposal?</w:t>
      </w:r>
    </w:p>
    <w:p>
      <w:pPr>
        <w:spacing w:after="0" w:line="130"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Under our Bylaws, directors are elected by a plurality of the votes cast in respect of the shares present in person or represented by proxy at the Annual Meeting and entitled to vote on such election, which means that the Class I</w:t>
      </w:r>
    </w:p>
    <w:p>
      <w:pPr>
        <w:spacing w:after="0" w:line="29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4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director nominees with the greatest number of votes cast, even if less than a majority, will be elected until all positions in Class I of the Board have been filled. There is no cumulative voting.</w:t>
      </w:r>
    </w:p>
    <w:p>
      <w:pPr>
        <w:spacing w:after="0" w:line="90" w:lineRule="exact"/>
        <w:rPr>
          <w:sz w:val="20"/>
          <w:szCs w:val="20"/>
          <w:color w:val="auto"/>
        </w:rPr>
      </w:pPr>
    </w:p>
    <w:p>
      <w:pPr>
        <w:jc w:val="both"/>
        <w:ind w:left="760"/>
        <w:spacing w:after="0" w:line="226" w:lineRule="auto"/>
        <w:rPr>
          <w:sz w:val="20"/>
          <w:szCs w:val="20"/>
          <w:color w:val="auto"/>
        </w:rPr>
      </w:pPr>
      <w:r>
        <w:rPr>
          <w:rFonts w:ascii="Arial" w:cs="Arial" w:eastAsia="Arial" w:hAnsi="Arial"/>
          <w:sz w:val="18"/>
          <w:szCs w:val="18"/>
          <w:color w:val="auto"/>
        </w:rPr>
        <w:t>For proposals 2 and 3 being considered at the Annual Meeting, under our certificate of incorporation, approval of the proposal requires the votes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 shares of the stock of the Company entitled to vote on such proposal.</w:t>
      </w:r>
    </w:p>
    <w:p>
      <w:pPr>
        <w:spacing w:after="0" w:line="10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For proposals 4 and 5 being considered at the Annual Meeting, under our Bylaws, approval of the proposal requires the vote of the holders of a majority of the voting power of the shares of stock present in person or represented by proxy at the Annual Meeting and entitled to vote on such proposal. While Proposal No. 4, the vote on executive compensation, is advisory in nature and non-binding, the Board will review the voting results and expects to take them into consideration when making future decisions regarding executive compensation.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are votes counted?</w:t>
      </w:r>
    </w:p>
    <w:p>
      <w:pPr>
        <w:spacing w:after="0" w:line="13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the nominees. Votes that are “withheld” will have the same effect as an abstention and will not count as a vote “FOR” or “AGAINST” a director because directors are elected by plurality voting. Broker non-votes will have no effect on the outcome of Proposal No. 1.</w:t>
      </w:r>
    </w:p>
    <w:p>
      <w:pPr>
        <w:spacing w:after="0" w:line="9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With respect to the approval of the certificate of incorporation amendments to eliminate the classified structure of the Board (Proposal No. 2) and to eliminate the supermajority voting standards and other obsolete provisions (Proposal No. 3), ratification of our independent registered public accounting firm (Proposal No. 5) and the advisory vote to approve the compensation of our named executive officers (Proposal No. 4), you may vote “FOR,” “AGAINST” or “ABSTAIN.” For each of Proposal Nos. 2, 3, 4 and 5, abstentions will have the effect of a vote “against” the proposal. For Proposal No. 4, broker non-votes will have no effect on the outcome of the proposal.</w:t>
      </w:r>
    </w:p>
    <w:p>
      <w:pPr>
        <w:spacing w:after="0" w:line="10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does the Board recommend that I vote?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1120" w:hanging="214"/>
        <w:spacing w:after="0"/>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color w:val="auto"/>
        </w:rPr>
        <w:t>“FOR” the director nominees set forth in this proxy statement.</w:t>
      </w:r>
    </w:p>
    <w:p>
      <w:pPr>
        <w:spacing w:after="0" w:line="117"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color w:val="auto"/>
        </w:rPr>
        <w:t>“FOR” the approval of an amendment to the certificate of incorporation to eliminate the classified structure of the board of directors.</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color w:val="auto"/>
        </w:rPr>
        <w:t>“FOR” the approval an amendment to the certificate of incorporation to eliminate supermajority voting standards and other obsolete provisions.</w:t>
      </w:r>
    </w:p>
    <w:p>
      <w:pPr>
        <w:spacing w:after="0" w:line="88" w:lineRule="exact"/>
        <w:rPr>
          <w:rFonts w:ascii="Arial" w:cs="Arial" w:eastAsia="Arial" w:hAnsi="Arial"/>
          <w:sz w:val="18"/>
          <w:szCs w:val="18"/>
          <w:color w:val="3C5896"/>
        </w:rPr>
      </w:pPr>
    </w:p>
    <w:p>
      <w:pPr>
        <w:ind w:left="1120" w:right="20" w:hanging="214"/>
        <w:spacing w:after="0" w:line="246"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color w:val="auto"/>
        </w:rPr>
        <w:t>“FOR” the approval, on a non-binding, advisory basis, of the compensation paid to our named executive officers.</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color w:val="auto"/>
        </w:rPr>
        <w:t>“FOR” the ratification of the appointment of Deloitte &amp; Touche LLP as our independent registered public accounting firm for fiscal 2021.</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count the vote?</w:t>
      </w:r>
    </w:p>
    <w:p>
      <w:pPr>
        <w:spacing w:after="0" w:line="130"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without attending the Annual Meeting?</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If you are a stockholder of record, you may vote by authorizing a proxy to vote on your behalf at the Annual Meeting.</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Specifically, you may authorize a proxy:</w:t>
      </w:r>
    </w:p>
    <w:p>
      <w:pPr>
        <w:spacing w:after="0" w:line="113" w:lineRule="exact"/>
        <w:rPr>
          <w:sz w:val="20"/>
          <w:szCs w:val="20"/>
          <w:color w:val="auto"/>
        </w:rPr>
      </w:pPr>
    </w:p>
    <w:p>
      <w:pPr>
        <w:jc w:val="both"/>
        <w:ind w:left="1120" w:hanging="214"/>
        <w:spacing w:after="0" w:line="245"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www.investorvote.com/EYE</w:t>
      </w:r>
      <w:r>
        <w:rPr>
          <w:rFonts w:ascii="Arial" w:cs="Arial" w:eastAsia="Arial" w:hAnsi="Arial"/>
          <w:sz w:val="18"/>
          <w:szCs w:val="18"/>
          <w:i w:val="1"/>
          <w:iCs w:val="1"/>
          <w:color w:val="auto"/>
        </w:rPr>
        <w:t xml:space="preserve"> </w:t>
      </w:r>
      <w:r>
        <w:rPr>
          <w:rFonts w:ascii="Arial" w:cs="Arial" w:eastAsia="Arial" w:hAnsi="Arial"/>
          <w:sz w:val="18"/>
          <w:szCs w:val="18"/>
          <w:color w:val="auto"/>
        </w:rPr>
        <w:t>and by following the instructions on how to complete an electronic proxy card. You will need the control number included on your Notice of Internet Availability of Proxy Materials, proxy card or related materials in order to vote by Internet.</w:t>
      </w:r>
    </w:p>
    <w:p>
      <w:pPr>
        <w:spacing w:after="0" w:line="30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sz w:val="1"/>
          <w:szCs w:val="1"/>
          <w:color w:val="auto"/>
        </w:rPr>
        <w:drawing>
          <wp:inline distT="0" distB="0" distL="0" distR="0">
            <wp:extent cx="299720" cy="24003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29" w:lineRule="exact"/>
        <w:rPr>
          <w:sz w:val="20"/>
          <w:szCs w:val="20"/>
          <w:color w:val="auto"/>
        </w:rPr>
      </w:pPr>
    </w:p>
    <w:p>
      <w:pPr>
        <w:jc w:val="both"/>
        <w:ind w:left="1120" w:hanging="214"/>
        <w:spacing w:after="0" w:line="250" w:lineRule="auto"/>
        <w:tabs>
          <w:tab w:leader="none" w:pos="1120" w:val="left"/>
        </w:tabs>
        <w:numPr>
          <w:ilvl w:val="0"/>
          <w:numId w:val="61"/>
        </w:numPr>
        <w:rPr>
          <w:rFonts w:ascii="Arial" w:cs="Arial" w:eastAsia="Arial" w:hAnsi="Arial"/>
          <w:sz w:val="18"/>
          <w:szCs w:val="18"/>
          <w:color w:val="3C5896"/>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control number included on your notice, proxy card or related materials in order to vote by telephone.</w:t>
      </w:r>
    </w:p>
    <w:p>
      <w:pPr>
        <w:spacing w:after="0" w:line="68" w:lineRule="exact"/>
        <w:rPr>
          <w:rFonts w:ascii="Arial" w:cs="Arial" w:eastAsia="Arial" w:hAnsi="Arial"/>
          <w:sz w:val="18"/>
          <w:szCs w:val="18"/>
          <w:color w:val="3C5896"/>
        </w:rPr>
      </w:pPr>
    </w:p>
    <w:p>
      <w:pPr>
        <w:jc w:val="both"/>
        <w:ind w:left="1120" w:hanging="214"/>
        <w:spacing w:after="0" w:line="242" w:lineRule="auto"/>
        <w:tabs>
          <w:tab w:leader="none" w:pos="1120" w:val="left"/>
        </w:tabs>
        <w:numPr>
          <w:ilvl w:val="0"/>
          <w:numId w:val="61"/>
        </w:numPr>
        <w:rPr>
          <w:rFonts w:ascii="Arial" w:cs="Arial" w:eastAsia="Arial" w:hAnsi="Arial"/>
          <w:sz w:val="18"/>
          <w:szCs w:val="18"/>
          <w:color w:val="3C5896"/>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73"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7, 2021. Proxy cards with respect to shares held of record must be received no later than June 7, 2021.</w:t>
      </w:r>
    </w:p>
    <w:p>
      <w:pPr>
        <w:spacing w:after="0" w:line="6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does it mean if I receive more than one proxy card on or about the same time?</w:t>
      </w:r>
    </w:p>
    <w:p>
      <w:pPr>
        <w:spacing w:after="0" w:line="13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May I change my vote or revoke my proxy?</w:t>
      </w:r>
    </w:p>
    <w:p>
      <w:pPr>
        <w:spacing w:after="0" w:line="13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90" w:lineRule="exact"/>
        <w:rPr>
          <w:sz w:val="20"/>
          <w:szCs w:val="20"/>
          <w:color w:val="auto"/>
        </w:rPr>
      </w:pPr>
    </w:p>
    <w:p>
      <w:pPr>
        <w:ind w:left="1120" w:hanging="214"/>
        <w:spacing w:after="0" w:line="246" w:lineRule="auto"/>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color w:val="auto"/>
        </w:rPr>
        <w:t>sending a written statement to that effect to our Secretary, provided such statement is received no later than June 7, 2021;</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color w:val="auto"/>
        </w:rPr>
        <w:t>voting by Internet or telephone at a later time than your previous vote and before the closing of those voting facilities at 11:59 p.m., Eastern Time, on June 7, 2021;</w:t>
      </w:r>
    </w:p>
    <w:p>
      <w:pPr>
        <w:spacing w:after="0" w:line="88" w:lineRule="exact"/>
        <w:rPr>
          <w:rFonts w:ascii="Arial" w:cs="Arial" w:eastAsia="Arial" w:hAnsi="Arial"/>
          <w:sz w:val="18"/>
          <w:szCs w:val="18"/>
          <w:color w:val="3C5896"/>
        </w:rPr>
      </w:pPr>
    </w:p>
    <w:p>
      <w:pPr>
        <w:ind w:left="1120" w:right="20" w:hanging="214"/>
        <w:spacing w:after="0" w:line="246" w:lineRule="auto"/>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color w:val="auto"/>
        </w:rPr>
        <w:t>submitting a properly signed proxy card, which has a later date than your previous vote, and that is received no later than June 7, 2021; or</w:t>
      </w:r>
    </w:p>
    <w:p>
      <w:pPr>
        <w:spacing w:after="0" w:line="88" w:lineRule="exact"/>
        <w:rPr>
          <w:rFonts w:ascii="Arial" w:cs="Arial" w:eastAsia="Arial" w:hAnsi="Arial"/>
          <w:sz w:val="18"/>
          <w:szCs w:val="18"/>
          <w:color w:val="3C5896"/>
        </w:rPr>
      </w:pPr>
    </w:p>
    <w:p>
      <w:pPr>
        <w:ind w:left="1120" w:hanging="214"/>
        <w:spacing w:after="0"/>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color w:val="auto"/>
        </w:rPr>
        <w:t>attending the virtual Annual Meeting and voting online during the meeting.</w:t>
      </w:r>
    </w:p>
    <w:p>
      <w:pPr>
        <w:spacing w:after="0" w:line="10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Could other matters be decided at the Annual Meeting?</w:t>
      </w:r>
    </w:p>
    <w:p>
      <w:pPr>
        <w:spacing w:after="0" w:line="13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pay for the cost of this proxy solicitation?</w:t>
      </w:r>
    </w:p>
    <w:p>
      <w:pPr>
        <w:spacing w:after="0" w:line="130"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$22,000 plus expenses.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right="160"/>
        <w:spacing w:after="0" w:line="261" w:lineRule="auto"/>
        <w:rPr>
          <w:sz w:val="20"/>
          <w:szCs w:val="20"/>
          <w:color w:val="auto"/>
        </w:rPr>
      </w:pPr>
      <w:r>
        <w:rPr>
          <w:rFonts w:ascii="Arial" w:cs="Arial" w:eastAsia="Arial" w:hAnsi="Arial"/>
          <w:sz w:val="22"/>
          <w:szCs w:val="22"/>
          <w:b w:val="1"/>
          <w:bCs w:val="1"/>
          <w:color w:val="3C5896"/>
        </w:rPr>
        <w:t>How can I view copies of the Company’s corporate documents and SEC filings, including the Proxy Statement and Annual Report?</w:t>
      </w:r>
    </w:p>
    <w:p>
      <w:pPr>
        <w:spacing w:after="0" w:line="75"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 xml:space="preserve">Our website contains the Company’s Certificate of Incorporation, Bylaws, Corporate Governance Guidelines, Committee Charters, Code of Conduct and the Company’s SEC filings. To view these documents, go to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xml:space="preserve"> and click on “Investors.” Copies of our Annual Report on Form 10-K for the year ended January 2, 2021 are also available without charge to stockholders upon written request addressed to:</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sz w:val="1"/>
          <w:szCs w:val="1"/>
          <w:color w:val="auto"/>
        </w:rPr>
        <w:drawing>
          <wp:inline distT="0" distB="0" distL="0" distR="0">
            <wp:extent cx="299720" cy="24003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67" w:lineRule="auto"/>
        <w:rPr>
          <w:sz w:val="20"/>
          <w:szCs w:val="20"/>
          <w:color w:val="auto"/>
        </w:rPr>
      </w:pPr>
      <w:r>
        <w:rPr>
          <w:rFonts w:ascii="Arial" w:cs="Arial" w:eastAsia="Arial" w:hAnsi="Arial"/>
          <w:sz w:val="17"/>
          <w:szCs w:val="17"/>
          <w:color w:val="auto"/>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March 3, 2021. This information is also available in the investors section of the Company’s website,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w:t>
      </w:r>
    </w:p>
    <w:p>
      <w:pPr>
        <w:spacing w:after="0" w:line="92"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We define Adjusted Operating Income as net income, plus interest expense and income tax provision (benefit), further adjusted to exclude stock compensation expense, debt issuance costs, loss on extinguishment of debt, asset impairment, litigation settlement, secondary offering expenses, management realignment expenses, long-term incentive plan expenses, amortization of acquisition intangibles and other expenses.</w:t>
      </w:r>
    </w:p>
    <w:p>
      <w:pPr>
        <w:spacing w:after="0" w:line="9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We define Adjusted EBITDA as EBITDA (net income, plus interest expense, income tax provision (benefit), and depreciation and amortization), further adjusted to exclude stock compensation expense, debt issuance costs, loss on the extinguishment of debt, asset impairment, litigation settlement, secondary offering expenses, management realignment expenses, long-term incentive plan expenses, and other expenses.</w:t>
      </w:r>
    </w:p>
    <w:p>
      <w:pPr>
        <w:spacing w:after="0" w:line="96"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We define STIP Adjusted EBITDA as Adjusted EBITDA, further adjusted to exclude margin on unearned revenue and short-term incentive plan expenses.</w:t>
      </w:r>
    </w:p>
    <w:p>
      <w:pPr>
        <w:spacing w:after="0" w:line="90"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101"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define Adjusted Diluted EPS as diluted earnings per share, adjusted for the per share impact of stock compensation expense, debt issuance costs,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of our 2025 notes when not required under GAAP to be added back for diluted earnings per share, losses (gains) on change in fair value of derivatives, other expenses, and tax benefit of stock option exercises, less the tax effect of these adjustments.</w:t>
      </w:r>
    </w:p>
    <w:p>
      <w:pPr>
        <w:spacing w:after="0" w:line="9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In 2020, we introduced Adjusted Operating Income as a measure of performance we planned to use in addition to Adjusted EBITDA and Adjusted Diluted EPS. We believe Adjusted Operating Income enhance an understanding of our performance by highlighting the results from ongoing operations and the profitability of our business. We continue to evaluate our use of the Company Non-GAAP measures in the context of the development of our business, and may introduce or discontinue certain measures in the future as we deem appropriate.</w:t>
      </w:r>
    </w:p>
    <w:p>
      <w:pPr>
        <w:spacing w:after="0" w:line="32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4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Further, consistent with our presentation of Adjusted Operating Income, we no longer exclude new store pre-opening expenses and non-cash rent from our presentation of Adjusted EBITDA and Adjusted Diluted EPS. New store pre-opening expenses totaled $2.6 million and $3.3 million for the fiscal years 2020 and 2019, respectively; and non-cash rent totaled $2.6 million and $3.2 million for fiscal years 2020 and 2019, respectively. The presentation of Adjusted EBITDA and Adjusted Diluted EPS for the fiscal year end 2019 has been recast to reflect these changes. See our Form 8-K filed with the SEC on February 26, 2020 for more information.</w:t>
      </w:r>
    </w:p>
    <w:p>
      <w:pPr>
        <w:spacing w:after="0" w:line="10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Adjusted EBITDA, STIP Adjusted EBITDA Adjusted Operating Income, Adjusted Diluted EPS and Adjusted Comparable Store Sales Growth are not recognized terms under GAAP and should not be considered as an alternative to net income or comparable store sales growth as a measure of operating performance, or any other performance measure derived in accordance with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sz w:val="1"/>
          <w:szCs w:val="1"/>
          <w:color w:val="auto"/>
        </w:rPr>
        <w:drawing>
          <wp:inline distT="0" distB="0" distL="0" distR="0">
            <wp:extent cx="299720" cy="24003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left="1300" w:right="178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Reconciliation of GAAP and Non-GAAP Financial Measures For the Fiscal Years Ended January 2, 2021 and December 28, 2019 </w:t>
      </w:r>
      <w:r>
        <w:rPr>
          <w:rFonts w:ascii="Arial" w:cs="Arial" w:eastAsia="Arial" w:hAnsi="Arial"/>
          <w:sz w:val="18"/>
          <w:szCs w:val="18"/>
          <w:i w:val="1"/>
          <w:iCs w:val="1"/>
          <w:color w:val="auto"/>
        </w:rPr>
        <w:t xml:space="preserve">In Thousands, Except Earnings Per Share </w:t>
      </w:r>
      <w:r>
        <w:rPr>
          <w:rFonts w:ascii="Arial" w:cs="Arial" w:eastAsia="Arial" w:hAnsi="Arial"/>
          <w:sz w:val="18"/>
          <w:szCs w:val="18"/>
          <w:b w:val="1"/>
          <w:bCs w:val="1"/>
          <w:color w:val="auto"/>
        </w:rPr>
        <w:t>(Unaudited)</w:t>
      </w:r>
    </w:p>
    <w:p>
      <w:pPr>
        <w:spacing w:after="0" w:line="355" w:lineRule="exact"/>
        <w:rPr>
          <w:sz w:val="20"/>
          <w:szCs w:val="20"/>
          <w:color w:val="auto"/>
        </w:rPr>
      </w:pPr>
    </w:p>
    <w:tbl>
      <w:tblPr>
        <w:tblLayout w:type="fixed"/>
        <w:tblInd w:w="770" w:type="dxa"/>
        <w:tblCellMar>
          <w:top w:w="0" w:type="dxa"/>
          <w:left w:w="0" w:type="dxa"/>
          <w:bottom w:w="0" w:type="dxa"/>
          <w:right w:w="0" w:type="dxa"/>
        </w:tblCellMar>
      </w:tblPr>
      <w:tr>
        <w:trPr>
          <w:trHeight w:val="239"/>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3C5896"/>
            </w:tcBorders>
          </w:tcPr>
          <w:p>
            <w:pPr>
              <w:spacing w:after="0"/>
              <w:rPr>
                <w:sz w:val="12"/>
                <w:szCs w:val="12"/>
                <w:color w:val="auto"/>
              </w:rPr>
            </w:pPr>
          </w:p>
        </w:tc>
        <w:tc>
          <w:tcPr>
            <w:tcW w:w="5180" w:type="dxa"/>
            <w:vAlign w:val="bottom"/>
            <w:tcBorders>
              <w:bottom w:val="single" w:sz="8" w:color="3C5896"/>
            </w:tcBorders>
          </w:tcPr>
          <w:p>
            <w:pPr>
              <w:spacing w:after="0"/>
              <w:rPr>
                <w:sz w:val="12"/>
                <w:szCs w:val="12"/>
                <w:color w:val="auto"/>
              </w:rPr>
            </w:pPr>
          </w:p>
        </w:tc>
        <w:tc>
          <w:tcPr>
            <w:tcW w:w="10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00" w:type="dxa"/>
            <w:vAlign w:val="bottom"/>
            <w:tcBorders>
              <w:bottom w:val="single" w:sz="8" w:color="3C5896"/>
            </w:tcBorders>
            <w:gridSpan w:val="2"/>
          </w:tcPr>
          <w:p>
            <w:pPr>
              <w:spacing w:after="0"/>
              <w:rPr>
                <w:sz w:val="12"/>
                <w:szCs w:val="12"/>
                <w:color w:val="auto"/>
              </w:rPr>
            </w:pPr>
          </w:p>
        </w:tc>
        <w:tc>
          <w:tcPr>
            <w:tcW w:w="380" w:type="dxa"/>
            <w:vAlign w:val="bottom"/>
            <w:tcBorders>
              <w:bottom w:val="single" w:sz="8" w:color="3C5896"/>
            </w:tcBorders>
          </w:tcPr>
          <w:p>
            <w:pPr>
              <w:spacing w:after="0"/>
              <w:rPr>
                <w:sz w:val="12"/>
                <w:szCs w:val="12"/>
                <w:color w:val="auto"/>
              </w:rPr>
            </w:pPr>
          </w:p>
        </w:tc>
        <w:tc>
          <w:tcPr>
            <w:tcW w:w="10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40" w:type="dxa"/>
            <w:vAlign w:val="bottom"/>
            <w:tcBorders>
              <w:bottom w:val="single" w:sz="8" w:color="3C5896"/>
            </w:tcBorders>
          </w:tcPr>
          <w:p>
            <w:pPr>
              <w:spacing w:after="0"/>
              <w:rPr>
                <w:sz w:val="12"/>
                <w:szCs w:val="12"/>
                <w:color w:val="auto"/>
              </w:rPr>
            </w:pPr>
          </w:p>
        </w:tc>
        <w:tc>
          <w:tcPr>
            <w:tcW w:w="140" w:type="dxa"/>
            <w:vAlign w:val="bottom"/>
            <w:tcBorders>
              <w:bottom w:val="single" w:sz="8" w:color="3C5896"/>
            </w:tcBorders>
          </w:tcPr>
          <w:p>
            <w:pPr>
              <w:spacing w:after="0"/>
              <w:rPr>
                <w:sz w:val="12"/>
                <w:szCs w:val="12"/>
                <w:color w:val="auto"/>
              </w:rPr>
            </w:pPr>
          </w:p>
        </w:tc>
        <w:tc>
          <w:tcPr>
            <w:tcW w:w="620" w:type="dxa"/>
            <w:vAlign w:val="bottom"/>
            <w:tcBorders>
              <w:bottom w:val="single" w:sz="8" w:color="3C5896"/>
            </w:tcBorders>
            <w:gridSpan w:val="2"/>
          </w:tcPr>
          <w:p>
            <w:pPr>
              <w:spacing w:after="0"/>
              <w:rPr>
                <w:sz w:val="12"/>
                <w:szCs w:val="12"/>
                <w:color w:val="auto"/>
              </w:rPr>
            </w:pPr>
          </w:p>
        </w:tc>
        <w:tc>
          <w:tcPr>
            <w:tcW w:w="360" w:type="dxa"/>
            <w:vAlign w:val="bottom"/>
            <w:tcBorders>
              <w:bottom w:val="single" w:sz="8" w:color="3C5896"/>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5180" w:type="dxa"/>
            <w:vAlign w:val="bottom"/>
            <w:tcBorders>
              <w:right w:val="single" w:sz="8" w:color="9EACCA"/>
            </w:tcBorders>
            <w:vMerge w:val="restart"/>
            <w:shd w:val="clear" w:color="auto" w:fill="3C5896"/>
          </w:tcPr>
          <w:p>
            <w:pPr>
              <w:ind w:left="2000"/>
              <w:spacing w:after="0"/>
              <w:rPr>
                <w:sz w:val="20"/>
                <w:szCs w:val="20"/>
                <w:color w:val="auto"/>
              </w:rPr>
            </w:pPr>
            <w:r>
              <w:rPr>
                <w:rFonts w:ascii="Arial" w:cs="Arial" w:eastAsia="Arial" w:hAnsi="Arial"/>
                <w:sz w:val="18"/>
                <w:szCs w:val="18"/>
                <w:b w:val="1"/>
                <w:bCs w:val="1"/>
                <w:color w:val="FFFFFF"/>
              </w:rPr>
              <w:t>In thousands</w:t>
            </w:r>
          </w:p>
        </w:tc>
        <w:tc>
          <w:tcPr>
            <w:tcW w:w="100" w:type="dxa"/>
            <w:vAlign w:val="bottom"/>
            <w:shd w:val="clear" w:color="auto" w:fill="3C5896"/>
          </w:tcPr>
          <w:p>
            <w:pPr>
              <w:spacing w:after="0"/>
              <w:rPr>
                <w:sz w:val="16"/>
                <w:szCs w:val="16"/>
                <w:color w:val="auto"/>
              </w:rPr>
            </w:pPr>
          </w:p>
        </w:tc>
        <w:tc>
          <w:tcPr>
            <w:tcW w:w="120" w:type="dxa"/>
            <w:vAlign w:val="bottom"/>
            <w:shd w:val="clear" w:color="auto" w:fill="3C5896"/>
          </w:tcPr>
          <w:p>
            <w:pPr>
              <w:spacing w:after="0"/>
              <w:rPr>
                <w:sz w:val="16"/>
                <w:szCs w:val="16"/>
                <w:color w:val="auto"/>
              </w:rPr>
            </w:pPr>
          </w:p>
        </w:tc>
        <w:tc>
          <w:tcPr>
            <w:tcW w:w="1760" w:type="dxa"/>
            <w:vAlign w:val="bottom"/>
            <w:tcBorders>
              <w:right w:val="single" w:sz="8" w:color="9EACCA"/>
            </w:tcBorders>
            <w:gridSpan w:val="5"/>
            <w:shd w:val="clear" w:color="auto" w:fill="3C5896"/>
          </w:tcPr>
          <w:p>
            <w:pPr>
              <w:jc w:val="center"/>
              <w:ind w:right="30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00" w:type="dxa"/>
            <w:vAlign w:val="bottom"/>
            <w:shd w:val="clear" w:color="auto" w:fill="3C5896"/>
          </w:tcPr>
          <w:p>
            <w:pPr>
              <w:spacing w:after="0"/>
              <w:rPr>
                <w:sz w:val="16"/>
                <w:szCs w:val="16"/>
                <w:color w:val="auto"/>
              </w:rPr>
            </w:pPr>
          </w:p>
        </w:tc>
        <w:tc>
          <w:tcPr>
            <w:tcW w:w="120" w:type="dxa"/>
            <w:vAlign w:val="bottom"/>
            <w:shd w:val="clear" w:color="auto" w:fill="3C5896"/>
          </w:tcPr>
          <w:p>
            <w:pPr>
              <w:spacing w:after="0"/>
              <w:rPr>
                <w:sz w:val="16"/>
                <w:szCs w:val="16"/>
                <w:color w:val="auto"/>
              </w:rPr>
            </w:pPr>
          </w:p>
        </w:tc>
        <w:tc>
          <w:tcPr>
            <w:tcW w:w="1760" w:type="dxa"/>
            <w:vAlign w:val="bottom"/>
            <w:tcBorders>
              <w:right w:val="single" w:sz="8" w:color="3C5896"/>
            </w:tcBorders>
            <w:gridSpan w:val="5"/>
            <w:shd w:val="clear" w:color="auto" w:fill="3C5896"/>
          </w:tcPr>
          <w:p>
            <w:pPr>
              <w:jc w:val="center"/>
              <w:ind w:right="30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180" w:type="dxa"/>
            <w:vAlign w:val="bottom"/>
            <w:tcBorders>
              <w:right w:val="single" w:sz="8" w:color="9EACCA"/>
            </w:tcBorders>
            <w:vMerge w:val="continue"/>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60"/>
              <w:spacing w:after="0"/>
              <w:rPr>
                <w:sz w:val="20"/>
                <w:szCs w:val="20"/>
                <w:color w:val="auto"/>
              </w:rPr>
            </w:pPr>
            <w:r>
              <w:rPr>
                <w:rFonts w:ascii="Arial" w:cs="Arial" w:eastAsia="Arial" w:hAnsi="Arial"/>
                <w:sz w:val="18"/>
                <w:szCs w:val="18"/>
                <w:b w:val="1"/>
                <w:bCs w:val="1"/>
                <w:color w:val="FFFFFF"/>
              </w:rPr>
              <w:t>2020</w:t>
            </w:r>
          </w:p>
        </w:tc>
        <w:tc>
          <w:tcPr>
            <w:tcW w:w="260" w:type="dxa"/>
            <w:vAlign w:val="bottom"/>
            <w:shd w:val="clear" w:color="auto" w:fill="3C5896"/>
          </w:tcPr>
          <w:p>
            <w:pPr>
              <w:spacing w:after="0"/>
              <w:rPr>
                <w:sz w:val="21"/>
                <w:szCs w:val="21"/>
                <w:color w:val="auto"/>
              </w:rPr>
            </w:pPr>
          </w:p>
        </w:tc>
        <w:tc>
          <w:tcPr>
            <w:tcW w:w="380" w:type="dxa"/>
            <w:vAlign w:val="bottom"/>
            <w:tcBorders>
              <w:right w:val="single" w:sz="8" w:color="9EACCA"/>
            </w:tcBorders>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00" w:type="dxa"/>
            <w:vAlign w:val="bottom"/>
            <w:gridSpan w:val="3"/>
            <w:shd w:val="clear" w:color="auto" w:fill="3C5896"/>
          </w:tcPr>
          <w:p>
            <w:pPr>
              <w:jc w:val="right"/>
              <w:ind w:right="160"/>
              <w:spacing w:after="0"/>
              <w:rPr>
                <w:sz w:val="20"/>
                <w:szCs w:val="20"/>
                <w:color w:val="auto"/>
              </w:rPr>
            </w:pPr>
            <w:r>
              <w:rPr>
                <w:rFonts w:ascii="Arial" w:cs="Arial" w:eastAsia="Arial" w:hAnsi="Arial"/>
                <w:sz w:val="18"/>
                <w:szCs w:val="18"/>
                <w:b w:val="1"/>
                <w:bCs w:val="1"/>
                <w:color w:val="FFFFFF"/>
              </w:rPr>
              <w:t>2019</w:t>
            </w:r>
          </w:p>
        </w:tc>
        <w:tc>
          <w:tcPr>
            <w:tcW w:w="300" w:type="dxa"/>
            <w:vAlign w:val="bottom"/>
            <w:shd w:val="clear" w:color="auto" w:fill="3C5896"/>
          </w:tcPr>
          <w:p>
            <w:pPr>
              <w:spacing w:after="0"/>
              <w:rPr>
                <w:sz w:val="21"/>
                <w:szCs w:val="21"/>
                <w:color w:val="auto"/>
              </w:rPr>
            </w:pPr>
          </w:p>
        </w:tc>
        <w:tc>
          <w:tcPr>
            <w:tcW w:w="36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18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36,277</w:t>
            </w:r>
          </w:p>
        </w:tc>
        <w:tc>
          <w:tcPr>
            <w:tcW w:w="340" w:type="dxa"/>
            <w:vAlign w:val="bottom"/>
          </w:tcPr>
          <w:p>
            <w:pPr>
              <w:spacing w:after="0"/>
              <w:rPr>
                <w:sz w:val="21"/>
                <w:szCs w:val="21"/>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32,798</w:t>
            </w:r>
          </w:p>
        </w:tc>
        <w:tc>
          <w:tcPr>
            <w:tcW w:w="320" w:type="dxa"/>
            <w:vAlign w:val="bottom"/>
          </w:tcPr>
          <w:p>
            <w:pPr>
              <w:spacing w:after="0"/>
              <w:rPr>
                <w:sz w:val="21"/>
                <w:szCs w:val="21"/>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1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48,171</w:t>
            </w:r>
          </w:p>
        </w:tc>
        <w:tc>
          <w:tcPr>
            <w:tcW w:w="340" w:type="dxa"/>
            <w:vAlign w:val="bottom"/>
            <w:shd w:val="clear" w:color="auto" w:fill="CCCCCC"/>
          </w:tcPr>
          <w:p>
            <w:pPr>
              <w:spacing w:after="0"/>
              <w:rPr>
                <w:sz w:val="22"/>
                <w:szCs w:val="22"/>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2.8%</w:t>
            </w:r>
          </w:p>
        </w:tc>
        <w:tc>
          <w:tcPr>
            <w:tcW w:w="1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33,300</w:t>
            </w:r>
          </w:p>
        </w:tc>
        <w:tc>
          <w:tcPr>
            <w:tcW w:w="320" w:type="dxa"/>
            <w:vAlign w:val="bottom"/>
            <w:shd w:val="clear" w:color="auto" w:fill="CCCCCC"/>
          </w:tcPr>
          <w:p>
            <w:pPr>
              <w:spacing w:after="0"/>
              <w:rPr>
                <w:sz w:val="22"/>
                <w:szCs w:val="22"/>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1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2,403</w:t>
            </w:r>
          </w:p>
        </w:tc>
        <w:tc>
          <w:tcPr>
            <w:tcW w:w="340" w:type="dxa"/>
            <w:vAlign w:val="bottom"/>
          </w:tcPr>
          <w:p>
            <w:pPr>
              <w:spacing w:after="0"/>
              <w:rPr>
                <w:sz w:val="21"/>
                <w:szCs w:val="21"/>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right w:val="single" w:sz="8" w:color="9EACCA"/>
            </w:tcBorders>
            <w:gridSpan w:val="2"/>
          </w:tcPr>
          <w:p>
            <w:pPr>
              <w:jc w:val="right"/>
              <w:ind w:right="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21"/>
                <w:szCs w:val="21"/>
                <w:color w:val="auto"/>
              </w:rPr>
            </w:pPr>
          </w:p>
        </w:tc>
        <w:tc>
          <w:tcPr>
            <w:tcW w:w="660" w:type="dxa"/>
            <w:vAlign w:val="bottom"/>
            <w:tcBorders>
              <w:right w:val="single" w:sz="8" w:color="3C5896"/>
            </w:tcBorders>
            <w:gridSpan w:val="2"/>
          </w:tcPr>
          <w:p>
            <w:pPr>
              <w:jc w:val="right"/>
              <w:ind w:right="140"/>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1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1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10,740</w:t>
            </w:r>
          </w:p>
        </w:tc>
        <w:tc>
          <w:tcPr>
            <w:tcW w:w="340" w:type="dxa"/>
            <w:vAlign w:val="bottom"/>
            <w:shd w:val="clear" w:color="auto" w:fill="CCCCCC"/>
          </w:tcPr>
          <w:p>
            <w:pPr>
              <w:spacing w:after="0"/>
              <w:rPr>
                <w:sz w:val="24"/>
                <w:szCs w:val="24"/>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0.6%</w:t>
            </w:r>
          </w:p>
        </w:tc>
        <w:tc>
          <w:tcPr>
            <w:tcW w:w="1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12,670</w:t>
            </w:r>
          </w:p>
        </w:tc>
        <w:tc>
          <w:tcPr>
            <w:tcW w:w="320" w:type="dxa"/>
            <w:vAlign w:val="bottom"/>
            <w:shd w:val="clear" w:color="auto" w:fill="CCCCCC"/>
          </w:tcPr>
          <w:p>
            <w:pPr>
              <w:spacing w:after="0"/>
              <w:rPr>
                <w:sz w:val="24"/>
                <w:szCs w:val="24"/>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9,786</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22,004</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1.3%</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8,894</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4,395</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2,155</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2,830</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6"/>
                <w:szCs w:val="26"/>
                <w:color w:val="auto"/>
                <w:vertAlign w:val="superscript"/>
              </w:rPr>
              <w:t>(h)</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7,426</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7,405</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right w:val="single" w:sz="8" w:color="9EACCA"/>
            </w:tcBorders>
            <w:shd w:val="clear" w:color="auto" w:fill="CCCCCC"/>
          </w:tcPr>
          <w:p>
            <w:pPr>
              <w:spacing w:after="0"/>
              <w:rPr>
                <w:sz w:val="23"/>
                <w:szCs w:val="23"/>
                <w:color w:val="auto"/>
              </w:rPr>
            </w:pP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6,370</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180" w:type="dxa"/>
            <w:vAlign w:val="bottom"/>
            <w:tcBorders>
              <w:right w:val="single" w:sz="8" w:color="9EACCA"/>
            </w:tcBorders>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9EACCA"/>
            </w:tcBorders>
            <w:shd w:val="clear" w:color="auto" w:fill="CCCCCC"/>
          </w:tcPr>
          <w:p>
            <w:pPr>
              <w:spacing w:after="0" w:line="20" w:lineRule="exact"/>
              <w:rPr>
                <w:sz w:val="1"/>
                <w:szCs w:val="1"/>
                <w:color w:val="auto"/>
              </w:rPr>
            </w:pPr>
          </w:p>
        </w:tc>
        <w:tc>
          <w:tcPr>
            <w:tcW w:w="340" w:type="dxa"/>
            <w:vAlign w:val="bottom"/>
            <w:shd w:val="clear" w:color="auto" w:fill="CCCC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right w:val="single" w:sz="8" w:color="9EACCA"/>
            </w:tcBorders>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left w:val="single" w:sz="8" w:color="3C5896"/>
            </w:tcBorders>
          </w:tcPr>
          <w:p>
            <w:pPr>
              <w:spacing w:after="0"/>
              <w:rPr>
                <w:sz w:val="24"/>
                <w:szCs w:val="24"/>
                <w:color w:val="auto"/>
              </w:rPr>
            </w:pPr>
          </w:p>
        </w:tc>
        <w:tc>
          <w:tcPr>
            <w:tcW w:w="5180" w:type="dxa"/>
            <w:vAlign w:val="bottom"/>
            <w:tcBorders>
              <w:right w:val="single" w:sz="8" w:color="9EACCA"/>
            </w:tcBorders>
          </w:tcPr>
          <w:p>
            <w:pPr>
              <w:ind w:left="18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134,148</w:t>
            </w:r>
          </w:p>
        </w:tc>
        <w:tc>
          <w:tcPr>
            <w:tcW w:w="120" w:type="dxa"/>
            <w:vAlign w:val="bottom"/>
            <w:tcBorders>
              <w:right w:val="single" w:sz="8" w:color="9EACCA"/>
            </w:tcBorders>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5"/>
              </w:rPr>
              <w:t>114,300</w:t>
            </w:r>
          </w:p>
        </w:tc>
        <w:tc>
          <w:tcPr>
            <w:tcW w:w="320" w:type="dxa"/>
            <w:vAlign w:val="bottom"/>
          </w:tcPr>
          <w:p>
            <w:pPr>
              <w:spacing w:after="0"/>
              <w:rPr>
                <w:sz w:val="24"/>
                <w:szCs w:val="24"/>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518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20" w:type="dxa"/>
            <w:vAlign w:val="bottom"/>
            <w:tcBorders>
              <w:right w:val="single" w:sz="8" w:color="3C5896"/>
            </w:tcBorders>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260" w:type="dxa"/>
            <w:vAlign w:val="bottom"/>
            <w:shd w:val="clear" w:color="auto" w:fill="3C5896"/>
          </w:tcPr>
          <w:p>
            <w:pPr>
              <w:spacing w:after="0" w:line="20" w:lineRule="exact"/>
              <w:rPr>
                <w:sz w:val="1"/>
                <w:szCs w:val="1"/>
                <w:color w:val="auto"/>
              </w:rPr>
            </w:pPr>
          </w:p>
        </w:tc>
        <w:tc>
          <w:tcPr>
            <w:tcW w:w="38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4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3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-2228215</wp:posOffset>
            </wp:positionV>
            <wp:extent cx="582041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EBITDA, Adjusted EBITDA and STIP Adjusted EBITDA to Net Income</w:t>
      </w:r>
    </w:p>
    <w:p>
      <w:pPr>
        <w:spacing w:after="0" w:line="16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5040" w:type="dxa"/>
            <w:vAlign w:val="bottom"/>
            <w:tcBorders>
              <w:top w:val="single" w:sz="8" w:color="3C5896"/>
              <w:right w:val="single" w:sz="8" w:color="9EACCA"/>
            </w:tcBorders>
            <w:vMerge w:val="restart"/>
            <w:shd w:val="clear" w:color="auto" w:fill="3C5896"/>
          </w:tcPr>
          <w:p>
            <w:pPr>
              <w:ind w:left="1940"/>
              <w:spacing w:after="0"/>
              <w:rPr>
                <w:sz w:val="20"/>
                <w:szCs w:val="20"/>
                <w:color w:val="auto"/>
              </w:rPr>
            </w:pPr>
            <w:r>
              <w:rPr>
                <w:rFonts w:ascii="Arial" w:cs="Arial" w:eastAsia="Arial" w:hAnsi="Arial"/>
                <w:sz w:val="18"/>
                <w:szCs w:val="18"/>
                <w:b w:val="1"/>
                <w:bCs w:val="1"/>
                <w:color w:val="FFFFFF"/>
              </w:rPr>
              <w:t>In thousands</w:t>
            </w:r>
          </w:p>
        </w:tc>
        <w:tc>
          <w:tcPr>
            <w:tcW w:w="12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1800" w:type="dxa"/>
            <w:vAlign w:val="bottom"/>
            <w:tcBorders>
              <w:top w:val="single" w:sz="8" w:color="3C5896"/>
              <w:right w:val="single" w:sz="8" w:color="9EACCA"/>
            </w:tcBorders>
            <w:gridSpan w:val="5"/>
            <w:shd w:val="clear" w:color="auto" w:fill="3C5896"/>
          </w:tcPr>
          <w:p>
            <w:pPr>
              <w:jc w:val="center"/>
              <w:ind w:right="300"/>
              <w:spacing w:after="0"/>
              <w:rPr>
                <w:sz w:val="20"/>
                <w:szCs w:val="20"/>
                <w:color w:val="auto"/>
              </w:rPr>
            </w:pPr>
            <w:r>
              <w:rPr>
                <w:rFonts w:ascii="Arial" w:cs="Arial" w:eastAsia="Arial" w:hAnsi="Arial"/>
                <w:sz w:val="18"/>
                <w:szCs w:val="18"/>
                <w:b w:val="1"/>
                <w:bCs w:val="1"/>
                <w:color w:val="FFFFFF"/>
                <w:w w:val="98"/>
              </w:rPr>
              <w:t>Fiscal Year</w:t>
            </w:r>
          </w:p>
        </w:tc>
        <w:tc>
          <w:tcPr>
            <w:tcW w:w="12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1820" w:type="dxa"/>
            <w:vAlign w:val="bottom"/>
            <w:tcBorders>
              <w:top w:val="single" w:sz="8" w:color="3C5896"/>
              <w:right w:val="single" w:sz="8" w:color="3C5896"/>
            </w:tcBorders>
            <w:gridSpan w:val="5"/>
            <w:shd w:val="clear" w:color="auto" w:fill="3C5896"/>
          </w:tcPr>
          <w:p>
            <w:pPr>
              <w:jc w:val="center"/>
              <w:ind w:right="320"/>
              <w:spacing w:after="0"/>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040" w:type="dxa"/>
            <w:vAlign w:val="bottom"/>
            <w:tcBorders>
              <w:right w:val="single" w:sz="8" w:color="9EACCA"/>
            </w:tcBorders>
            <w:vMerge w:val="continue"/>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40"/>
              <w:spacing w:after="0"/>
              <w:rPr>
                <w:sz w:val="20"/>
                <w:szCs w:val="20"/>
                <w:color w:val="auto"/>
              </w:rPr>
            </w:pPr>
            <w:r>
              <w:rPr>
                <w:rFonts w:ascii="Arial" w:cs="Arial" w:eastAsia="Arial" w:hAnsi="Arial"/>
                <w:sz w:val="18"/>
                <w:szCs w:val="18"/>
                <w:b w:val="1"/>
                <w:bCs w:val="1"/>
                <w:color w:val="FFFFFF"/>
              </w:rPr>
              <w:t>2020</w:t>
            </w:r>
          </w:p>
        </w:tc>
        <w:tc>
          <w:tcPr>
            <w:tcW w:w="340" w:type="dxa"/>
            <w:vAlign w:val="bottom"/>
            <w:shd w:val="clear" w:color="auto" w:fill="3C5896"/>
          </w:tcPr>
          <w:p>
            <w:pPr>
              <w:spacing w:after="0"/>
              <w:rPr>
                <w:sz w:val="21"/>
                <w:szCs w:val="21"/>
                <w:color w:val="auto"/>
              </w:rPr>
            </w:pPr>
          </w:p>
        </w:tc>
        <w:tc>
          <w:tcPr>
            <w:tcW w:w="340" w:type="dxa"/>
            <w:vAlign w:val="bottom"/>
            <w:tcBorders>
              <w:right w:val="single" w:sz="8" w:color="9EACCA"/>
            </w:tcBorders>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40"/>
              <w:spacing w:after="0"/>
              <w:rPr>
                <w:sz w:val="20"/>
                <w:szCs w:val="20"/>
                <w:color w:val="auto"/>
              </w:rPr>
            </w:pPr>
            <w:r>
              <w:rPr>
                <w:rFonts w:ascii="Arial" w:cs="Arial" w:eastAsia="Arial" w:hAnsi="Arial"/>
                <w:sz w:val="18"/>
                <w:szCs w:val="18"/>
                <w:b w:val="1"/>
                <w:bCs w:val="1"/>
                <w:color w:val="FFFFFF"/>
              </w:rPr>
              <w:t>2019</w:t>
            </w:r>
          </w:p>
        </w:tc>
        <w:tc>
          <w:tcPr>
            <w:tcW w:w="340" w:type="dxa"/>
            <w:vAlign w:val="bottom"/>
            <w:shd w:val="clear" w:color="auto" w:fill="3C5896"/>
          </w:tcPr>
          <w:p>
            <w:pPr>
              <w:spacing w:after="0"/>
              <w:rPr>
                <w:sz w:val="21"/>
                <w:szCs w:val="21"/>
                <w:color w:val="auto"/>
              </w:rPr>
            </w:pPr>
          </w:p>
        </w:tc>
        <w:tc>
          <w:tcPr>
            <w:tcW w:w="36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36,277</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32,798</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48,171</w:t>
            </w: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33,300</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2,403</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91,585</w:t>
            </w:r>
          </w:p>
        </w:tc>
        <w:tc>
          <w:tcPr>
            <w:tcW w:w="140" w:type="dxa"/>
            <w:vAlign w:val="bottom"/>
            <w:tcBorders>
              <w:right w:val="single" w:sz="8" w:color="9EACCA"/>
            </w:tcBorders>
            <w:shd w:val="clear" w:color="auto" w:fill="CCCCCC"/>
          </w:tcPr>
          <w:p>
            <w:pPr>
              <w:spacing w:after="0"/>
              <w:rPr>
                <w:sz w:val="22"/>
                <w:szCs w:val="22"/>
                <w:color w:val="auto"/>
              </w:rPr>
            </w:pP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87,244</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0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178,436</w:t>
            </w:r>
          </w:p>
        </w:tc>
        <w:tc>
          <w:tcPr>
            <w:tcW w:w="140" w:type="dxa"/>
            <w:vAlign w:val="bottom"/>
            <w:tcBorders>
              <w:right w:val="single" w:sz="8" w:color="9EACCA"/>
            </w:tcBorders>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151,033</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0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10,740</w:t>
            </w:r>
          </w:p>
        </w:tc>
        <w:tc>
          <w:tcPr>
            <w:tcW w:w="320" w:type="dxa"/>
            <w:vAlign w:val="bottom"/>
            <w:shd w:val="clear" w:color="auto" w:fill="CCCCCC"/>
          </w:tcPr>
          <w:p>
            <w:pPr>
              <w:spacing w:after="0"/>
              <w:rPr>
                <w:sz w:val="24"/>
                <w:szCs w:val="24"/>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12,670</w:t>
            </w:r>
          </w:p>
        </w:tc>
        <w:tc>
          <w:tcPr>
            <w:tcW w:w="320" w:type="dxa"/>
            <w:vAlign w:val="bottom"/>
            <w:shd w:val="clear" w:color="auto" w:fill="CCCCCC"/>
          </w:tcPr>
          <w:p>
            <w:pPr>
              <w:spacing w:after="0"/>
              <w:rPr>
                <w:sz w:val="24"/>
                <w:szCs w:val="24"/>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9,786</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22,004</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8,894</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4,395</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2,155</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2,830</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right w:val="single" w:sz="8" w:color="9EACCA"/>
            </w:tcBorders>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6,370</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040" w:type="dxa"/>
            <w:vAlign w:val="bottom"/>
            <w:tcBorders>
              <w:right w:val="single" w:sz="8" w:color="9EACCA"/>
            </w:tcBorders>
            <w:vMerge w:val="restart"/>
            <w:shd w:val="clear" w:color="auto" w:fill="CCCCCC"/>
          </w:tcPr>
          <w:p>
            <w:pPr>
              <w:ind w:left="180"/>
              <w:spacing w:after="0"/>
              <w:rPr>
                <w:sz w:val="20"/>
                <w:szCs w:val="20"/>
                <w:color w:val="auto"/>
              </w:rPr>
            </w:pPr>
            <w:r>
              <w:rPr>
                <w:rFonts w:ascii="Arial" w:cs="Arial" w:eastAsia="Arial" w:hAnsi="Arial"/>
                <w:sz w:val="18"/>
                <w:szCs w:val="18"/>
                <w:b w:val="1"/>
                <w:bCs w:val="1"/>
                <w:color w:val="auto"/>
              </w:rPr>
              <w:t>Adjusted EBITDA / Adjusted EBITDA Margin</w:t>
            </w: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tcBorders>
            <w:shd w:val="clear" w:color="auto" w:fill="CCCCCC"/>
          </w:tcPr>
          <w:p>
            <w:pPr>
              <w:spacing w:after="0"/>
              <w:rPr>
                <w:sz w:val="21"/>
                <w:szCs w:val="21"/>
                <w:color w:val="auto"/>
              </w:rPr>
            </w:pPr>
          </w:p>
        </w:tc>
        <w:tc>
          <w:tcPr>
            <w:tcW w:w="5040" w:type="dxa"/>
            <w:vAlign w:val="bottom"/>
            <w:tcBorders>
              <w:right w:val="single" w:sz="8" w:color="9EACCA"/>
            </w:tcBorders>
            <w:vMerge w:val="continue"/>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8"/>
              </w:rPr>
              <w:t>218,307</w:t>
            </w:r>
          </w:p>
        </w:tc>
        <w:tc>
          <w:tcPr>
            <w:tcW w:w="140" w:type="dxa"/>
            <w:vAlign w:val="bottom"/>
            <w:tcBorders>
              <w:right w:val="single" w:sz="8" w:color="9EACCA"/>
            </w:tcBorders>
            <w:shd w:val="clear" w:color="auto" w:fill="CCCCCC"/>
          </w:tcPr>
          <w:p>
            <w:pPr>
              <w:spacing w:after="0"/>
              <w:rPr>
                <w:sz w:val="21"/>
                <w:szCs w:val="21"/>
                <w:color w:val="auto"/>
              </w:rPr>
            </w:pPr>
          </w:p>
        </w:tc>
        <w:tc>
          <w:tcPr>
            <w:tcW w:w="320" w:type="dxa"/>
            <w:vAlign w:val="bottom"/>
            <w:shd w:val="clear" w:color="auto" w:fill="CCCCCC"/>
          </w:tcPr>
          <w:p>
            <w:pPr>
              <w:spacing w:after="0"/>
              <w:rPr>
                <w:sz w:val="21"/>
                <w:szCs w:val="21"/>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w w:val="93"/>
              </w:rPr>
              <w:t>12.8%</w:t>
            </w:r>
          </w:p>
        </w:tc>
        <w:tc>
          <w:tcPr>
            <w:tcW w:w="2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w w:val="98"/>
              </w:rPr>
              <w:t>194,139</w:t>
            </w:r>
          </w:p>
        </w:tc>
        <w:tc>
          <w:tcPr>
            <w:tcW w:w="320" w:type="dxa"/>
            <w:vAlign w:val="bottom"/>
            <w:shd w:val="clear" w:color="auto" w:fill="CCCCCC"/>
          </w:tcPr>
          <w:p>
            <w:pPr>
              <w:spacing w:after="0"/>
              <w:rPr>
                <w:sz w:val="21"/>
                <w:szCs w:val="21"/>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w w:val="93"/>
              </w:rPr>
              <w:t>11.3%</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Margin on unearned revenue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3,551</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STIP</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8,653</w:t>
            </w: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8,826</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5040" w:type="dxa"/>
            <w:vAlign w:val="bottom"/>
            <w:tcBorders>
              <w:right w:val="single" w:sz="8" w:color="9EACCA"/>
            </w:tcBorders>
          </w:tcPr>
          <w:p>
            <w:pPr>
              <w:ind w:left="180"/>
              <w:spacing w:after="0"/>
              <w:rPr>
                <w:sz w:val="20"/>
                <w:szCs w:val="20"/>
                <w:color w:val="auto"/>
              </w:rPr>
            </w:pPr>
            <w:r>
              <w:rPr>
                <w:rFonts w:ascii="Arial" w:cs="Arial" w:eastAsia="Arial" w:hAnsi="Arial"/>
                <w:sz w:val="18"/>
                <w:szCs w:val="18"/>
                <w:b w:val="1"/>
                <w:bCs w:val="1"/>
                <w:color w:val="auto"/>
              </w:rPr>
              <w:t>STIP Adjusted EBITDA / STIP Adjusted EBITDA Margin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230,511</w:t>
            </w:r>
          </w:p>
        </w:tc>
        <w:tc>
          <w:tcPr>
            <w:tcW w:w="320" w:type="dxa"/>
            <w:vAlign w:val="bottom"/>
          </w:tcPr>
          <w:p>
            <w:pPr>
              <w:spacing w:after="0"/>
              <w:rPr>
                <w:sz w:val="24"/>
                <w:szCs w:val="24"/>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w w:val="93"/>
              </w:rPr>
              <w:t>13.5%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203,620</w:t>
            </w:r>
          </w:p>
        </w:tc>
        <w:tc>
          <w:tcPr>
            <w:tcW w:w="320" w:type="dxa"/>
            <w:vAlign w:val="bottom"/>
          </w:tcPr>
          <w:p>
            <w:pPr>
              <w:spacing w:after="0"/>
              <w:rPr>
                <w:sz w:val="24"/>
                <w:szCs w:val="24"/>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w w:val="93"/>
              </w:rPr>
              <w:t>11.8%</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5040" w:type="dxa"/>
            <w:vAlign w:val="bottom"/>
            <w:tcBorders>
              <w:right w:val="single" w:sz="8" w:color="3C5896"/>
            </w:tcBorders>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3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6097905</wp:posOffset>
            </wp:positionH>
            <wp:positionV relativeFrom="paragraph">
              <wp:posOffset>-685165</wp:posOffset>
            </wp:positionV>
            <wp:extent cx="2146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-685165</wp:posOffset>
            </wp:positionV>
            <wp:extent cx="2914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-685165</wp:posOffset>
            </wp:positionV>
            <wp:extent cx="46031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-2879725</wp:posOffset>
            </wp:positionV>
            <wp:extent cx="58204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sz w:val="1"/>
          <w:szCs w:val="1"/>
          <w:color w:val="auto"/>
        </w:rPr>
        <w:drawing>
          <wp:inline distT="0" distB="0" distL="0" distR="0">
            <wp:extent cx="299720" cy="24003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66"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left w:val="single" w:sz="8" w:color="3C5896"/>
            </w:tcBorders>
            <w:shd w:val="clear" w:color="auto" w:fill="3C5896"/>
          </w:tcPr>
          <w:p>
            <w:pPr>
              <w:spacing w:after="0"/>
              <w:rPr>
                <w:sz w:val="24"/>
                <w:szCs w:val="24"/>
                <w:color w:val="auto"/>
              </w:rPr>
            </w:pPr>
          </w:p>
        </w:tc>
        <w:tc>
          <w:tcPr>
            <w:tcW w:w="6540" w:type="dxa"/>
            <w:vAlign w:val="bottom"/>
            <w:tcBorders>
              <w:right w:val="single" w:sz="8" w:color="3C5896"/>
            </w:tcBorders>
            <w:shd w:val="clear" w:color="auto" w:fill="3C5896"/>
          </w:tcPr>
          <w:p>
            <w:pPr>
              <w:spacing w:after="0"/>
              <w:rPr>
                <w:sz w:val="24"/>
                <w:szCs w:val="24"/>
                <w:color w:val="auto"/>
              </w:rPr>
            </w:pPr>
          </w:p>
        </w:tc>
        <w:tc>
          <w:tcPr>
            <w:tcW w:w="300" w:type="dxa"/>
            <w:vAlign w:val="bottom"/>
            <w:shd w:val="clear" w:color="auto" w:fill="3C5896"/>
          </w:tcPr>
          <w:p>
            <w:pPr>
              <w:spacing w:after="0"/>
              <w:rPr>
                <w:sz w:val="24"/>
                <w:szCs w:val="24"/>
                <w:color w:val="auto"/>
              </w:rPr>
            </w:pPr>
          </w:p>
        </w:tc>
        <w:tc>
          <w:tcPr>
            <w:tcW w:w="120" w:type="dxa"/>
            <w:vAlign w:val="bottom"/>
            <w:shd w:val="clear" w:color="auto" w:fill="3C5896"/>
          </w:tcPr>
          <w:p>
            <w:pPr>
              <w:spacing w:after="0"/>
              <w:rPr>
                <w:sz w:val="24"/>
                <w:szCs w:val="24"/>
                <w:color w:val="auto"/>
              </w:rPr>
            </w:pPr>
          </w:p>
        </w:tc>
        <w:tc>
          <w:tcPr>
            <w:tcW w:w="540" w:type="dxa"/>
            <w:vAlign w:val="bottom"/>
            <w:shd w:val="clear" w:color="auto" w:fill="3C5896"/>
          </w:tcPr>
          <w:p>
            <w:pPr>
              <w:spacing w:after="0"/>
              <w:rPr>
                <w:sz w:val="24"/>
                <w:szCs w:val="24"/>
                <w:color w:val="auto"/>
              </w:rPr>
            </w:pPr>
          </w:p>
        </w:tc>
        <w:tc>
          <w:tcPr>
            <w:tcW w:w="340" w:type="dxa"/>
            <w:vAlign w:val="bottom"/>
            <w:tcBorders>
              <w:right w:val="single" w:sz="8" w:color="3C5896"/>
            </w:tcBorders>
            <w:shd w:val="clear" w:color="auto" w:fill="3C5896"/>
          </w:tcPr>
          <w:p>
            <w:pPr>
              <w:spacing w:after="0"/>
              <w:rPr>
                <w:sz w:val="24"/>
                <w:szCs w:val="24"/>
                <w:color w:val="auto"/>
              </w:rPr>
            </w:pPr>
          </w:p>
        </w:tc>
        <w:tc>
          <w:tcPr>
            <w:tcW w:w="1300" w:type="dxa"/>
            <w:vAlign w:val="bottom"/>
            <w:tcBorders>
              <w:right w:val="single" w:sz="8" w:color="3C5896"/>
            </w:tcBorders>
            <w:gridSpan w:val="4"/>
            <w:shd w:val="clear" w:color="auto" w:fill="3C5896"/>
          </w:tcPr>
          <w:p>
            <w:pPr>
              <w:jc w:val="right"/>
              <w:ind w:right="120"/>
              <w:spacing w:after="0"/>
              <w:rPr>
                <w:sz w:val="20"/>
                <w:szCs w:val="20"/>
                <w:color w:val="auto"/>
              </w:rPr>
            </w:pPr>
            <w:r>
              <w:rPr>
                <w:rFonts w:ascii="Arial" w:cs="Arial" w:eastAsia="Arial" w:hAnsi="Arial"/>
                <w:sz w:val="18"/>
                <w:szCs w:val="18"/>
                <w:b w:val="1"/>
                <w:bCs w:val="1"/>
                <w:color w:val="FFFFFF"/>
              </w:rPr>
              <w:t>APPENDIX A</w:t>
            </w:r>
          </w:p>
        </w:tc>
        <w:tc>
          <w:tcPr>
            <w:tcW w:w="0" w:type="dxa"/>
            <w:vAlign w:val="bottom"/>
          </w:tcPr>
          <w:p>
            <w:pPr>
              <w:spacing w:after="0"/>
              <w:rPr>
                <w:sz w:val="1"/>
                <w:szCs w:val="1"/>
                <w:color w:val="auto"/>
              </w:rPr>
            </w:pPr>
          </w:p>
        </w:tc>
      </w:tr>
      <w:tr>
        <w:trPr>
          <w:trHeight w:val="445"/>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3C5896"/>
            </w:tcBorders>
          </w:tcPr>
          <w:p>
            <w:pPr>
              <w:spacing w:after="0"/>
              <w:rPr>
                <w:sz w:val="12"/>
                <w:szCs w:val="12"/>
                <w:color w:val="auto"/>
              </w:rPr>
            </w:pPr>
          </w:p>
        </w:tc>
        <w:tc>
          <w:tcPr>
            <w:tcW w:w="6540" w:type="dxa"/>
            <w:vAlign w:val="bottom"/>
            <w:tcBorders>
              <w:bottom w:val="single" w:sz="8" w:color="3C5896"/>
            </w:tcBorders>
          </w:tcPr>
          <w:p>
            <w:pPr>
              <w:spacing w:after="0"/>
              <w:rPr>
                <w:sz w:val="12"/>
                <w:szCs w:val="12"/>
                <w:color w:val="auto"/>
              </w:rPr>
            </w:pPr>
          </w:p>
        </w:tc>
        <w:tc>
          <w:tcPr>
            <w:tcW w:w="30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gridSpan w:val="2"/>
          </w:tcPr>
          <w:p>
            <w:pPr>
              <w:spacing w:after="0"/>
              <w:rPr>
                <w:sz w:val="12"/>
                <w:szCs w:val="12"/>
                <w:color w:val="auto"/>
              </w:rPr>
            </w:pPr>
          </w:p>
        </w:tc>
        <w:tc>
          <w:tcPr>
            <w:tcW w:w="340" w:type="dxa"/>
            <w:vAlign w:val="bottom"/>
            <w:tcBorders>
              <w:bottom w:val="single" w:sz="8" w:color="3C5896"/>
            </w:tcBorders>
          </w:tcPr>
          <w:p>
            <w:pPr>
              <w:spacing w:after="0"/>
              <w:rPr>
                <w:sz w:val="12"/>
                <w:szCs w:val="12"/>
                <w:color w:val="auto"/>
              </w:rPr>
            </w:pPr>
          </w:p>
        </w:tc>
        <w:tc>
          <w:tcPr>
            <w:tcW w:w="30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gridSpan w:val="2"/>
          </w:tcPr>
          <w:p>
            <w:pPr>
              <w:spacing w:after="0"/>
              <w:rPr>
                <w:sz w:val="12"/>
                <w:szCs w:val="12"/>
                <w:color w:val="auto"/>
              </w:rPr>
            </w:pPr>
          </w:p>
        </w:tc>
        <w:tc>
          <w:tcPr>
            <w:tcW w:w="340" w:type="dxa"/>
            <w:vAlign w:val="bottom"/>
            <w:tcBorders>
              <w:bottom w:val="single" w:sz="8" w:color="3C5896"/>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6540" w:type="dxa"/>
            <w:vAlign w:val="bottom"/>
            <w:tcBorders>
              <w:right w:val="single" w:sz="8" w:color="9EACCA"/>
            </w:tcBorders>
            <w:vMerge w:val="restart"/>
            <w:shd w:val="clear" w:color="auto" w:fill="3C5896"/>
          </w:tcPr>
          <w:p>
            <w:pPr>
              <w:ind w:left="2360"/>
              <w:spacing w:after="0"/>
              <w:rPr>
                <w:sz w:val="20"/>
                <w:szCs w:val="20"/>
                <w:color w:val="auto"/>
              </w:rPr>
            </w:pPr>
            <w:r>
              <w:rPr>
                <w:rFonts w:ascii="Arial" w:cs="Arial" w:eastAsia="Arial" w:hAnsi="Arial"/>
                <w:sz w:val="18"/>
                <w:szCs w:val="18"/>
                <w:b w:val="1"/>
                <w:bCs w:val="1"/>
                <w:color w:val="FFFFFF"/>
              </w:rPr>
              <w:t>Shares in thousands</w:t>
            </w:r>
          </w:p>
        </w:tc>
        <w:tc>
          <w:tcPr>
            <w:tcW w:w="1300" w:type="dxa"/>
            <w:vAlign w:val="bottom"/>
            <w:tcBorders>
              <w:right w:val="single" w:sz="8" w:color="9EACCA"/>
            </w:tcBorders>
            <w:gridSpan w:val="4"/>
            <w:shd w:val="clear" w:color="auto" w:fill="3C5896"/>
          </w:tcPr>
          <w:p>
            <w:pPr>
              <w:jc w:val="center"/>
              <w:ind w:right="8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300" w:type="dxa"/>
            <w:vAlign w:val="bottom"/>
            <w:tcBorders>
              <w:right w:val="single" w:sz="8" w:color="3C5896"/>
            </w:tcBorders>
            <w:gridSpan w:val="4"/>
            <w:shd w:val="clear" w:color="auto" w:fill="3C5896"/>
          </w:tcPr>
          <w:p>
            <w:pPr>
              <w:jc w:val="right"/>
              <w:ind w:right="240"/>
              <w:spacing w:after="0" w:line="187" w:lineRule="exact"/>
              <w:rPr>
                <w:sz w:val="20"/>
                <w:szCs w:val="20"/>
                <w:color w:val="auto"/>
              </w:rPr>
            </w:pPr>
            <w:r>
              <w:rPr>
                <w:rFonts w:ascii="Arial" w:cs="Arial" w:eastAsia="Arial" w:hAnsi="Arial"/>
                <w:sz w:val="18"/>
                <w:szCs w:val="18"/>
                <w:b w:val="1"/>
                <w:bCs w:val="1"/>
                <w:color w:val="FFFFFF"/>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6540" w:type="dxa"/>
            <w:vAlign w:val="bottom"/>
            <w:tcBorders>
              <w:right w:val="single" w:sz="8" w:color="9EACCA"/>
            </w:tcBorders>
            <w:vMerge w:val="continue"/>
            <w:shd w:val="clear" w:color="auto" w:fill="3C5896"/>
          </w:tcPr>
          <w:p>
            <w:pPr>
              <w:spacing w:after="0"/>
              <w:rPr>
                <w:sz w:val="21"/>
                <w:szCs w:val="21"/>
                <w:color w:val="auto"/>
              </w:rPr>
            </w:pPr>
          </w:p>
        </w:tc>
        <w:tc>
          <w:tcPr>
            <w:tcW w:w="3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540" w:type="dxa"/>
            <w:vAlign w:val="bottom"/>
            <w:shd w:val="clear" w:color="auto" w:fill="3C5896"/>
          </w:tcPr>
          <w:p>
            <w:pPr>
              <w:jc w:val="right"/>
              <w:ind w:right="30"/>
              <w:spacing w:after="0"/>
              <w:rPr>
                <w:sz w:val="20"/>
                <w:szCs w:val="20"/>
                <w:color w:val="auto"/>
              </w:rPr>
            </w:pPr>
            <w:r>
              <w:rPr>
                <w:rFonts w:ascii="Arial" w:cs="Arial" w:eastAsia="Arial" w:hAnsi="Arial"/>
                <w:sz w:val="18"/>
                <w:szCs w:val="18"/>
                <w:b w:val="1"/>
                <w:bCs w:val="1"/>
                <w:color w:val="FFFFFF"/>
                <w:w w:val="99"/>
              </w:rPr>
              <w:t>2020</w:t>
            </w:r>
          </w:p>
        </w:tc>
        <w:tc>
          <w:tcPr>
            <w:tcW w:w="340" w:type="dxa"/>
            <w:vAlign w:val="bottom"/>
            <w:tcBorders>
              <w:right w:val="single" w:sz="8" w:color="9EACCA"/>
            </w:tcBorders>
            <w:shd w:val="clear" w:color="auto" w:fill="3C5896"/>
          </w:tcPr>
          <w:p>
            <w:pPr>
              <w:spacing w:after="0"/>
              <w:rPr>
                <w:sz w:val="21"/>
                <w:szCs w:val="21"/>
                <w:color w:val="auto"/>
              </w:rPr>
            </w:pPr>
          </w:p>
        </w:tc>
        <w:tc>
          <w:tcPr>
            <w:tcW w:w="300" w:type="dxa"/>
            <w:vAlign w:val="bottom"/>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560" w:type="dxa"/>
            <w:vAlign w:val="bottom"/>
            <w:shd w:val="clear" w:color="auto" w:fill="3C5896"/>
          </w:tcPr>
          <w:p>
            <w:pPr>
              <w:jc w:val="right"/>
              <w:ind w:right="50"/>
              <w:spacing w:after="0"/>
              <w:rPr>
                <w:sz w:val="20"/>
                <w:szCs w:val="20"/>
                <w:color w:val="auto"/>
              </w:rPr>
            </w:pPr>
            <w:r>
              <w:rPr>
                <w:rFonts w:ascii="Arial" w:cs="Arial" w:eastAsia="Arial" w:hAnsi="Arial"/>
                <w:sz w:val="18"/>
                <w:szCs w:val="18"/>
                <w:b w:val="1"/>
                <w:bCs w:val="1"/>
                <w:color w:val="FFFFFF"/>
                <w:w w:val="99"/>
              </w:rPr>
              <w:t>2019</w:t>
            </w:r>
          </w:p>
        </w:tc>
        <w:tc>
          <w:tcPr>
            <w:tcW w:w="34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Diluted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3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6"/>
                <w:szCs w:val="26"/>
                <w:color w:val="auto"/>
                <w:vertAlign w:val="superscript"/>
              </w:rPr>
              <w:t>(h)</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Amortization of debt discounts and deferred financing costs</w:t>
            </w:r>
            <w:r>
              <w:rPr>
                <w:rFonts w:ascii="Arial" w:cs="Arial" w:eastAsia="Arial" w:hAnsi="Arial"/>
                <w:sz w:val="26"/>
                <w:szCs w:val="26"/>
                <w:color w:val="auto"/>
                <w:vertAlign w:val="superscript"/>
              </w:rPr>
              <w:t>(i)</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6"/>
                <w:szCs w:val="26"/>
                <w:color w:val="auto"/>
                <w:vertAlign w:val="superscript"/>
              </w:rPr>
              <w:t>(j)</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6"/>
                <w:szCs w:val="26"/>
                <w:color w:val="auto"/>
                <w:vertAlign w:val="superscript"/>
              </w:rPr>
              <w:t>(l)</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Tax effect of total adjustments</w:t>
            </w:r>
            <w:r>
              <w:rPr>
                <w:rFonts w:ascii="Arial" w:cs="Arial" w:eastAsia="Arial" w:hAnsi="Arial"/>
                <w:sz w:val="26"/>
                <w:szCs w:val="26"/>
                <w:color w:val="auto"/>
                <w:vertAlign w:val="superscript"/>
              </w:rPr>
              <w:t>(m)</w:t>
            </w:r>
          </w:p>
        </w:tc>
        <w:tc>
          <w:tcPr>
            <w:tcW w:w="3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(0.19)</w:t>
            </w:r>
          </w:p>
        </w:tc>
        <w:tc>
          <w:tcPr>
            <w:tcW w:w="3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654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Borders>
              <w:left w:val="single" w:sz="8" w:color="3C5896"/>
            </w:tcBorders>
          </w:tcPr>
          <w:p>
            <w:pPr>
              <w:spacing w:after="0"/>
              <w:rPr>
                <w:sz w:val="22"/>
                <w:szCs w:val="22"/>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Adjusted Diluted EPS</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bottom w:val="single" w:sz="8" w:color="CCCCCC"/>
            </w:tcBorders>
            <w:shd w:val="clear" w:color="auto" w:fill="CCCCCC"/>
          </w:tcPr>
          <w:p>
            <w:pPr>
              <w:spacing w:after="0"/>
              <w:rPr>
                <w:sz w:val="24"/>
                <w:szCs w:val="24"/>
                <w:color w:val="auto"/>
              </w:rPr>
            </w:pPr>
          </w:p>
        </w:tc>
        <w:tc>
          <w:tcPr>
            <w:tcW w:w="654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Weighted average diluted shares outstanding</w:t>
            </w:r>
          </w:p>
        </w:tc>
        <w:tc>
          <w:tcPr>
            <w:tcW w:w="300" w:type="dxa"/>
            <w:vAlign w:val="bottom"/>
            <w:tcBorders>
              <w:bottom w:val="single" w:sz="8" w:color="CCCCCC"/>
            </w:tcBorders>
            <w:shd w:val="clear" w:color="auto" w:fill="CCCCCC"/>
          </w:tcPr>
          <w:p>
            <w:pPr>
              <w:spacing w:after="0"/>
              <w:rPr>
                <w:sz w:val="24"/>
                <w:szCs w:val="24"/>
                <w:color w:val="auto"/>
              </w:rPr>
            </w:pPr>
          </w:p>
        </w:tc>
        <w:tc>
          <w:tcPr>
            <w:tcW w:w="120" w:type="dxa"/>
            <w:vAlign w:val="bottom"/>
            <w:tcBorders>
              <w:bottom w:val="single" w:sz="8" w:color="CCCCCC"/>
            </w:tcBorders>
            <w:shd w:val="clear" w:color="auto" w:fill="CCCCCC"/>
          </w:tcPr>
          <w:p>
            <w:pPr>
              <w:spacing w:after="0"/>
              <w:rPr>
                <w:sz w:val="24"/>
                <w:szCs w:val="24"/>
                <w:color w:val="auto"/>
              </w:rPr>
            </w:pPr>
          </w:p>
        </w:tc>
        <w:tc>
          <w:tcPr>
            <w:tcW w:w="880" w:type="dxa"/>
            <w:vAlign w:val="bottom"/>
            <w:tcBorders>
              <w:bottom w:val="single" w:sz="8" w:color="CCCCCC"/>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w w:val="94"/>
              </w:rPr>
              <w:t>82,793</w:t>
            </w:r>
          </w:p>
        </w:tc>
        <w:tc>
          <w:tcPr>
            <w:tcW w:w="30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900" w:type="dxa"/>
            <w:vAlign w:val="bottom"/>
            <w:tcBorders>
              <w:bottom w:val="single" w:sz="8" w:color="CCCCCC"/>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w w:val="98"/>
              </w:rPr>
              <w:t>81,683</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6540" w:type="dxa"/>
            <w:vAlign w:val="bottom"/>
            <w:tcBorders>
              <w:right w:val="single" w:sz="8" w:color="3C5896"/>
            </w:tcBorders>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54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56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-2776855</wp:posOffset>
            </wp:positionV>
            <wp:extent cx="58204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totals in the table above do not foot due to rounding differences</w:t>
      </w:r>
    </w:p>
    <w:p>
      <w:pPr>
        <w:spacing w:after="0" w:line="84" w:lineRule="exact"/>
        <w:rPr>
          <w:sz w:val="20"/>
          <w:szCs w:val="20"/>
          <w:color w:val="auto"/>
        </w:rPr>
      </w:pPr>
    </w:p>
    <w:p>
      <w:pPr>
        <w:ind w:left="1120" w:hanging="358"/>
        <w:spacing w:after="0" w:line="260"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Non-cash charges related to stock-based compensation programs, which vary from period to period depending on the timing of awards and performance vesting conditions.</w:t>
      </w:r>
    </w:p>
    <w:p>
      <w:pPr>
        <w:spacing w:after="0" w:line="58"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fiscal year 2019, reflects write-off of deferred financing fees related to the extinguishment of debt.</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Reflects write-off of property, equipment and lease-related assets on closed or underperforming stores.</w:t>
      </w:r>
    </w:p>
    <w:p>
      <w:pPr>
        <w:spacing w:after="0" w:line="97"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Expenses associated with settlement of litigation.</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Expenses related to our secondary public offerings during fiscal year 2019.</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Expenses related to a non-recurring management realignment described on Form 8-K filed with the SEC on January 10, 2019.</w:t>
      </w:r>
    </w:p>
    <w:p>
      <w:pPr>
        <w:spacing w:after="0" w:line="84"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Expenses pursuant to a long-term incentive plan for non-executive employees who were not participants in the management equity plan for fiscal year 2019. This plan was effective in 2014 following the KKR Acquisition.</w:t>
      </w:r>
    </w:p>
    <w:p>
      <w:pPr>
        <w:spacing w:after="0" w:line="71"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Amortization of the increase in carrying values of finite-lived intangible assets resulting from the application of purchase accounting to the KKR Acquisition.</w:t>
      </w:r>
    </w:p>
    <w:p>
      <w:pPr>
        <w:spacing w:after="0" w:line="58"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Amortization of debt discounts is associated with the amortization of the conversion feature related to the convertible note and amortization of deferred financing costs related to the convertible notes, term loan and revolving credit facility borrowings. Amortization of debt discount and deferred financing costs in aggregate total of $11.9 million and $1.3 million for the fiscal years 2020 and 2019, respectively.</w:t>
      </w:r>
    </w:p>
    <w:p>
      <w:pPr>
        <w:spacing w:after="0" w:line="67"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Reflects losses (gains) recognized in interest expense on change in fair value of de-designated hedges of $4.0 million for fiscal year end 2020.</w:t>
      </w:r>
    </w:p>
    <w:p>
      <w:pPr>
        <w:spacing w:after="0" w:line="58"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adjustments include the following amounts that management believes are not representative of our operating performance (amounts in brackets represent reductions in Adjusted Operating Income, Adjusted Diluted EPS and Adjusted EBITDA) including our share of losses on equity method investments of $1.8 million for fiscal year 2019; the amortization impact related to the KKR Acquisition (e.g., fair value of leasehold interests) of $0.4 million and $0.5 million for fiscal years 2020 and 2019, respectively; costs of severance and relocation of $1.3 million and $2.3 million and fiscal years 2020 and 2019, respectively; excess payroll taxes related to stock option exercises of $0.7 million and $0.8 million for fiscal years 2020 and 2019, respectively; incremental costs directly related to adapting the Company’s operations during the COVID-19 pandemic of $0.6 million for fiscal year 2020; and other expenses and adjustments totaling $(0.3) million and $1.0 million for fiscal years 2020 and 2019, respectively.</w:t>
      </w:r>
    </w:p>
    <w:p>
      <w:pPr>
        <w:spacing w:after="0" w:line="84" w:lineRule="exact"/>
        <w:rPr>
          <w:rFonts w:ascii="Arial" w:cs="Arial" w:eastAsia="Arial" w:hAnsi="Arial"/>
          <w:sz w:val="15"/>
          <w:szCs w:val="15"/>
          <w:color w:val="auto"/>
        </w:rPr>
      </w:pPr>
    </w:p>
    <w:p>
      <w:pPr>
        <w:ind w:left="1120" w:right="20" w:hanging="358"/>
        <w:spacing w:after="0" w:line="260"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Tax benefit associated with accounting guidance requiring excess tax benefits related to stock option exercises to be recorded in earnings as discrete items in the reporting period in which they occur.</w:t>
      </w:r>
    </w:p>
    <w:p>
      <w:pPr>
        <w:spacing w:after="0" w:line="58" w:lineRule="exact"/>
        <w:rPr>
          <w:rFonts w:ascii="Arial" w:cs="Arial" w:eastAsia="Arial" w:hAnsi="Arial"/>
          <w:sz w:val="15"/>
          <w:szCs w:val="15"/>
          <w:color w:val="auto"/>
        </w:rPr>
      </w:pPr>
    </w:p>
    <w:p>
      <w:pPr>
        <w:ind w:left="1120" w:hanging="358"/>
        <w:spacing w:after="0"/>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Represents the income tax effect of the total adjustments at our combined statutory federal and state income tax rates.</w:t>
      </w:r>
    </w:p>
    <w:p>
      <w:pPr>
        <w:spacing w:after="0" w:line="33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160"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5580" w:type="dxa"/>
            <w:vAlign w:val="bottom"/>
            <w:tcBorders>
              <w:top w:val="single" w:sz="8" w:color="3C5896"/>
              <w:left w:val="single" w:sz="8" w:color="3C5896"/>
              <w:right w:val="single" w:sz="8" w:color="3C5896"/>
            </w:tcBorders>
            <w:shd w:val="clear" w:color="auto" w:fill="3C5896"/>
          </w:tcPr>
          <w:p>
            <w:pPr>
              <w:spacing w:after="0"/>
              <w:rPr>
                <w:sz w:val="24"/>
                <w:szCs w:val="24"/>
                <w:color w:val="auto"/>
              </w:rPr>
            </w:pPr>
          </w:p>
        </w:tc>
        <w:tc>
          <w:tcPr>
            <w:tcW w:w="40" w:type="dxa"/>
            <w:vAlign w:val="bottom"/>
            <w:tcBorders>
              <w:top w:val="single" w:sz="8" w:color="3C5896"/>
            </w:tcBorders>
            <w:shd w:val="clear" w:color="auto" w:fill="3C5896"/>
          </w:tcPr>
          <w:p>
            <w:pPr>
              <w:spacing w:after="0"/>
              <w:rPr>
                <w:sz w:val="24"/>
                <w:szCs w:val="24"/>
                <w:color w:val="auto"/>
              </w:rPr>
            </w:pPr>
          </w:p>
        </w:tc>
        <w:tc>
          <w:tcPr>
            <w:tcW w:w="3580" w:type="dxa"/>
            <w:vAlign w:val="bottom"/>
            <w:tcBorders>
              <w:top w:val="single" w:sz="8" w:color="3C5896"/>
              <w:right w:val="single" w:sz="8" w:color="3C5896"/>
            </w:tcBorders>
            <w:gridSpan w:val="3"/>
            <w:shd w:val="clear" w:color="auto" w:fill="3C5896"/>
          </w:tcPr>
          <w:p>
            <w:pPr>
              <w:jc w:val="right"/>
              <w:ind w:right="350"/>
              <w:spacing w:after="0" w:line="297" w:lineRule="exact"/>
              <w:rPr>
                <w:sz w:val="20"/>
                <w:szCs w:val="20"/>
                <w:color w:val="auto"/>
              </w:rPr>
            </w:pPr>
            <w:r>
              <w:rPr>
                <w:rFonts w:ascii="Arial" w:cs="Arial" w:eastAsia="Arial" w:hAnsi="Arial"/>
                <w:sz w:val="18"/>
                <w:szCs w:val="18"/>
                <w:b w:val="1"/>
                <w:bCs w:val="1"/>
                <w:color w:val="FFFFFF"/>
              </w:rPr>
              <w:t>Comparable store sales growth</w:t>
            </w:r>
            <w:r>
              <w:rPr>
                <w:rFonts w:ascii="Arial" w:cs="Arial" w:eastAsia="Arial" w:hAnsi="Arial"/>
                <w:sz w:val="26"/>
                <w:szCs w:val="26"/>
                <w:b w:val="1"/>
                <w:bCs w:val="1"/>
                <w:color w:val="FFFFFF"/>
                <w:vertAlign w:val="superscript"/>
              </w:rPr>
              <w:t>(a)</w:t>
            </w:r>
          </w:p>
        </w:tc>
        <w:tc>
          <w:tcPr>
            <w:tcW w:w="0" w:type="dxa"/>
            <w:vAlign w:val="bottom"/>
          </w:tcPr>
          <w:p>
            <w:pPr>
              <w:spacing w:after="0"/>
              <w:rPr>
                <w:sz w:val="1"/>
                <w:szCs w:val="1"/>
                <w:color w:val="auto"/>
              </w:rPr>
            </w:pPr>
          </w:p>
        </w:tc>
      </w:tr>
      <w:tr>
        <w:trPr>
          <w:trHeight w:val="180"/>
        </w:trPr>
        <w:tc>
          <w:tcPr>
            <w:tcW w:w="5580" w:type="dxa"/>
            <w:vAlign w:val="bottom"/>
            <w:tcBorders>
              <w:left w:val="single" w:sz="8" w:color="3C5896"/>
              <w:right w:val="single" w:sz="8" w:color="3C5896"/>
            </w:tcBorders>
            <w:shd w:val="clear" w:color="auto" w:fill="3C5896"/>
          </w:tcPr>
          <w:p>
            <w:pPr>
              <w:spacing w:after="0"/>
              <w:rPr>
                <w:sz w:val="15"/>
                <w:szCs w:val="15"/>
                <w:color w:val="auto"/>
              </w:rPr>
            </w:pPr>
          </w:p>
        </w:tc>
        <w:tc>
          <w:tcPr>
            <w:tcW w:w="40" w:type="dxa"/>
            <w:vAlign w:val="bottom"/>
            <w:shd w:val="clear" w:color="auto" w:fill="3C5896"/>
          </w:tcPr>
          <w:p>
            <w:pPr>
              <w:spacing w:after="0"/>
              <w:rPr>
                <w:sz w:val="15"/>
                <w:szCs w:val="15"/>
                <w:color w:val="auto"/>
              </w:rPr>
            </w:pPr>
          </w:p>
        </w:tc>
        <w:tc>
          <w:tcPr>
            <w:tcW w:w="104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w w:val="96"/>
              </w:rPr>
              <w:t>Fiscal Year</w:t>
            </w:r>
          </w:p>
        </w:tc>
        <w:tc>
          <w:tcPr>
            <w:tcW w:w="108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rPr>
              <w:t>Fiscal Year</w:t>
            </w:r>
          </w:p>
        </w:tc>
        <w:tc>
          <w:tcPr>
            <w:tcW w:w="1460" w:type="dxa"/>
            <w:vAlign w:val="bottom"/>
            <w:tcBorders>
              <w:right w:val="single" w:sz="8" w:color="3C5896"/>
            </w:tcBorders>
            <w:shd w:val="clear" w:color="auto" w:fill="3C5896"/>
          </w:tcPr>
          <w:p>
            <w:pPr>
              <w:jc w:val="center"/>
              <w:spacing w:after="0" w:line="180" w:lineRule="exact"/>
              <w:rPr>
                <w:sz w:val="20"/>
                <w:szCs w:val="20"/>
                <w:color w:val="auto"/>
              </w:rPr>
            </w:pPr>
            <w:r>
              <w:rPr>
                <w:rFonts w:ascii="Arial" w:cs="Arial" w:eastAsia="Arial" w:hAnsi="Arial"/>
                <w:sz w:val="18"/>
                <w:szCs w:val="18"/>
                <w:b w:val="1"/>
                <w:bCs w:val="1"/>
                <w:color w:val="FFFFFF"/>
                <w:w w:val="99"/>
              </w:rPr>
              <w:t>Seven Months</w:t>
            </w:r>
          </w:p>
        </w:tc>
        <w:tc>
          <w:tcPr>
            <w:tcW w:w="0" w:type="dxa"/>
            <w:vAlign w:val="bottom"/>
          </w:tcPr>
          <w:p>
            <w:pPr>
              <w:spacing w:after="0"/>
              <w:rPr>
                <w:sz w:val="1"/>
                <w:szCs w:val="1"/>
                <w:color w:val="auto"/>
              </w:rPr>
            </w:pPr>
          </w:p>
        </w:tc>
      </w:tr>
      <w:tr>
        <w:trPr>
          <w:trHeight w:val="189"/>
        </w:trPr>
        <w:tc>
          <w:tcPr>
            <w:tcW w:w="5580" w:type="dxa"/>
            <w:vAlign w:val="bottom"/>
            <w:tcBorders>
              <w:left w:val="single" w:sz="8" w:color="3C5896"/>
              <w:right w:val="single" w:sz="8" w:color="3C5896"/>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40" w:type="dxa"/>
            <w:vAlign w:val="bottom"/>
            <w:tcBorders>
              <w:right w:val="single" w:sz="8" w:color="9EACCA"/>
            </w:tcBorders>
            <w:vMerge w:val="continue"/>
            <w:shd w:val="clear" w:color="auto" w:fill="3C5896"/>
          </w:tcPr>
          <w:p>
            <w:pPr>
              <w:spacing w:after="0"/>
              <w:rPr>
                <w:sz w:val="16"/>
                <w:szCs w:val="16"/>
                <w:color w:val="auto"/>
              </w:rPr>
            </w:pPr>
          </w:p>
        </w:tc>
        <w:tc>
          <w:tcPr>
            <w:tcW w:w="1080" w:type="dxa"/>
            <w:vAlign w:val="bottom"/>
            <w:tcBorders>
              <w:right w:val="single" w:sz="8" w:color="9EACCA"/>
            </w:tcBorders>
            <w:vMerge w:val="continue"/>
            <w:shd w:val="clear" w:color="auto" w:fill="3C5896"/>
          </w:tcPr>
          <w:p>
            <w:pPr>
              <w:spacing w:after="0"/>
              <w:rPr>
                <w:sz w:val="16"/>
                <w:szCs w:val="16"/>
                <w:color w:val="auto"/>
              </w:rPr>
            </w:pPr>
          </w:p>
        </w:tc>
        <w:tc>
          <w:tcPr>
            <w:tcW w:w="14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Ended</w:t>
            </w:r>
          </w:p>
        </w:tc>
        <w:tc>
          <w:tcPr>
            <w:tcW w:w="0" w:type="dxa"/>
            <w:vAlign w:val="bottom"/>
          </w:tcPr>
          <w:p>
            <w:pPr>
              <w:spacing w:after="0"/>
              <w:rPr>
                <w:sz w:val="1"/>
                <w:szCs w:val="1"/>
                <w:color w:val="auto"/>
              </w:rPr>
            </w:pPr>
          </w:p>
        </w:tc>
      </w:tr>
      <w:tr>
        <w:trPr>
          <w:trHeight w:val="252"/>
        </w:trPr>
        <w:tc>
          <w:tcPr>
            <w:tcW w:w="5580" w:type="dxa"/>
            <w:vAlign w:val="bottom"/>
            <w:tcBorders>
              <w:left w:val="single" w:sz="8" w:color="3C5896"/>
              <w:right w:val="single" w:sz="8" w:color="3C5896"/>
            </w:tcBorders>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040" w:type="dxa"/>
            <w:vAlign w:val="bottom"/>
            <w:tcBorders>
              <w:right w:val="single" w:sz="8" w:color="9EACCA"/>
            </w:tcBorders>
            <w:shd w:val="clear" w:color="auto" w:fill="3C5896"/>
          </w:tcPr>
          <w:p>
            <w:pPr>
              <w:jc w:val="right"/>
              <w:ind w:right="250"/>
              <w:spacing w:after="0"/>
              <w:rPr>
                <w:sz w:val="20"/>
                <w:szCs w:val="20"/>
                <w:color w:val="auto"/>
              </w:rPr>
            </w:pPr>
            <w:r>
              <w:rPr>
                <w:rFonts w:ascii="Arial" w:cs="Arial" w:eastAsia="Arial" w:hAnsi="Arial"/>
                <w:sz w:val="18"/>
                <w:szCs w:val="18"/>
                <w:b w:val="1"/>
                <w:bCs w:val="1"/>
                <w:color w:val="FFFFFF"/>
              </w:rPr>
              <w:t>2020</w:t>
            </w:r>
          </w:p>
        </w:tc>
        <w:tc>
          <w:tcPr>
            <w:tcW w:w="1080" w:type="dxa"/>
            <w:vAlign w:val="bottom"/>
            <w:tcBorders>
              <w:right w:val="single" w:sz="8" w:color="9EACCA"/>
            </w:tcBorders>
            <w:shd w:val="clear" w:color="auto" w:fill="3C5896"/>
          </w:tcPr>
          <w:p>
            <w:pPr>
              <w:jc w:val="right"/>
              <w:ind w:right="250"/>
              <w:spacing w:after="0"/>
              <w:rPr>
                <w:sz w:val="20"/>
                <w:szCs w:val="20"/>
                <w:color w:val="auto"/>
              </w:rPr>
            </w:pPr>
            <w:r>
              <w:rPr>
                <w:rFonts w:ascii="Arial" w:cs="Arial" w:eastAsia="Arial" w:hAnsi="Arial"/>
                <w:sz w:val="18"/>
                <w:szCs w:val="18"/>
                <w:b w:val="1"/>
                <w:bCs w:val="1"/>
                <w:color w:val="FFFFFF"/>
              </w:rPr>
              <w:t>2019</w:t>
            </w:r>
          </w:p>
        </w:tc>
        <w:tc>
          <w:tcPr>
            <w:tcW w:w="14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January 2, 2021</w:t>
            </w:r>
          </w:p>
        </w:tc>
        <w:tc>
          <w:tcPr>
            <w:tcW w:w="0" w:type="dxa"/>
            <w:vAlign w:val="bottom"/>
          </w:tcPr>
          <w:p>
            <w:pPr>
              <w:spacing w:after="0"/>
              <w:rPr>
                <w:sz w:val="1"/>
                <w:szCs w:val="1"/>
                <w:color w:val="auto"/>
              </w:rPr>
            </w:pPr>
          </w:p>
        </w:tc>
      </w:tr>
      <w:tr>
        <w:trPr>
          <w:trHeight w:val="234"/>
        </w:trPr>
        <w:tc>
          <w:tcPr>
            <w:tcW w:w="5580" w:type="dxa"/>
            <w:vAlign w:val="bottom"/>
            <w:tcBorders>
              <w:top w:val="single" w:sz="8" w:color="3C5896"/>
              <w:left w:val="single" w:sz="8" w:color="3C5896"/>
              <w:right w:val="single" w:sz="8" w:color="9EACCA"/>
            </w:tcBorders>
          </w:tcPr>
          <w:p>
            <w:pPr>
              <w:ind w:left="60"/>
              <w:spacing w:after="0"/>
              <w:rPr>
                <w:sz w:val="20"/>
                <w:szCs w:val="20"/>
                <w:color w:val="auto"/>
              </w:rPr>
            </w:pPr>
            <w:r>
              <w:rPr>
                <w:rFonts w:ascii="Arial" w:cs="Arial" w:eastAsia="Arial" w:hAnsi="Arial"/>
                <w:sz w:val="18"/>
                <w:szCs w:val="18"/>
                <w:b w:val="1"/>
                <w:bCs w:val="1"/>
                <w:color w:val="auto"/>
              </w:rPr>
              <w:t>Owned &amp; Host segment</w:t>
            </w:r>
          </w:p>
        </w:tc>
        <w:tc>
          <w:tcPr>
            <w:tcW w:w="40" w:type="dxa"/>
            <w:vAlign w:val="bottom"/>
          </w:tcPr>
          <w:p>
            <w:pPr>
              <w:spacing w:after="0"/>
              <w:rPr>
                <w:sz w:val="20"/>
                <w:szCs w:val="20"/>
                <w:color w:val="auto"/>
              </w:rPr>
            </w:pPr>
          </w:p>
        </w:tc>
        <w:tc>
          <w:tcPr>
            <w:tcW w:w="1040" w:type="dxa"/>
            <w:vAlign w:val="bottom"/>
            <w:tcBorders>
              <w:right w:val="single" w:sz="8" w:color="9EACCA"/>
            </w:tcBorders>
          </w:tcPr>
          <w:p>
            <w:pPr>
              <w:spacing w:after="0"/>
              <w:rPr>
                <w:sz w:val="20"/>
                <w:szCs w:val="20"/>
                <w:color w:val="auto"/>
              </w:rPr>
            </w:pPr>
          </w:p>
        </w:tc>
        <w:tc>
          <w:tcPr>
            <w:tcW w:w="1080" w:type="dxa"/>
            <w:vAlign w:val="bottom"/>
            <w:tcBorders>
              <w:right w:val="single" w:sz="8" w:color="9EACCA"/>
            </w:tcBorders>
          </w:tcPr>
          <w:p>
            <w:pPr>
              <w:spacing w:after="0"/>
              <w:rPr>
                <w:sz w:val="20"/>
                <w:szCs w:val="20"/>
                <w:color w:val="auto"/>
              </w:rPr>
            </w:pPr>
          </w:p>
        </w:tc>
        <w:tc>
          <w:tcPr>
            <w:tcW w:w="146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America’s Best</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(5.2)%</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7.1%</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Eyeglass World</w:t>
            </w:r>
          </w:p>
        </w:tc>
        <w:tc>
          <w:tcPr>
            <w:tcW w:w="108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(2.7)%</w:t>
            </w:r>
          </w:p>
        </w:tc>
        <w:tc>
          <w:tcPr>
            <w:tcW w:w="1080" w:type="dxa"/>
            <w:vAlign w:val="bottom"/>
            <w:tcBorders>
              <w:right w:val="single" w:sz="8" w:color="9EACCA"/>
            </w:tcBorders>
          </w:tcPr>
          <w:p>
            <w:pPr>
              <w:jc w:val="right"/>
              <w:ind w:right="150"/>
              <w:spacing w:after="0"/>
              <w:rPr>
                <w:sz w:val="20"/>
                <w:szCs w:val="20"/>
                <w:color w:val="auto"/>
              </w:rPr>
            </w:pPr>
            <w:r>
              <w:rPr>
                <w:rFonts w:ascii="Arial" w:cs="Arial" w:eastAsia="Arial" w:hAnsi="Arial"/>
                <w:sz w:val="18"/>
                <w:szCs w:val="18"/>
                <w:color w:val="auto"/>
              </w:rPr>
              <w:t>5.8%</w:t>
            </w:r>
          </w:p>
        </w:tc>
        <w:tc>
          <w:tcPr>
            <w:tcW w:w="146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Military</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(15.5)%</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1.4%</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Fred Meyer</w:t>
            </w:r>
          </w:p>
        </w:tc>
        <w:tc>
          <w:tcPr>
            <w:tcW w:w="108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(21.6)%</w:t>
            </w:r>
          </w:p>
        </w:tc>
        <w:tc>
          <w:tcPr>
            <w:tcW w:w="1080" w:type="dxa"/>
            <w:vAlign w:val="bottom"/>
            <w:tcBorders>
              <w:right w:val="single" w:sz="8" w:color="9EACCA"/>
            </w:tcBorders>
          </w:tcPr>
          <w:p>
            <w:pPr>
              <w:jc w:val="right"/>
              <w:ind w:right="90"/>
              <w:spacing w:after="0"/>
              <w:rPr>
                <w:sz w:val="20"/>
                <w:szCs w:val="20"/>
                <w:color w:val="auto"/>
              </w:rPr>
            </w:pPr>
            <w:r>
              <w:rPr>
                <w:rFonts w:ascii="Arial" w:cs="Arial" w:eastAsia="Arial" w:hAnsi="Arial"/>
                <w:sz w:val="18"/>
                <w:szCs w:val="18"/>
                <w:color w:val="auto"/>
              </w:rPr>
              <w:t>(4.4)%</w:t>
            </w:r>
          </w:p>
        </w:tc>
        <w:tc>
          <w:tcPr>
            <w:tcW w:w="146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Legacy segment</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(12.3)%</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3.1%</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80" w:type="dxa"/>
            <w:vAlign w:val="bottom"/>
            <w:tcBorders>
              <w:left w:val="single" w:sz="8" w:color="3C5896"/>
              <w:right w:val="single" w:sz="8" w:color="9EACCA"/>
            </w:tcBorders>
          </w:tcPr>
          <w:p>
            <w:pPr>
              <w:spacing w:after="0"/>
              <w:rPr>
                <w:sz w:val="23"/>
                <w:szCs w:val="23"/>
                <w:color w:val="auto"/>
              </w:rPr>
            </w:pPr>
          </w:p>
        </w:tc>
        <w:tc>
          <w:tcPr>
            <w:tcW w:w="1080" w:type="dxa"/>
            <w:vAlign w:val="bottom"/>
            <w:tcBorders>
              <w:right w:val="single" w:sz="8" w:color="9EACCA"/>
            </w:tcBorders>
            <w:gridSpan w:val="2"/>
          </w:tcPr>
          <w:p>
            <w:pPr>
              <w:spacing w:after="0"/>
              <w:rPr>
                <w:sz w:val="23"/>
                <w:szCs w:val="23"/>
                <w:color w:val="auto"/>
              </w:rPr>
            </w:pPr>
          </w:p>
        </w:tc>
        <w:tc>
          <w:tcPr>
            <w:tcW w:w="1080" w:type="dxa"/>
            <w:vAlign w:val="bottom"/>
            <w:tcBorders>
              <w:right w:val="single" w:sz="8" w:color="9EACCA"/>
            </w:tcBorders>
          </w:tcPr>
          <w:p>
            <w:pPr>
              <w:spacing w:after="0"/>
              <w:rPr>
                <w:sz w:val="23"/>
                <w:szCs w:val="23"/>
                <w:color w:val="auto"/>
              </w:rPr>
            </w:pPr>
          </w:p>
        </w:tc>
        <w:tc>
          <w:tcPr>
            <w:tcW w:w="1460" w:type="dxa"/>
            <w:vAlign w:val="bottom"/>
            <w:tcBorders>
              <w:right w:val="single" w:sz="8" w:color="3C5896"/>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Total comparable store sales growth</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(5.6)%</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6.5%</w:t>
            </w:r>
          </w:p>
        </w:tc>
        <w:tc>
          <w:tcPr>
            <w:tcW w:w="1460" w:type="dxa"/>
            <w:vAlign w:val="bottom"/>
            <w:tcBorders>
              <w:right w:val="single" w:sz="8" w:color="3C5896"/>
            </w:tcBorders>
            <w:shd w:val="clear" w:color="auto" w:fill="CCCCCC"/>
          </w:tcPr>
          <w:p>
            <w:pPr>
              <w:jc w:val="right"/>
              <w:ind w:right="3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97"/>
        </w:trPr>
        <w:tc>
          <w:tcPr>
            <w:tcW w:w="5580" w:type="dxa"/>
            <w:vAlign w:val="bottom"/>
            <w:tcBorders>
              <w:left w:val="single" w:sz="8" w:color="3C5896"/>
              <w:bottom w:val="single" w:sz="8" w:color="3C5896"/>
              <w:right w:val="single" w:sz="8" w:color="9EACCA"/>
            </w:tcBorders>
          </w:tcPr>
          <w:p>
            <w:pPr>
              <w:ind w:left="60"/>
              <w:spacing w:after="0" w:line="297"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6"/>
                <w:szCs w:val="26"/>
                <w:color w:val="auto"/>
                <w:vertAlign w:val="superscript"/>
              </w:rPr>
              <w:t>(b)</w:t>
            </w:r>
          </w:p>
        </w:tc>
        <w:tc>
          <w:tcPr>
            <w:tcW w:w="1080" w:type="dxa"/>
            <w:vAlign w:val="bottom"/>
            <w:tcBorders>
              <w:bottom w:val="single" w:sz="8" w:color="3C5896"/>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(6.1)%</w:t>
            </w:r>
          </w:p>
        </w:tc>
        <w:tc>
          <w:tcPr>
            <w:tcW w:w="1080" w:type="dxa"/>
            <w:vAlign w:val="bottom"/>
            <w:tcBorders>
              <w:bottom w:val="single" w:sz="8" w:color="3C5896"/>
              <w:right w:val="single" w:sz="8" w:color="9EACCA"/>
            </w:tcBorders>
          </w:tcPr>
          <w:p>
            <w:pPr>
              <w:jc w:val="right"/>
              <w:ind w:right="150"/>
              <w:spacing w:after="0"/>
              <w:rPr>
                <w:sz w:val="20"/>
                <w:szCs w:val="20"/>
                <w:color w:val="auto"/>
              </w:rPr>
            </w:pPr>
            <w:r>
              <w:rPr>
                <w:rFonts w:ascii="Arial" w:cs="Arial" w:eastAsia="Arial" w:hAnsi="Arial"/>
                <w:sz w:val="18"/>
                <w:szCs w:val="18"/>
                <w:color w:val="auto"/>
              </w:rPr>
              <w:t>6.2%</w:t>
            </w:r>
          </w:p>
        </w:tc>
        <w:tc>
          <w:tcPr>
            <w:tcW w:w="1460" w:type="dxa"/>
            <w:vAlign w:val="bottom"/>
            <w:tcBorders>
              <w:bottom w:val="single" w:sz="8" w:color="3C5896"/>
              <w:right w:val="single" w:sz="8" w:color="3C5896"/>
            </w:tcBorders>
          </w:tcPr>
          <w:p>
            <w:pPr>
              <w:jc w:val="right"/>
              <w:ind w:right="3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-1508125</wp:posOffset>
            </wp:positionV>
            <wp:extent cx="23228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-1902460</wp:posOffset>
            </wp:positionV>
            <wp:extent cx="23228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jc w:val="both"/>
        <w:ind w:left="1120" w:hanging="358"/>
        <w:spacing w:after="0" w:line="244"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 our 2020 Form 10-K, with the exception of the Legacy segment, which is adjusted as noted in</w:t>
      </w:r>
    </w:p>
    <w:p>
      <w:pPr>
        <w:ind w:left="1360" w:hanging="238"/>
        <w:spacing w:after="0"/>
        <w:tabs>
          <w:tab w:leader="none" w:pos="1360" w:val="left"/>
        </w:tabs>
        <w:numPr>
          <w:ilvl w:val="1"/>
          <w:numId w:val="64"/>
        </w:numPr>
        <w:rPr>
          <w:rFonts w:ascii="Arial" w:cs="Arial" w:eastAsia="Arial" w:hAnsi="Arial"/>
          <w:sz w:val="15"/>
          <w:szCs w:val="15"/>
          <w:color w:val="auto"/>
        </w:rPr>
      </w:pPr>
      <w:r>
        <w:rPr>
          <w:rFonts w:ascii="Arial" w:cs="Arial" w:eastAsia="Arial" w:hAnsi="Arial"/>
          <w:sz w:val="15"/>
          <w:szCs w:val="15"/>
          <w:color w:val="auto"/>
        </w:rPr>
        <w:t>(ii) below.</w:t>
      </w:r>
    </w:p>
    <w:p>
      <w:pPr>
        <w:spacing w:after="0" w:line="70"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0.4% and a decrease of 0.1% for the fiscal year 2020 and fiscal year 2019, respectively, and a decrease of 0.2% for the seven months ended January 2, 2021, (ii) Adjusted Comparable Store Sales Growth includes retail sales to the Legacy partner’s customers (rather than the revenues recognized consistent with the management &amp; services agreement with the legacy partner), resulting the following changes from total comparable store sales growth based on consolidated net revenue: a decrease of 0.1% and a decrease of 0.2% for the fiscal years 2020 and 2019, respectively, and a decrease of 0.3% for the seven months ended January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sz w:val="1"/>
          <w:szCs w:val="1"/>
          <w:color w:val="auto"/>
        </w:rPr>
        <w:drawing>
          <wp:inline distT="0" distB="0" distL="0" distR="0">
            <wp:extent cx="299720" cy="24003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B</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B</w:t>
      </w:r>
    </w:p>
    <w:p>
      <w:pPr>
        <w:spacing w:after="0" w:line="216" w:lineRule="exact"/>
        <w:rPr>
          <w:sz w:val="20"/>
          <w:szCs w:val="20"/>
          <w:color w:val="auto"/>
        </w:rPr>
      </w:pPr>
    </w:p>
    <w:p>
      <w:pPr>
        <w:ind w:left="760" w:right="420"/>
        <w:spacing w:after="0" w:line="261" w:lineRule="auto"/>
        <w:rPr>
          <w:sz w:val="20"/>
          <w:szCs w:val="20"/>
          <w:color w:val="auto"/>
        </w:rPr>
      </w:pPr>
      <w:r>
        <w:rPr>
          <w:rFonts w:ascii="Arial" w:cs="Arial" w:eastAsia="Arial" w:hAnsi="Arial"/>
          <w:sz w:val="22"/>
          <w:szCs w:val="22"/>
          <w:b w:val="1"/>
          <w:bCs w:val="1"/>
          <w:color w:val="3C5896"/>
        </w:rPr>
        <w:t>PROPOSED AMENDMENTS TO THE CERTIFICATE OF INCORPORATION ELIMINATING CLASSIFIED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0"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Subject to approval by the requisite vote of stockholders of the Company, the following sections of the Second Amended and Restated Certificate of Incorporation would be amended as follows, with additions indicated by underlining and deletions indicated by strike-outs: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B, and C of Article VI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VI</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04" w:lineRule="exact"/>
        <w:rPr>
          <w:sz w:val="20"/>
          <w:szCs w:val="20"/>
          <w:color w:val="auto"/>
        </w:rPr>
      </w:pPr>
    </w:p>
    <w:p>
      <w:pPr>
        <w:jc w:val="both"/>
        <w:ind w:left="760"/>
        <w:spacing w:after="0" w:line="265" w:lineRule="auto"/>
        <w:rPr>
          <w:sz w:val="20"/>
          <w:szCs w:val="20"/>
          <w:color w:val="auto"/>
        </w:rPr>
      </w:pPr>
      <w:r>
        <w:rPr>
          <w:rFonts w:ascii="Arial" w:cs="Arial" w:eastAsia="Arial" w:hAnsi="Arial"/>
          <w:sz w:val="17"/>
          <w:szCs w:val="17"/>
          <w:color w:val="auto"/>
        </w:rPr>
        <w:t>A. 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w:t>
      </w:r>
      <w:r>
        <w:rPr>
          <w:rFonts w:ascii="Arial" w:cs="Arial" w:eastAsia="Arial" w:hAnsi="Arial"/>
          <w:sz w:val="17"/>
          <w:szCs w:val="17"/>
          <w:b w:val="1"/>
          <w:bCs w:val="1"/>
          <w:u w:val="single" w:color="auto"/>
          <w:color w:val="0000FF"/>
        </w:rPr>
        <w:t>, until the annual meeting of stockholders to be held in 2024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“2024 Annual Meeting”),</w:t>
      </w:r>
      <w:r>
        <w:rPr>
          <w:rFonts w:ascii="Arial" w:cs="Arial" w:eastAsia="Arial" w:hAnsi="Arial"/>
          <w:sz w:val="17"/>
          <w:szCs w:val="17"/>
          <w:b w:val="1"/>
          <w:bCs w:val="1"/>
          <w:color w:val="0000FF"/>
        </w:rPr>
        <w:t xml:space="preserve"> </w:t>
      </w:r>
      <w:r>
        <w:rPr>
          <w:rFonts w:ascii="Arial" w:cs="Arial" w:eastAsia="Arial" w:hAnsi="Arial"/>
          <w:sz w:val="17"/>
          <w:szCs w:val="17"/>
          <w:color w:val="000000"/>
        </w:rPr>
        <w:t>be divided into three classes designated Class I, Class II and Class III. Each class shall</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consist, as nearly as possible, of one-third of the total number of such directors. </w:t>
      </w:r>
      <w:r>
        <w:rPr>
          <w:rFonts w:ascii="Arial" w:cs="Arial" w:eastAsia="Arial" w:hAnsi="Arial"/>
          <w:sz w:val="17"/>
          <w:szCs w:val="17"/>
          <w:b w:val="1"/>
          <w:bCs w:val="1"/>
          <w:color w:val="FC0014"/>
          <w:strike w:val="1"/>
        </w:rPr>
        <w:t>Class I directors shall initially</w:t>
      </w:r>
      <w:r>
        <w:rPr>
          <w:rFonts w:ascii="Arial" w:cs="Arial" w:eastAsia="Arial" w:hAnsi="Arial"/>
          <w:sz w:val="17"/>
          <w:szCs w:val="17"/>
          <w:color w:val="000000"/>
        </w:rPr>
        <w:t xml:space="preserve"> </w:t>
      </w:r>
      <w:r>
        <w:rPr>
          <w:rFonts w:ascii="Arial" w:cs="Arial" w:eastAsia="Arial" w:hAnsi="Arial"/>
          <w:sz w:val="17"/>
          <w:szCs w:val="17"/>
          <w:b w:val="1"/>
          <w:bCs w:val="1"/>
          <w:color w:val="FC0014"/>
          <w:strike w:val="1"/>
        </w:rPr>
        <w:t>serve for a term expiring at the first</w:t>
      </w:r>
      <w:r>
        <w:rPr>
          <w:rFonts w:ascii="Arial" w:cs="Arial" w:eastAsia="Arial" w:hAnsi="Arial"/>
          <w:sz w:val="17"/>
          <w:szCs w:val="17"/>
          <w:b w:val="1"/>
          <w:bCs w:val="1"/>
          <w:u w:val="single" w:color="auto"/>
          <w:color w:val="0000FF"/>
        </w:rPr>
        <w:t>Each director elected at the 2021</w:t>
      </w:r>
      <w:r>
        <w:rPr>
          <w:rFonts w:ascii="Arial" w:cs="Arial" w:eastAsia="Arial" w:hAnsi="Arial"/>
          <w:sz w:val="17"/>
          <w:szCs w:val="17"/>
          <w:b w:val="1"/>
          <w:bCs w:val="1"/>
          <w:color w:val="FC0014"/>
        </w:rPr>
        <w:t xml:space="preserve"> </w:t>
      </w:r>
      <w:r>
        <w:rPr>
          <w:rFonts w:ascii="Arial" w:cs="Arial" w:eastAsia="Arial" w:hAnsi="Arial"/>
          <w:sz w:val="17"/>
          <w:szCs w:val="17"/>
          <w:color w:val="000000"/>
        </w:rPr>
        <w:t>annual meeting of stockholders</w:t>
      </w:r>
      <w:r>
        <w:rPr>
          <w:rFonts w:ascii="Arial" w:cs="Arial" w:eastAsia="Arial" w:hAnsi="Arial"/>
          <w:sz w:val="17"/>
          <w:szCs w:val="17"/>
          <w:b w:val="1"/>
          <w:bCs w:val="1"/>
          <w:color w:val="FC0014"/>
        </w:rPr>
        <w:t xml:space="preserve"> </w:t>
      </w:r>
      <w:r>
        <w:rPr>
          <w:rFonts w:ascii="Arial" w:cs="Arial" w:eastAsia="Arial" w:hAnsi="Arial"/>
          <w:sz w:val="17"/>
          <w:szCs w:val="17"/>
          <w:b w:val="1"/>
          <w:bCs w:val="1"/>
          <w:color w:val="FC0014"/>
          <w:strike w:val="1"/>
        </w:rPr>
        <w:t>following</w:t>
      </w:r>
      <w:r>
        <w:rPr>
          <w:rFonts w:ascii="Arial" w:cs="Arial" w:eastAsia="Arial" w:hAnsi="Arial"/>
          <w:sz w:val="17"/>
          <w:szCs w:val="17"/>
          <w:b w:val="1"/>
          <w:bCs w:val="1"/>
          <w:color w:val="FC0014"/>
        </w:rPr>
        <w:t xml:space="preserve"> </w:t>
      </w:r>
      <w:r>
        <w:rPr>
          <w:rFonts w:ascii="Arial" w:cs="Arial" w:eastAsia="Arial" w:hAnsi="Arial"/>
          <w:sz w:val="17"/>
          <w:szCs w:val="17"/>
          <w:b w:val="1"/>
          <w:bCs w:val="1"/>
          <w:color w:val="FC0014"/>
          <w:strike w:val="1"/>
        </w:rPr>
        <w:t>the date the Common Stock is first publicly traded (the “IPO Date”), Class II directors shall initially serve for a</w:t>
      </w:r>
      <w:r>
        <w:rPr>
          <w:rFonts w:ascii="Arial" w:cs="Arial" w:eastAsia="Arial" w:hAnsi="Arial"/>
          <w:sz w:val="17"/>
          <w:szCs w:val="17"/>
          <w:b w:val="1"/>
          <w:bCs w:val="1"/>
          <w:u w:val="single" w:color="auto"/>
          <w:color w:val="0000FF"/>
          <w:strike w:val="1"/>
        </w:rPr>
        <w:t>shall be elected to a three-year</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term expiring at the</w:t>
      </w:r>
      <w:r>
        <w:rPr>
          <w:rFonts w:ascii="Arial" w:cs="Arial" w:eastAsia="Arial" w:hAnsi="Arial"/>
          <w:sz w:val="17"/>
          <w:szCs w:val="17"/>
          <w:b w:val="1"/>
          <w:bCs w:val="1"/>
          <w:color w:val="FC0014"/>
          <w:strike w:val="1"/>
        </w:rPr>
        <w:t xml:space="preserve"> second</w:t>
      </w:r>
      <w:r>
        <w:rPr>
          <w:rFonts w:ascii="Arial" w:cs="Arial" w:eastAsia="Arial" w:hAnsi="Arial"/>
          <w:sz w:val="17"/>
          <w:szCs w:val="17"/>
          <w:b w:val="1"/>
          <w:bCs w:val="1"/>
          <w:u w:val="single" w:color="auto"/>
          <w:color w:val="0000FF"/>
          <w:strike w:val="1"/>
        </w:rPr>
        <w:t>2024</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annual meeting of stockholders</w:t>
      </w:r>
      <w:r>
        <w:rPr>
          <w:rFonts w:ascii="Arial" w:cs="Arial" w:eastAsia="Arial" w:hAnsi="Arial"/>
          <w:sz w:val="17"/>
          <w:szCs w:val="17"/>
          <w:b w:val="1"/>
          <w:bCs w:val="1"/>
          <w:color w:val="FC0014"/>
          <w:strike w:val="1"/>
        </w:rPr>
        <w:t xml:space="preserve"> following the</w:t>
      </w:r>
    </w:p>
    <w:p>
      <w:pPr>
        <w:spacing w:after="0" w:line="2" w:lineRule="exact"/>
        <w:rPr>
          <w:sz w:val="20"/>
          <w:szCs w:val="20"/>
          <w:color w:val="auto"/>
        </w:rPr>
      </w:pPr>
    </w:p>
    <w:p>
      <w:pPr>
        <w:jc w:val="both"/>
        <w:ind w:left="760"/>
        <w:spacing w:after="0" w:line="265" w:lineRule="auto"/>
        <w:rPr>
          <w:sz w:val="20"/>
          <w:szCs w:val="20"/>
          <w:color w:val="auto"/>
        </w:rPr>
      </w:pPr>
      <w:r>
        <w:rPr>
          <w:rFonts w:ascii="Arial" w:cs="Arial" w:eastAsia="Arial" w:hAnsi="Arial"/>
          <w:sz w:val="17"/>
          <w:szCs w:val="17"/>
          <w:b w:val="1"/>
          <w:bCs w:val="1"/>
          <w:color w:val="FC0014"/>
          <w:strike w:val="1"/>
        </w:rPr>
        <w:t>IPO Date and Class III directors shall initially serve for a term expiring at the third</w:t>
      </w:r>
      <w:r>
        <w:rPr>
          <w:rFonts w:ascii="Arial" w:cs="Arial" w:eastAsia="Arial" w:hAnsi="Arial"/>
          <w:sz w:val="17"/>
          <w:szCs w:val="17"/>
          <w:b w:val="1"/>
          <w:bCs w:val="1"/>
          <w:u w:val="single" w:color="auto"/>
          <w:color w:val="0000FF"/>
          <w:strike w:val="1"/>
        </w:rPr>
        <w:t>. Commencing with the</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2022</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annual meeting of stockholders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following the IPO Date. At each succeeding annual meeting, successors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to</w:t>
      </w:r>
      <w:r>
        <w:rPr>
          <w:rFonts w:ascii="Arial" w:cs="Arial" w:eastAsia="Arial" w:hAnsi="Arial"/>
          <w:sz w:val="17"/>
          <w:szCs w:val="17"/>
          <w:b w:val="1"/>
          <w:bCs w:val="1"/>
          <w:u w:val="single" w:color="auto"/>
          <w:color w:val="0000FF"/>
          <w:strike w:val="1"/>
        </w:rPr>
        <w:t>, directors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the class</w:t>
      </w:r>
      <w:r>
        <w:rPr>
          <w:rFonts w:ascii="Arial" w:cs="Arial" w:eastAsia="Arial" w:hAnsi="Arial"/>
          <w:sz w:val="17"/>
          <w:szCs w:val="17"/>
          <w:b w:val="1"/>
          <w:bCs w:val="1"/>
          <w:color w:val="FC0014"/>
          <w:strike w:val="1"/>
        </w:rPr>
        <w:t xml:space="preserve"> of directors </w:t>
      </w:r>
      <w:r>
        <w:rPr>
          <w:rFonts w:ascii="Arial" w:cs="Arial" w:eastAsia="Arial" w:hAnsi="Arial"/>
          <w:sz w:val="17"/>
          <w:szCs w:val="17"/>
          <w:color w:val="000000"/>
          <w:strike w:val="1"/>
        </w:rPr>
        <w:t>whose term</w:t>
      </w:r>
      <w:r>
        <w:rPr>
          <w:rFonts w:ascii="Arial" w:cs="Arial" w:eastAsia="Arial" w:hAnsi="Arial"/>
          <w:sz w:val="17"/>
          <w:szCs w:val="17"/>
          <w:b w:val="1"/>
          <w:bCs w:val="1"/>
          <w:color w:val="FC0014"/>
          <w:strike w:val="1"/>
        </w:rPr>
        <w:t xml:space="preserve"> expires</w:t>
      </w:r>
      <w:r>
        <w:rPr>
          <w:rFonts w:ascii="Arial" w:cs="Arial" w:eastAsia="Arial" w:hAnsi="Arial"/>
          <w:sz w:val="17"/>
          <w:szCs w:val="17"/>
          <w:b w:val="1"/>
          <w:bCs w:val="1"/>
          <w:u w:val="single" w:color="auto"/>
          <w:color w:val="0000FF"/>
          <w:strike w:val="1"/>
        </w:rPr>
        <w:t>ends</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at</w:t>
      </w:r>
      <w:r>
        <w:rPr>
          <w:rFonts w:ascii="Arial" w:cs="Arial" w:eastAsia="Arial" w:hAnsi="Arial"/>
          <w:sz w:val="17"/>
          <w:szCs w:val="17"/>
          <w:b w:val="1"/>
          <w:bCs w:val="1"/>
          <w:color w:val="FC0014"/>
          <w:strike w:val="1"/>
        </w:rPr>
        <w:t xml:space="preserve"> that</w:t>
      </w:r>
      <w:r>
        <w:rPr>
          <w:rFonts w:ascii="Arial" w:cs="Arial" w:eastAsia="Arial" w:hAnsi="Arial"/>
          <w:sz w:val="17"/>
          <w:szCs w:val="17"/>
          <w:b w:val="1"/>
          <w:bCs w:val="1"/>
          <w:u w:val="single" w:color="auto"/>
          <w:color w:val="0000FF"/>
          <w:strike w:val="1"/>
        </w:rPr>
        <w:t>such</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annual meeting</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shall thereafter be</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elected for a one-year term expiring at the next annual meeting of stockholders and until their successors are elected and qualified or until their earlier death, resignation, retirement, disqualification or removal from office. From and after the 2024 Annual Meeting, the classification of the directors shall cease and all directors</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shall be elected for a</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0000FF"/>
          <w:strike w:val="1"/>
        </w:rPr>
        <w:t>one-year</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term expiring at the</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third succeeding</w:t>
      </w:r>
      <w:r>
        <w:rPr>
          <w:rFonts w:ascii="Arial" w:cs="Arial" w:eastAsia="Arial" w:hAnsi="Arial"/>
          <w:sz w:val="17"/>
          <w:szCs w:val="17"/>
          <w:b w:val="1"/>
          <w:bCs w:val="1"/>
          <w:u w:val="single" w:color="auto"/>
          <w:color w:val="0000FF"/>
          <w:strike w:val="1"/>
        </w:rPr>
        <w:t>next</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annual meeting of</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stockholders </w:t>
      </w:r>
      <w:r>
        <w:rPr>
          <w:rFonts w:ascii="Arial" w:cs="Arial" w:eastAsia="Arial" w:hAnsi="Arial"/>
          <w:sz w:val="17"/>
          <w:szCs w:val="17"/>
          <w:b w:val="1"/>
          <w:bCs w:val="1"/>
          <w:u w:val="single" w:color="auto"/>
          <w:color w:val="0000FF"/>
          <w:strike w:val="1"/>
        </w:rPr>
        <w:t>or until their earlier death, resignation, retirement disqualification or removal from office</w:t>
      </w:r>
      <w:r>
        <w:rPr>
          <w:rFonts w:ascii="Arial" w:cs="Arial" w:eastAsia="Arial" w:hAnsi="Arial"/>
          <w:sz w:val="17"/>
          <w:szCs w:val="17"/>
          <w:color w:val="000000"/>
          <w:strike w:val="1"/>
        </w:rPr>
        <w:t xml:space="preserve">. If the number of such directors is changed </w:t>
      </w:r>
      <w:r>
        <w:rPr>
          <w:rFonts w:ascii="Arial" w:cs="Arial" w:eastAsia="Arial" w:hAnsi="Arial"/>
          <w:sz w:val="17"/>
          <w:szCs w:val="17"/>
          <w:b w:val="1"/>
          <w:bCs w:val="1"/>
          <w:u w:val="single" w:color="auto"/>
          <w:color w:val="0000FF"/>
          <w:strike w:val="1"/>
        </w:rPr>
        <w:t>prior to the 2024 Annual Meeting</w:t>
      </w:r>
      <w:r>
        <w:rPr>
          <w:rFonts w:ascii="Arial" w:cs="Arial" w:eastAsia="Arial" w:hAnsi="Arial"/>
          <w:sz w:val="17"/>
          <w:szCs w:val="17"/>
          <w:color w:val="000000"/>
          <w:strike w:val="1"/>
        </w:rPr>
        <w:t>, any increase or decrease shall be apportioned among the classes so as to maintain the number of directors in each class as nearly equal as possible</w:t>
      </w:r>
      <w:r>
        <w:rPr>
          <w:rFonts w:ascii="Arial" w:cs="Arial" w:eastAsia="Arial" w:hAnsi="Arial"/>
          <w:sz w:val="17"/>
          <w:szCs w:val="17"/>
          <w:b w:val="1"/>
          <w:bCs w:val="1"/>
          <w:color w:val="FC0014"/>
          <w:strike w:val="1"/>
        </w:rPr>
        <w:t>,</w:t>
      </w:r>
      <w:r>
        <w:rPr>
          <w:rFonts w:ascii="Arial" w:cs="Arial" w:eastAsia="Arial" w:hAnsi="Arial"/>
          <w:sz w:val="17"/>
          <w:szCs w:val="17"/>
          <w:color w:val="000000"/>
          <w:strike w:val="1"/>
        </w:rPr>
        <w:t xml:space="preserve"> </w:t>
      </w:r>
      <w:r>
        <w:rPr>
          <w:rFonts w:ascii="Arial" w:cs="Arial" w:eastAsia="Arial" w:hAnsi="Arial"/>
          <w:sz w:val="17"/>
          <w:szCs w:val="17"/>
          <w:b w:val="1"/>
          <w:bCs w:val="1"/>
          <w:color w:val="FC0014"/>
          <w:strike w:val="1"/>
        </w:rPr>
        <w:t>and any such additional director of any class elected to fill a newly created directorship resulting from an increase in such class shall hold office for a term that shall coincide with the remaining term of that class, but in</w:t>
      </w:r>
      <w:r>
        <w:rPr>
          <w:rFonts w:ascii="Arial" w:cs="Arial" w:eastAsia="Arial" w:hAnsi="Arial"/>
          <w:sz w:val="17"/>
          <w:szCs w:val="17"/>
          <w:b w:val="1"/>
          <w:bCs w:val="1"/>
          <w:u w:val="single" w:color="auto"/>
          <w:color w:val="0000FF"/>
          <w:strike w:val="1"/>
        </w:rPr>
        <w:t>. 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no case shall a decrease in the number of directors remove or shorten the term of any incumbent director.</w:t>
      </w:r>
    </w:p>
    <w:p>
      <w:pPr>
        <w:spacing w:after="0" w:line="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b w:val="1"/>
          <w:bCs w:val="1"/>
          <w:color w:val="FC0014"/>
          <w:strike w:val="1"/>
        </w:rPr>
        <w:t>Subject to the terms of the Stockholders Agreement (as defined below),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97"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B. Subject to the rights granted to the holders of any one or more series of Preferred Stock then outstanding or the rights granted pursuant to the Stockholders Agreement, dated as of October 30, 2017 (as the same may be amended, supplemented, restated or otherwise modified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by and among the Corporation, certain affiliates of Kohlberg Kravis Roberts &amp; Co. L.P. (together with its affiliates and subsidiaries and its and their successors and assigns (other than the Corporation and its subsidiaries), collectively, “</w:t>
      </w:r>
      <w:r>
        <w:rPr>
          <w:rFonts w:ascii="Arial" w:cs="Arial" w:eastAsia="Arial" w:hAnsi="Arial"/>
          <w:sz w:val="18"/>
          <w:szCs w:val="18"/>
          <w:u w:val="single" w:color="auto"/>
          <w:color w:val="auto"/>
        </w:rPr>
        <w:t>KKR</w:t>
      </w:r>
      <w:r>
        <w:rPr>
          <w:rFonts w:ascii="Arial" w:cs="Arial" w:eastAsia="Arial" w:hAnsi="Arial"/>
          <w:sz w:val="18"/>
          <w:szCs w:val="18"/>
          <w:color w:val="auto"/>
        </w:rPr>
        <w:t>”) and private equity funds managed by Berkshire Partners LLC (together with its affiliates and subsidiaries and its and their successors and assigns (other than the Corporation and its subsidiaries), collectively, “</w:t>
      </w:r>
      <w:r>
        <w:rPr>
          <w:rFonts w:ascii="Arial" w:cs="Arial" w:eastAsia="Arial" w:hAnsi="Arial"/>
          <w:sz w:val="18"/>
          <w:szCs w:val="18"/>
          <w:u w:val="single" w:color="auto"/>
          <w:color w:val="auto"/>
        </w:rPr>
        <w:t>Berkshire</w:t>
      </w:r>
      <w:r>
        <w:rPr>
          <w:rFonts w:ascii="Arial" w:cs="Arial" w:eastAsia="Arial" w:hAnsi="Arial"/>
          <w:sz w:val="18"/>
          <w:szCs w:val="18"/>
          <w:color w:val="auto"/>
        </w:rPr>
        <w:t>”), any newly-created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w:t>
      </w:r>
    </w:p>
    <w:p>
      <w:pPr>
        <w:spacing w:after="0" w:line="31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B</w:t>
      </w:r>
    </w:p>
    <w:p>
      <w:pPr>
        <w:spacing w:after="0" w:line="22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any time when KKR and Berkshire beneficially own collectively, in the aggregate,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 Any director elected to fill a vacancy or newly created directorship shall hold office until</w:t>
      </w:r>
      <w:r>
        <w:rPr>
          <w:rFonts w:ascii="Arial" w:cs="Arial" w:eastAsia="Arial" w:hAnsi="Arial"/>
          <w:sz w:val="18"/>
          <w:szCs w:val="18"/>
          <w:b w:val="1"/>
          <w:bCs w:val="1"/>
          <w:u w:val="single" w:color="auto"/>
          <w:color w:val="0000FF"/>
        </w:rPr>
        <w:t>, if prior to the 2024 Annual Meeting,</w:t>
      </w:r>
      <w:r>
        <w:rPr>
          <w:rFonts w:ascii="Arial" w:cs="Arial" w:eastAsia="Arial" w:hAnsi="Arial"/>
          <w:sz w:val="18"/>
          <w:szCs w:val="18"/>
          <w:color w:val="auto"/>
        </w:rPr>
        <w:t xml:space="preserve"> the next election of the class </w:t>
      </w:r>
      <w:r>
        <w:rPr>
          <w:rFonts w:ascii="Arial" w:cs="Arial" w:eastAsia="Arial" w:hAnsi="Arial"/>
          <w:sz w:val="18"/>
          <w:szCs w:val="18"/>
          <w:b w:val="1"/>
          <w:bCs w:val="1"/>
          <w:color w:val="FC0014"/>
          <w:strike w:val="1"/>
        </w:rPr>
        <w:t>for</w:t>
      </w:r>
      <w:r>
        <w:rPr>
          <w:rFonts w:ascii="Arial" w:cs="Arial" w:eastAsia="Arial" w:hAnsi="Arial"/>
          <w:sz w:val="18"/>
          <w:szCs w:val="18"/>
          <w:b w:val="1"/>
          <w:bCs w:val="1"/>
          <w:u w:val="single" w:color="auto"/>
          <w:color w:val="0000FF"/>
        </w:rPr>
        <w:t>into</w:t>
      </w:r>
      <w:r>
        <w:rPr>
          <w:rFonts w:ascii="Arial" w:cs="Arial" w:eastAsia="Arial" w:hAnsi="Arial"/>
          <w:sz w:val="18"/>
          <w:szCs w:val="18"/>
          <w:color w:val="auto"/>
        </w:rPr>
        <w:t xml:space="preserve"> which such director shall have been </w:t>
      </w:r>
      <w:r>
        <w:rPr>
          <w:rFonts w:ascii="Arial" w:cs="Arial" w:eastAsia="Arial" w:hAnsi="Arial"/>
          <w:sz w:val="18"/>
          <w:szCs w:val="18"/>
          <w:b w:val="1"/>
          <w:bCs w:val="1"/>
          <w:color w:val="FC0014"/>
          <w:strike w:val="1"/>
        </w:rPr>
        <w:t>chosen and</w:t>
      </w:r>
      <w:r>
        <w:rPr>
          <w:rFonts w:ascii="Arial" w:cs="Arial" w:eastAsia="Arial" w:hAnsi="Arial"/>
          <w:sz w:val="18"/>
          <w:szCs w:val="18"/>
          <w:b w:val="1"/>
          <w:bCs w:val="1"/>
          <w:u w:val="single" w:color="auto"/>
          <w:color w:val="0000FF"/>
        </w:rPr>
        <w:t>elected or placed or, if from and after the 2024 Annual Meeting, the next annual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meeting of stockholders, and, in each case,</w:t>
      </w:r>
      <w:r>
        <w:rPr>
          <w:rFonts w:ascii="Arial" w:cs="Arial" w:eastAsia="Arial" w:hAnsi="Arial"/>
          <w:sz w:val="18"/>
          <w:szCs w:val="18"/>
          <w:b w:val="1"/>
          <w:bCs w:val="1"/>
          <w:color w:val="0000FF"/>
        </w:rPr>
        <w:t xml:space="preserve"> </w:t>
      </w:r>
      <w:r>
        <w:rPr>
          <w:rFonts w:ascii="Arial" w:cs="Arial" w:eastAsia="Arial" w:hAnsi="Arial"/>
          <w:sz w:val="18"/>
          <w:szCs w:val="18"/>
          <w:color w:val="000000"/>
        </w:rPr>
        <w:t>until his or her successor shall be elected and qualified, or until his or</w:t>
      </w:r>
      <w:r>
        <w:rPr>
          <w:rFonts w:ascii="Arial" w:cs="Arial" w:eastAsia="Arial" w:hAnsi="Arial"/>
          <w:sz w:val="18"/>
          <w:szCs w:val="18"/>
          <w:b w:val="1"/>
          <w:bCs w:val="1"/>
          <w:color w:val="0000FF"/>
        </w:rPr>
        <w:t xml:space="preserve"> </w:t>
      </w:r>
      <w:r>
        <w:rPr>
          <w:rFonts w:ascii="Arial" w:cs="Arial" w:eastAsia="Arial" w:hAnsi="Arial"/>
          <w:sz w:val="18"/>
          <w:szCs w:val="18"/>
          <w:color w:val="000000"/>
        </w:rPr>
        <w:t>her earlier death, resignation, retirement, disqualification or removal.</w:t>
      </w:r>
    </w:p>
    <w:p>
      <w:pPr>
        <w:spacing w:after="0" w:line="95" w:lineRule="exact"/>
        <w:rPr>
          <w:sz w:val="20"/>
          <w:szCs w:val="20"/>
          <w:color w:val="auto"/>
        </w:rPr>
      </w:pPr>
    </w:p>
    <w:p>
      <w:pPr>
        <w:jc w:val="both"/>
        <w:ind w:left="760"/>
        <w:spacing w:after="0" w:line="249" w:lineRule="auto"/>
        <w:rPr>
          <w:sz w:val="20"/>
          <w:szCs w:val="20"/>
          <w:color w:val="auto"/>
        </w:rPr>
      </w:pPr>
      <w:r>
        <w:rPr>
          <w:rFonts w:ascii="Arial" w:cs="Arial" w:eastAsia="Arial" w:hAnsi="Arial"/>
          <w:sz w:val="17"/>
          <w:szCs w:val="17"/>
          <w:color w:val="auto"/>
        </w:rPr>
        <w:t xml:space="preserve">C. Subject to rights granted to KKR and Berkshire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w:t>
      </w:r>
      <w:r>
        <w:rPr>
          <w:rFonts w:ascii="Arial" w:cs="Arial" w:eastAsia="Arial" w:hAnsi="Arial"/>
          <w:sz w:val="17"/>
          <w:szCs w:val="17"/>
          <w:b w:val="1"/>
          <w:bCs w:val="1"/>
          <w:u w:val="single" w:color="auto"/>
          <w:color w:val="0000FF"/>
        </w:rPr>
        <w:t>the holders of</w:t>
      </w:r>
      <w:r>
        <w:rPr>
          <w:rFonts w:ascii="Arial" w:cs="Arial" w:eastAsia="Arial" w:hAnsi="Arial"/>
          <w:sz w:val="17"/>
          <w:szCs w:val="17"/>
          <w:color w:val="auto"/>
        </w:rPr>
        <w:t xml:space="preserve"> a majority in voting power of all outstanding shares of stock of the Corporation entitled to vote thereon, voting as a single class; </w:t>
      </w:r>
      <w:r>
        <w:rPr>
          <w:rFonts w:ascii="Arial" w:cs="Arial" w:eastAsia="Arial" w:hAnsi="Arial"/>
          <w:sz w:val="17"/>
          <w:szCs w:val="17"/>
          <w:i w:val="1"/>
          <w:iCs w:val="1"/>
          <w:color w:val="auto"/>
        </w:rPr>
        <w:t>provided, however, that at any time when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KKR and Berkshire beneficially own collectively, in the aggregate, less than 40% in voting power of the stock of the Corporation entitled to vote generally in the election of directors, </w:t>
      </w:r>
      <w:r>
        <w:rPr>
          <w:rFonts w:ascii="Arial" w:cs="Arial" w:eastAsia="Arial" w:hAnsi="Arial"/>
          <w:sz w:val="17"/>
          <w:szCs w:val="17"/>
          <w:b w:val="1"/>
          <w:bCs w:val="1"/>
          <w:color w:val="FC0014"/>
          <w:strike w:val="1"/>
        </w:rPr>
        <w:t>any such</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0000FF"/>
        </w:rPr>
        <w:t>(i) prior to the 2024 Annual Meeting,</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0000FF"/>
        </w:rPr>
        <w:t>any</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director</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C0014"/>
          <w:strike w:val="1"/>
        </w:rPr>
        <w:t>or all such directors</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may be removed only for cause and only by the affirmative vote of the holders of</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at least 66</w:t>
      </w:r>
      <w:r>
        <w:rPr>
          <w:rFonts w:ascii="Arial" w:cs="Arial" w:eastAsia="Arial" w:hAnsi="Arial"/>
          <w:sz w:val="24"/>
          <w:szCs w:val="24"/>
          <w:i w:val="1"/>
          <w:iCs w:val="1"/>
          <w:color w:val="000000"/>
          <w:vertAlign w:val="superscript"/>
        </w:rPr>
        <w:t>2</w:t>
      </w:r>
      <w:r>
        <w:rPr>
          <w:rFonts w:ascii="Arial" w:cs="Arial" w:eastAsia="Arial" w:hAnsi="Arial"/>
          <w:sz w:val="17"/>
          <w:szCs w:val="17"/>
          <w:i w:val="1"/>
          <w:iCs w:val="1"/>
          <w:color w:val="000000"/>
        </w:rPr>
        <w:t>⁄</w:t>
      </w:r>
      <w:r>
        <w:rPr>
          <w:rFonts w:ascii="Arial" w:cs="Arial" w:eastAsia="Arial" w:hAnsi="Arial"/>
          <w:sz w:val="12"/>
          <w:szCs w:val="12"/>
          <w:i w:val="1"/>
          <w:iCs w:val="1"/>
          <w:color w:val="000000"/>
        </w:rPr>
        <w:t>3</w:t>
      </w:r>
      <w:r>
        <w:rPr>
          <w:rFonts w:ascii="Arial" w:cs="Arial" w:eastAsia="Arial" w:hAnsi="Arial"/>
          <w:sz w:val="17"/>
          <w:szCs w:val="17"/>
          <w:i w:val="1"/>
          <w:iCs w:val="1"/>
          <w:color w:val="000000"/>
        </w:rPr>
        <w:t>% in voting power of all the then-outstanding shares of stock of the Corporation entitled to vote thereon, voting together as a single class</w:t>
      </w:r>
      <w:r>
        <w:rPr>
          <w:rFonts w:ascii="Arial" w:cs="Arial" w:eastAsia="Arial" w:hAnsi="Arial"/>
          <w:sz w:val="17"/>
          <w:szCs w:val="17"/>
          <w:b w:val="1"/>
          <w:bCs w:val="1"/>
          <w:color w:val="FC0014"/>
          <w:strike w:val="1"/>
        </w:rPr>
        <w:t>.</w:t>
      </w:r>
      <w:r>
        <w:rPr>
          <w:rFonts w:ascii="Arial" w:cs="Arial" w:eastAsia="Arial" w:hAnsi="Arial"/>
          <w:sz w:val="17"/>
          <w:szCs w:val="17"/>
          <w:b w:val="1"/>
          <w:bCs w:val="1"/>
          <w:u w:val="single" w:color="auto"/>
          <w:color w:val="0000FF"/>
        </w:rPr>
        <w:t>, (ii) from and after the 2024 Annual Meeting, any director may be</w:t>
      </w:r>
      <w:r>
        <w:rPr>
          <w:rFonts w:ascii="Arial" w:cs="Arial" w:eastAsia="Arial" w:hAnsi="Arial"/>
          <w:sz w:val="17"/>
          <w:szCs w:val="17"/>
          <w:i w:val="1"/>
          <w:iCs w:val="1"/>
          <w:color w:val="000000"/>
        </w:rPr>
        <w:t xml:space="preserve"> </w:t>
      </w:r>
      <w:r>
        <w:rPr>
          <w:rFonts w:ascii="Arial" w:cs="Arial" w:eastAsia="Arial" w:hAnsi="Arial"/>
          <w:sz w:val="17"/>
          <w:szCs w:val="17"/>
          <w:b w:val="1"/>
          <w:bCs w:val="1"/>
          <w:u w:val="single" w:color="auto"/>
          <w:color w:val="0000FF"/>
        </w:rPr>
        <w:t>removed with or without cause by the affirmative vote of the holders of at least 66</w:t>
      </w:r>
      <w:r>
        <w:rPr>
          <w:rFonts w:ascii="Arial" w:cs="Arial" w:eastAsia="Arial" w:hAnsi="Arial"/>
          <w:sz w:val="24"/>
          <w:szCs w:val="24"/>
          <w:b w:val="1"/>
          <w:bCs w:val="1"/>
          <w:u w:val="single" w:color="auto"/>
          <w:color w:val="0000FF"/>
          <w:vertAlign w:val="superscript"/>
        </w:rPr>
        <w:t>2</w:t>
      </w:r>
      <w:r>
        <w:rPr>
          <w:rFonts w:ascii="Arial" w:cs="Arial" w:eastAsia="Arial" w:hAnsi="Arial"/>
          <w:sz w:val="17"/>
          <w:szCs w:val="17"/>
          <w:b w:val="1"/>
          <w:bCs w:val="1"/>
          <w:u w:val="single" w:color="auto"/>
          <w:color w:val="0000FF"/>
        </w:rPr>
        <w:t>⁄</w:t>
      </w:r>
      <w:r>
        <w:rPr>
          <w:rFonts w:ascii="Arial" w:cs="Arial" w:eastAsia="Arial" w:hAnsi="Arial"/>
          <w:sz w:val="12"/>
          <w:szCs w:val="12"/>
          <w:b w:val="1"/>
          <w:bCs w:val="1"/>
          <w:u w:val="single" w:color="auto"/>
          <w:color w:val="0000FF"/>
        </w:rPr>
        <w:t>3</w:t>
      </w:r>
      <w:r>
        <w:rPr>
          <w:rFonts w:ascii="Arial" w:cs="Arial" w:eastAsia="Arial" w:hAnsi="Arial"/>
          <w:sz w:val="17"/>
          <w:szCs w:val="17"/>
          <w:b w:val="1"/>
          <w:bCs w:val="1"/>
          <w:u w:val="single" w:color="auto"/>
          <w:color w:val="0000FF"/>
        </w:rPr>
        <w:t>% in voting power of all</w:t>
      </w:r>
    </w:p>
    <w:p>
      <w:pPr>
        <w:spacing w:after="0" w:line="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b w:val="1"/>
          <w:bCs w:val="1"/>
          <w:u w:val="single" w:color="auto"/>
          <w:color w:val="0000FF"/>
        </w:rPr>
        <w:t>the then-outstanding shares of stock of the Corporation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sz w:val="1"/>
          <w:szCs w:val="1"/>
          <w:color w:val="auto"/>
        </w:rPr>
        <w:drawing>
          <wp:inline distT="0" distB="0" distL="0" distR="0">
            <wp:extent cx="299720" cy="24003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C</w:t>
      </w:r>
    </w:p>
    <w:p>
      <w:pPr>
        <w:spacing w:after="0" w:line="216" w:lineRule="exact"/>
        <w:rPr>
          <w:sz w:val="20"/>
          <w:szCs w:val="20"/>
          <w:color w:val="auto"/>
        </w:rPr>
      </w:pPr>
    </w:p>
    <w:p>
      <w:pPr>
        <w:ind w:left="760" w:right="420"/>
        <w:spacing w:after="0" w:line="285" w:lineRule="auto"/>
        <w:rPr>
          <w:sz w:val="20"/>
          <w:szCs w:val="20"/>
          <w:color w:val="auto"/>
        </w:rPr>
      </w:pPr>
      <w:r>
        <w:rPr>
          <w:rFonts w:ascii="Arial" w:cs="Arial" w:eastAsia="Arial" w:hAnsi="Arial"/>
          <w:sz w:val="21"/>
          <w:szCs w:val="21"/>
          <w:b w:val="1"/>
          <w:bCs w:val="1"/>
          <w:color w:val="3C5896"/>
        </w:rPr>
        <w:t>PROPOSED AMENDMENTS TO THE CERTIFICATE OF INCORPORATION ELIMINATING SUPERMAJORITY VOTING STANDARDS AND OTHER OBSOLETE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58375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Subject to approval by the requisite vote of stockholders of the Company, the following sections of the Second Amended and Restated Certificate of Incorporation would be amended as follows, with additions indicated by underlining and deletions indicated by strike-outs: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Article V of the Second Amended and Restated Certificate of</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V</w:t>
      </w:r>
    </w:p>
    <w:p>
      <w:pPr>
        <w:spacing w:after="0" w:line="3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95"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FC0014"/>
          <w:strike w:val="1"/>
        </w:rPr>
        <w:t>For so long as KKR and Berkshire (each as defined below) beneficially own collectively, in the aggregate,</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at least 40% in voting power of the stock of the Corporation entitled to vote generally in the election of directors, in</w:t>
      </w:r>
      <w:r>
        <w:rPr>
          <w:rFonts w:ascii="Arial" w:cs="Arial" w:eastAsia="Arial" w:hAnsi="Arial"/>
          <w:sz w:val="17"/>
          <w:szCs w:val="17"/>
          <w:b w:val="1"/>
          <w:bCs w:val="1"/>
          <w:u w:val="single" w:color="auto"/>
          <w:color w:val="0000FF"/>
          <w:strike w:val="1"/>
        </w:rPr>
        <w:t>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addition to any vote required by applicable law, this Second Amended and Restated Certificate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w:t>
      </w:r>
    </w:p>
    <w:p>
      <w:pPr>
        <w:spacing w:after="0" w:line="60"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b w:val="1"/>
          <w:bCs w:val="1"/>
          <w:color w:val="FC0014"/>
          <w:strike w:val="1"/>
        </w:rPr>
        <w:t>Notwithstanding anything contained in this Second Amended and Restated Certificate of Incorporation to the contrary, at any time when KKR and Berkshire (each as defined below) beneficially own collectively, in the aggregate, less than 40% in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“Exchange Act”).</w:t>
      </w:r>
    </w:p>
    <w:p>
      <w:pPr>
        <w:spacing w:after="0" w:line="103" w:lineRule="exact"/>
        <w:rPr>
          <w:sz w:val="20"/>
          <w:szCs w:val="20"/>
          <w:color w:val="auto"/>
        </w:rPr>
      </w:pPr>
    </w:p>
    <w:p>
      <w:pPr>
        <w:jc w:val="both"/>
        <w:ind w:left="760"/>
        <w:spacing w:after="0" w:line="260"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amended and restated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without the assent or vote of the stockholders in any manner not inconsistent with the laws of the State of Delaware or this Second Amended and Restated Certificate of Incorporation. </w:t>
      </w:r>
      <w:r>
        <w:rPr>
          <w:rFonts w:ascii="Arial" w:cs="Arial" w:eastAsia="Arial" w:hAnsi="Arial"/>
          <w:sz w:val="17"/>
          <w:szCs w:val="17"/>
          <w:b w:val="1"/>
          <w:bCs w:val="1"/>
          <w:color w:val="FC0014"/>
          <w:strike w:val="1"/>
        </w:rPr>
        <w:t>For so long as KKR and Berkshire (each as defined below)</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beneficially own collectively, in the aggregate, at least 40% in voting power of the stock of the Corporation entitled to vote generally in the election of directors, in</w:t>
      </w:r>
      <w:r>
        <w:rPr>
          <w:rFonts w:ascii="Arial" w:cs="Arial" w:eastAsia="Arial" w:hAnsi="Arial"/>
          <w:sz w:val="17"/>
          <w:szCs w:val="17"/>
          <w:b w:val="1"/>
          <w:bCs w:val="1"/>
          <w:u w:val="single" w:color="auto"/>
          <w:color w:val="0000FF"/>
          <w:strike w:val="1"/>
        </w:rPr>
        <w:t>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addition to any vote of the holders of any class or</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 xml:space="preserve">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w:t>
      </w:r>
      <w:r>
        <w:rPr>
          <w:rFonts w:ascii="Arial" w:cs="Arial" w:eastAsia="Arial" w:hAnsi="Arial"/>
          <w:sz w:val="17"/>
          <w:szCs w:val="17"/>
          <w:b w:val="1"/>
          <w:bCs w:val="1"/>
          <w:color w:val="FC0014"/>
          <w:strike w:val="1"/>
        </w:rPr>
        <w:t>Notwithstanding</w:t>
      </w:r>
      <w:r>
        <w:rPr>
          <w:rFonts w:ascii="Arial" w:cs="Arial" w:eastAsia="Arial" w:hAnsi="Arial"/>
          <w:sz w:val="17"/>
          <w:szCs w:val="17"/>
          <w:color w:val="000000"/>
          <w:strike w:val="1"/>
        </w:rPr>
        <w:t xml:space="preserve"> </w:t>
      </w:r>
      <w:r>
        <w:rPr>
          <w:rFonts w:ascii="Arial" w:cs="Arial" w:eastAsia="Arial" w:hAnsi="Arial"/>
          <w:sz w:val="17"/>
          <w:szCs w:val="17"/>
          <w:b w:val="1"/>
          <w:bCs w:val="1"/>
          <w:color w:val="FC0014"/>
          <w:strike w:val="1"/>
        </w:rPr>
        <w:t>anything to the contrary contained in this Second Amended and Restated Certificate of Incorporation or any provision of law which might otherwise permit a lesser vote of the stockholders, at any time when KKR and Berkshire (each as defined below) beneficially own collectively,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w:t>
      </w:r>
      <w:r>
        <w:rPr>
          <w:rFonts w:ascii="Arial" w:cs="Arial" w:eastAsia="Arial" w:hAnsi="Arial"/>
          <w:sz w:val="24"/>
          <w:szCs w:val="24"/>
          <w:b w:val="1"/>
          <w:bCs w:val="1"/>
          <w:color w:val="FC0014"/>
          <w:strike w:val="1"/>
          <w:vertAlign w:val="superscript"/>
        </w:rPr>
        <w:t>2</w:t>
      </w:r>
      <w:r>
        <w:rPr>
          <w:rFonts w:ascii="Arial" w:cs="Arial" w:eastAsia="Arial" w:hAnsi="Arial"/>
          <w:sz w:val="17"/>
          <w:szCs w:val="17"/>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7"/>
          <w:szCs w:val="17"/>
          <w:b w:val="1"/>
          <w:bCs w:val="1"/>
          <w:color w:val="FC0014"/>
          <w:strike w:val="1"/>
        </w:rPr>
        <w:t>% in voting power of all the then-outstanding shares of stock</w:t>
      </w:r>
    </w:p>
    <w:p>
      <w:pPr>
        <w:spacing w:after="0" w:line="3"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b w:val="1"/>
          <w:bCs w:val="1"/>
          <w:color w:val="FC0014"/>
          <w:strike w:val="1"/>
        </w:rPr>
        <w:t>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0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B, and C of Article VI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VI</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04"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A. 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8"/>
          <w:szCs w:val="18"/>
          <w:u w:val="single" w:color="auto"/>
          <w:color w:val="auto"/>
        </w:rPr>
        <w:t>IPO Date</w:t>
      </w:r>
      <w:r>
        <w:rPr>
          <w:rFonts w:ascii="Arial" w:cs="Arial" w:eastAsia="Arial" w:hAnsi="Arial"/>
          <w:sz w:val="18"/>
          <w:szCs w:val="18"/>
          <w:color w:val="auto"/>
        </w:rPr>
        <w:t xml:space="preserve">”),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w:t>
      </w:r>
      <w:r>
        <w:rPr>
          <w:rFonts w:ascii="Arial" w:cs="Arial" w:eastAsia="Arial" w:hAnsi="Arial"/>
          <w:sz w:val="18"/>
          <w:szCs w:val="18"/>
          <w:b w:val="1"/>
          <w:bCs w:val="1"/>
          <w:color w:val="FC0014"/>
          <w:strike w:val="1"/>
        </w:rPr>
        <w:t>Subject to</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the terms of the Stockholders Agreement (as defined below), any</w:t>
      </w:r>
      <w:r>
        <w:rPr>
          <w:rFonts w:ascii="Arial" w:cs="Arial" w:eastAsia="Arial" w:hAnsi="Arial"/>
          <w:sz w:val="18"/>
          <w:szCs w:val="18"/>
          <w:b w:val="1"/>
          <w:bCs w:val="1"/>
          <w:u w:val="single" w:color="auto"/>
          <w:color w:val="0000FF"/>
        </w:rPr>
        <w:t>Any</w:t>
      </w:r>
      <w:r>
        <w:rPr>
          <w:rFonts w:ascii="Arial" w:cs="Arial" w:eastAsia="Arial" w:hAnsi="Arial"/>
          <w:sz w:val="18"/>
          <w:szCs w:val="18"/>
          <w:b w:val="1"/>
          <w:bCs w:val="1"/>
          <w:color w:val="FC0014"/>
        </w:rPr>
        <w:t xml:space="preserve"> </w:t>
      </w:r>
      <w:r>
        <w:rPr>
          <w:rFonts w:ascii="Arial" w:cs="Arial" w:eastAsia="Arial" w:hAnsi="Arial"/>
          <w:sz w:val="18"/>
          <w:szCs w:val="18"/>
          <w:color w:val="000000"/>
        </w:rPr>
        <w:t>such director shall hold office until the</w:t>
      </w:r>
      <w:r>
        <w:rPr>
          <w:rFonts w:ascii="Arial" w:cs="Arial" w:eastAsia="Arial" w:hAnsi="Arial"/>
          <w:sz w:val="18"/>
          <w:szCs w:val="18"/>
          <w:b w:val="1"/>
          <w:bCs w:val="1"/>
          <w:color w:val="FC0014"/>
        </w:rPr>
        <w:t xml:space="preserve"> </w:t>
      </w:r>
      <w:r>
        <w:rPr>
          <w:rFonts w:ascii="Arial" w:cs="Arial" w:eastAsia="Arial" w:hAnsi="Arial"/>
          <w:sz w:val="18"/>
          <w:szCs w:val="18"/>
          <w:color w:val="000000"/>
        </w:rPr>
        <w:t>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95"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 xml:space="preserve">B. Subject to the rights granted to the holders of any one or more series of Preferred Stock then outstanding </w:t>
      </w:r>
      <w:r>
        <w:rPr>
          <w:rFonts w:ascii="Arial" w:cs="Arial" w:eastAsia="Arial" w:hAnsi="Arial"/>
          <w:sz w:val="18"/>
          <w:szCs w:val="18"/>
          <w:b w:val="1"/>
          <w:bCs w:val="1"/>
          <w:color w:val="FC0014"/>
          <w:strike w:val="1"/>
        </w:rPr>
        <w:t>or the</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rights granted pursuant to the Stockholders Agreement, dated as of October 30, 2017 (as the same may be amended, supplemented, restated or otherwise modified from time to time, the “Stockholders Agreement”), by and among the Corporation, certain affiliates of Kohlberg Kravis Roberts &amp; Co. L.P. (together with its affiliates and subsidiaries and its and their successors and assigns (other than the Corporation and its subsidiaries), collectively, “KKR”) and private equity funds managed by Berkshire Partners LLC (together with its affiliates and subsidiaries and its and their successors and assigns (other than the Corporation and its subsidiaries), collectively, “Berkshire”)</w:t>
      </w:r>
      <w:r>
        <w:rPr>
          <w:rFonts w:ascii="Arial" w:cs="Arial" w:eastAsia="Arial" w:hAnsi="Arial"/>
          <w:sz w:val="18"/>
          <w:szCs w:val="18"/>
          <w:color w:val="000000"/>
          <w:strike w:val="1"/>
        </w:rPr>
        <w:t>, any newly-created directorship on the Board of Directors that results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w:t>
      </w:r>
      <w:r>
        <w:rPr>
          <w:rFonts w:ascii="Arial" w:cs="Arial" w:eastAsia="Arial" w:hAnsi="Arial"/>
          <w:sz w:val="18"/>
          <w:szCs w:val="18"/>
          <w:b w:val="1"/>
          <w:bCs w:val="1"/>
          <w:color w:val="FC0014"/>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FC0014"/>
          <w:strike w:val="1"/>
        </w:rPr>
        <w:t>provided</w:t>
      </w:r>
      <w:r>
        <w:rPr>
          <w:rFonts w:ascii="Arial" w:cs="Arial" w:eastAsia="Arial" w:hAnsi="Arial"/>
          <w:sz w:val="18"/>
          <w:szCs w:val="18"/>
          <w:b w:val="1"/>
          <w:bCs w:val="1"/>
          <w:color w:val="FC0014"/>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FC0014"/>
          <w:strike w:val="1"/>
        </w:rPr>
        <w:t>however</w:t>
      </w:r>
      <w:r>
        <w:rPr>
          <w:rFonts w:ascii="Arial" w:cs="Arial" w:eastAsia="Arial" w:hAnsi="Arial"/>
          <w:sz w:val="18"/>
          <w:szCs w:val="18"/>
          <w:b w:val="1"/>
          <w:bCs w:val="1"/>
          <w:color w:val="FC0014"/>
          <w:strike w:val="1"/>
        </w:rPr>
        <w:t>, that at</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any time when KKR and Berkshire beneficially own collectively, in the aggregate, less 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w:t>
      </w:r>
      <w:r>
        <w:rPr>
          <w:rFonts w:ascii="Arial" w:cs="Arial" w:eastAsia="Arial" w:hAnsi="Arial"/>
          <w:sz w:val="18"/>
          <w:szCs w:val="18"/>
          <w:color w:val="000000"/>
          <w:strike w:val="1"/>
        </w:rPr>
        <w:t>. Any director elected to fill a vacancy or newly</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81" w:lineRule="exact"/>
        <w:rPr>
          <w:sz w:val="20"/>
          <w:szCs w:val="20"/>
          <w:color w:val="auto"/>
        </w:rPr>
      </w:pPr>
    </w:p>
    <w:p>
      <w:pPr>
        <w:jc w:val="both"/>
        <w:ind w:left="760"/>
        <w:spacing w:after="0" w:line="274"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FC0014"/>
          <w:strike w:val="1"/>
        </w:rPr>
        <w:t>Subject to rights granted to KKR and Berkshire under the Stockholders Agreement, any</w:t>
      </w:r>
      <w:r>
        <w:rPr>
          <w:rFonts w:ascii="Arial" w:cs="Arial" w:eastAsia="Arial" w:hAnsi="Arial"/>
          <w:sz w:val="17"/>
          <w:szCs w:val="17"/>
          <w:b w:val="1"/>
          <w:bCs w:val="1"/>
          <w:u w:val="single" w:color="auto"/>
          <w:color w:val="0000FF"/>
        </w:rPr>
        <w:t>Any</w:t>
      </w:r>
      <w:r>
        <w:rPr>
          <w:rFonts w:ascii="Arial" w:cs="Arial" w:eastAsia="Arial" w:hAnsi="Arial"/>
          <w:sz w:val="17"/>
          <w:szCs w:val="17"/>
          <w:color w:val="auto"/>
        </w:rPr>
        <w:t xml:space="preserve"> or all of the directors (other than the directors elected by the holders of any series of Preferred Stock of the Corporation, voting separately as a series or together with one or more other such series, as the case may be) </w:t>
      </w:r>
      <w:r>
        <w:rPr>
          <w:rFonts w:ascii="Arial" w:cs="Arial" w:eastAsia="Arial" w:hAnsi="Arial"/>
          <w:sz w:val="17"/>
          <w:szCs w:val="17"/>
          <w:b w:val="1"/>
          <w:bCs w:val="1"/>
          <w:color w:val="FC0014"/>
          <w:strike w:val="1"/>
        </w:rPr>
        <w:t>may be removed at any</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time either with or without cause by the affirmative vote of a majority in voting power of all outstanding shares of stock of the Corporation entitled to vote thereon, voting as a single class; provided, however, that at any time when KKR and Berkshire beneficially own collectively, in the aggregate, less than 40% in voting power of the stock of the Corporation entitled to vote generally in the election of directors, any such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-728345</wp:posOffset>
            </wp:positionV>
            <wp:extent cx="311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8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sz w:val="1"/>
          <w:szCs w:val="1"/>
          <w:color w:val="auto"/>
        </w:rPr>
        <w:drawing>
          <wp:inline distT="0" distB="0" distL="0" distR="0">
            <wp:extent cx="299720" cy="24003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25" w:lineRule="exact"/>
        <w:rPr>
          <w:sz w:val="20"/>
          <w:szCs w:val="20"/>
          <w:color w:val="auto"/>
        </w:rPr>
      </w:pPr>
    </w:p>
    <w:p>
      <w:pPr>
        <w:jc w:val="both"/>
        <w:ind w:left="760"/>
        <w:spacing w:after="0" w:line="220" w:lineRule="auto"/>
        <w:rPr>
          <w:sz w:val="20"/>
          <w:szCs w:val="20"/>
          <w:color w:val="auto"/>
        </w:rPr>
      </w:pPr>
      <w:r>
        <w:rPr>
          <w:rFonts w:ascii="Arial" w:cs="Arial" w:eastAsia="Arial" w:hAnsi="Arial"/>
          <w:sz w:val="18"/>
          <w:szCs w:val="18"/>
          <w:b w:val="1"/>
          <w:bCs w:val="1"/>
          <w:color w:val="FC0014"/>
          <w:strike w:val="1"/>
        </w:rPr>
        <w:t>or all such directors</w:t>
      </w:r>
      <w:r>
        <w:rPr>
          <w:rFonts w:ascii="Arial" w:cs="Arial" w:eastAsia="Arial" w:hAnsi="Arial"/>
          <w:sz w:val="18"/>
          <w:szCs w:val="18"/>
          <w:b w:val="1"/>
          <w:bCs w:val="1"/>
          <w:color w:val="FC0014"/>
        </w:rPr>
        <w:t xml:space="preserve"> </w:t>
      </w:r>
      <w:r>
        <w:rPr>
          <w:rFonts w:ascii="Arial" w:cs="Arial" w:eastAsia="Arial" w:hAnsi="Arial"/>
          <w:sz w:val="18"/>
          <w:szCs w:val="18"/>
          <w:color w:val="000000"/>
        </w:rPr>
        <w:t>may be removed only for cause and only by the affirmative vote of the holders of</w:t>
      </w:r>
      <w:r>
        <w:rPr>
          <w:rFonts w:ascii="Arial" w:cs="Arial" w:eastAsia="Arial" w:hAnsi="Arial"/>
          <w:sz w:val="18"/>
          <w:szCs w:val="18"/>
          <w:b w:val="1"/>
          <w:bCs w:val="1"/>
          <w:color w:val="FC0014"/>
        </w:rPr>
        <w:t xml:space="preserve"> </w:t>
      </w:r>
      <w:r>
        <w:rPr>
          <w:rFonts w:ascii="Arial" w:cs="Arial" w:eastAsia="Arial" w:hAnsi="Arial"/>
          <w:sz w:val="18"/>
          <w:szCs w:val="18"/>
          <w:b w:val="1"/>
          <w:bCs w:val="1"/>
          <w:color w:val="FC0014"/>
          <w:strike w:val="1"/>
        </w:rPr>
        <w:t>at least</w:t>
      </w:r>
      <w:r>
        <w:rPr>
          <w:rFonts w:ascii="Arial" w:cs="Arial" w:eastAsia="Arial" w:hAnsi="Arial"/>
          <w:sz w:val="18"/>
          <w:szCs w:val="18"/>
          <w:b w:val="1"/>
          <w:bCs w:val="1"/>
          <w:color w:val="FC0014"/>
        </w:rPr>
        <w:t xml:space="preserve"> </w:t>
      </w:r>
      <w:r>
        <w:rPr>
          <w:rFonts w:ascii="Arial" w:cs="Arial" w:eastAsia="Arial" w:hAnsi="Arial"/>
          <w:sz w:val="18"/>
          <w:szCs w:val="18"/>
          <w:b w:val="1"/>
          <w:bCs w:val="1"/>
          <w:color w:val="FC0014"/>
          <w:strike w:val="1"/>
        </w:rPr>
        <w:t>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w:t>
      </w:r>
      <w:r>
        <w:rPr>
          <w:rFonts w:ascii="Arial" w:cs="Arial" w:eastAsia="Arial" w:hAnsi="Arial"/>
          <w:sz w:val="18"/>
          <w:szCs w:val="18"/>
          <w:b w:val="1"/>
          <w:bCs w:val="1"/>
          <w:color w:val="FC0014"/>
        </w:rPr>
        <w:t xml:space="preserve"> </w:t>
      </w:r>
      <w:r>
        <w:rPr>
          <w:rFonts w:ascii="Arial" w:cs="Arial" w:eastAsia="Arial" w:hAnsi="Arial"/>
          <w:sz w:val="18"/>
          <w:szCs w:val="18"/>
          <w:b w:val="1"/>
          <w:bCs w:val="1"/>
          <w:u w:val="single" w:color="auto"/>
          <w:color w:val="0000FF"/>
        </w:rPr>
        <w:t>a majority</w:t>
      </w:r>
      <w:r>
        <w:rPr>
          <w:rFonts w:ascii="Arial" w:cs="Arial" w:eastAsia="Arial" w:hAnsi="Arial"/>
          <w:sz w:val="18"/>
          <w:szCs w:val="18"/>
          <w:b w:val="1"/>
          <w:bCs w:val="1"/>
          <w:color w:val="FC0014"/>
        </w:rPr>
        <w:t xml:space="preserve"> </w:t>
      </w:r>
      <w:r>
        <w:rPr>
          <w:rFonts w:ascii="Arial" w:cs="Arial" w:eastAsia="Arial" w:hAnsi="Arial"/>
          <w:sz w:val="18"/>
          <w:szCs w:val="18"/>
          <w:color w:val="000000"/>
        </w:rPr>
        <w:t>in voting power of all the then-outstanding shares of stock of the Corporation entitled to vote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thereon, voting together as a single class.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and B of Article VIII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15240</wp:posOffset>
            </wp:positionV>
            <wp:extent cx="58375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ARTICLE VIII</w:t>
      </w:r>
    </w:p>
    <w:p>
      <w:pPr>
        <w:spacing w:after="0" w:line="36"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45" w:lineRule="exact"/>
        <w:rPr>
          <w:sz w:val="20"/>
          <w:szCs w:val="20"/>
          <w:color w:val="auto"/>
        </w:rPr>
      </w:pPr>
    </w:p>
    <w:p>
      <w:pPr>
        <w:jc w:val="both"/>
        <w:ind w:left="760"/>
        <w:spacing w:after="0" w:line="251"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FC0014"/>
          <w:strike w:val="1"/>
        </w:rPr>
        <w:t>At any time when KKR and Berkshire beneficially own collectively, in the aggregate, at least 40% in voting</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KKR and Berkshire beneficially own collectively, in the aggregate, less than 40% in voting power of the stock of the Corporation entitled to vote generally in the election of directors, any</w:t>
      </w:r>
      <w:r>
        <w:rPr>
          <w:rFonts w:ascii="Arial" w:cs="Arial" w:eastAsia="Arial" w:hAnsi="Arial"/>
          <w:sz w:val="17"/>
          <w:szCs w:val="17"/>
          <w:b w:val="1"/>
          <w:bCs w:val="1"/>
          <w:u w:val="single" w:color="auto"/>
          <w:color w:val="0000FF"/>
          <w:strike w:val="1"/>
        </w:rPr>
        <w:t>Any</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action required or permitted to be taken by the stockholders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 xml:space="preserve">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000000"/>
          <w:strike w:val="1"/>
        </w:rPr>
        <w:t>provided</w:t>
      </w:r>
      <w:r>
        <w:rPr>
          <w:rFonts w:ascii="Arial" w:cs="Arial" w:eastAsia="Arial" w:hAnsi="Arial"/>
          <w:sz w:val="17"/>
          <w:szCs w:val="17"/>
          <w:color w:val="000000"/>
          <w:strike w:val="1"/>
        </w:rPr>
        <w:t xml:space="preserve">, </w:t>
      </w:r>
      <w:r>
        <w:rPr>
          <w:rFonts w:ascii="Arial" w:cs="Arial" w:eastAsia="Arial" w:hAnsi="Arial"/>
          <w:sz w:val="17"/>
          <w:szCs w:val="17"/>
          <w:i w:val="1"/>
          <w:iCs w:val="1"/>
          <w:color w:val="000000"/>
          <w:strike w:val="1"/>
        </w:rPr>
        <w:t>however</w:t>
      </w:r>
      <w:r>
        <w:rPr>
          <w:rFonts w:ascii="Arial" w:cs="Arial" w:eastAsia="Arial" w:hAnsi="Arial"/>
          <w:sz w:val="17"/>
          <w:szCs w:val="17"/>
          <w:color w:val="000000"/>
          <w:strike w:val="1"/>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300"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B. 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w:t>
      </w:r>
      <w:r>
        <w:rPr>
          <w:rFonts w:ascii="Arial" w:cs="Arial" w:eastAsia="Arial" w:hAnsi="Arial"/>
          <w:sz w:val="18"/>
          <w:szCs w:val="18"/>
          <w:b w:val="1"/>
          <w:bCs w:val="1"/>
          <w:color w:val="FC0014"/>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C0014"/>
          <w:strike w:val="1"/>
        </w:rPr>
        <w:t>provided</w:t>
      </w:r>
      <w:r>
        <w:rPr>
          <w:rFonts w:ascii="Arial" w:cs="Arial" w:eastAsia="Arial" w:hAnsi="Arial"/>
          <w:sz w:val="18"/>
          <w:szCs w:val="18"/>
          <w:b w:val="1"/>
          <w:bCs w:val="1"/>
          <w:color w:val="FC0014"/>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C0014"/>
          <w:strike w:val="1"/>
        </w:rPr>
        <w:t>however</w:t>
      </w:r>
      <w:r>
        <w:rPr>
          <w:rFonts w:ascii="Arial" w:cs="Arial" w:eastAsia="Arial" w:hAnsi="Arial"/>
          <w:sz w:val="18"/>
          <w:szCs w:val="18"/>
          <w:b w:val="1"/>
          <w:bCs w:val="1"/>
          <w:color w:val="FC0014"/>
          <w:strike w:val="1"/>
        </w:rPr>
        <w:t>, that at</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any time when KKR and Berkshire beneficially own collectively,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either KKR or Berkshire.</w:t>
      </w:r>
      <w:r>
        <w:rPr>
          <w:rFonts w:ascii="Arial" w:cs="Arial" w:eastAsia="Arial" w:hAnsi="Arial"/>
          <w:sz w:val="18"/>
          <w:szCs w:val="18"/>
          <w:color w:val="000000"/>
          <w:strike w:val="1"/>
        </w:rPr>
        <w: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and B of Article IX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IX</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82"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 xml:space="preserve">A. In recognition and anticipation that </w:t>
      </w:r>
      <w:r>
        <w:rPr>
          <w:rFonts w:ascii="Arial" w:cs="Arial" w:eastAsia="Arial" w:hAnsi="Arial"/>
          <w:sz w:val="18"/>
          <w:szCs w:val="18"/>
          <w:b w:val="1"/>
          <w:bCs w:val="1"/>
          <w:color w:val="FC0014"/>
          <w:strike w:val="1"/>
        </w:rPr>
        <w:t>(i) certain directors, principals, members, officers, associated funds,</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employees and/or other representatives of Kohlberg Kravis Roberts &amp; Co. L.P., Berkshire Partners LLC and their respective Affiliates (as defined below) may serve as directors, officers or agents of the Corporation,</w:t>
      </w:r>
    </w:p>
    <w:p>
      <w:pPr>
        <w:spacing w:after="0" w:line="1" w:lineRule="exact"/>
        <w:rPr>
          <w:sz w:val="20"/>
          <w:szCs w:val="20"/>
          <w:color w:val="auto"/>
        </w:rPr>
      </w:pPr>
    </w:p>
    <w:p>
      <w:pPr>
        <w:jc w:val="both"/>
        <w:ind w:left="760" w:firstLine="2"/>
        <w:spacing w:after="0" w:line="236" w:lineRule="auto"/>
        <w:tabs>
          <w:tab w:leader="none" w:pos="1060" w:val="left"/>
        </w:tabs>
        <w:numPr>
          <w:ilvl w:val="0"/>
          <w:numId w:val="65"/>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 xml:space="preserve">Kohlberg Kravis Roberts &amp; Co. L.P., Berkshire Partners LLC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w:t>
      </w:r>
      <w:r>
        <w:rPr>
          <w:rFonts w:ascii="Arial" w:cs="Arial" w:eastAsia="Arial" w:hAnsi="Arial"/>
          <w:sz w:val="18"/>
          <w:szCs w:val="18"/>
          <w:color w:val="000000"/>
          <w:strike w:val="1"/>
        </w:rPr>
        <w:t>members of the</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Board of Directors who are not employees of the Corporation (“</w:t>
      </w:r>
      <w:r>
        <w:rPr>
          <w:rFonts w:ascii="Arial" w:cs="Arial" w:eastAsia="Arial" w:hAnsi="Arial"/>
          <w:sz w:val="18"/>
          <w:szCs w:val="18"/>
          <w:u w:val="single" w:color="auto"/>
          <w:color w:val="000000"/>
          <w:strike w:val="1"/>
        </w:rPr>
        <w:t>Non-Employee Directors</w:t>
      </w:r>
      <w:r>
        <w:rPr>
          <w:rFonts w:ascii="Arial" w:cs="Arial" w:eastAsia="Arial" w:hAnsi="Arial"/>
          <w:sz w:val="18"/>
          <w:szCs w:val="18"/>
          <w:color w:val="000000"/>
          <w:strike w:val="1"/>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w:t>
      </w:r>
      <w:r>
        <w:rPr>
          <w:rFonts w:ascii="Arial" w:cs="Arial" w:eastAsia="Arial" w:hAnsi="Arial"/>
          <w:sz w:val="18"/>
          <w:szCs w:val="18"/>
          <w:b w:val="1"/>
          <w:bCs w:val="1"/>
          <w:color w:val="FC0014"/>
          <w:strike w:val="1"/>
        </w:rPr>
        <w:t>Kohlberg Kravis Roberts &amp; Co. L.P.,</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 xml:space="preserve">Berkshire Partners LLC, </w:t>
      </w:r>
      <w:r>
        <w:rPr>
          <w:rFonts w:ascii="Arial" w:cs="Arial" w:eastAsia="Arial" w:hAnsi="Arial"/>
          <w:sz w:val="18"/>
          <w:szCs w:val="18"/>
          <w:color w:val="000000"/>
          <w:strike w:val="1"/>
        </w:rPr>
        <w:t>the Non-Employee Directors or their respective Affiliates and the powers, rights, duties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and liabilities of the Corporation and its directors, officers and stockholders in connection therewith</w:t>
      </w:r>
      <w:r>
        <w:rPr>
          <w:rFonts w:ascii="Arial" w:cs="Arial" w:eastAsia="Arial" w:hAnsi="Arial"/>
          <w:sz w:val="18"/>
          <w:szCs w:val="18"/>
          <w:b w:val="1"/>
          <w:bCs w:val="1"/>
          <w:color w:val="FC0014"/>
          <w:strike w:val="1"/>
        </w:rPr>
        <w:t>, subject to the</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provisions set out in the Stockholders Agreement</w:t>
      </w:r>
      <w:r>
        <w:rPr>
          <w:rFonts w:ascii="Arial" w:cs="Arial" w:eastAsia="Arial" w:hAnsi="Arial"/>
          <w:sz w:val="18"/>
          <w:szCs w:val="18"/>
          <w:color w:val="000000"/>
          <w:strike w:val="1"/>
        </w:rPr>
        <w:t>.</w:t>
      </w:r>
    </w:p>
    <w:p>
      <w:pPr>
        <w:spacing w:after="0" w:line="31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25" w:lineRule="exact"/>
        <w:rPr>
          <w:sz w:val="20"/>
          <w:szCs w:val="20"/>
          <w:color w:val="auto"/>
        </w:rPr>
      </w:pPr>
    </w:p>
    <w:p>
      <w:pPr>
        <w:jc w:val="both"/>
        <w:ind w:left="760"/>
        <w:spacing w:after="0" w:line="251" w:lineRule="auto"/>
        <w:rPr>
          <w:sz w:val="20"/>
          <w:szCs w:val="20"/>
          <w:color w:val="auto"/>
        </w:rPr>
      </w:pPr>
      <w:r>
        <w:rPr>
          <w:rFonts w:ascii="Arial" w:cs="Arial" w:eastAsia="Arial" w:hAnsi="Arial"/>
          <w:sz w:val="17"/>
          <w:szCs w:val="17"/>
          <w:color w:val="auto"/>
        </w:rPr>
        <w:t xml:space="preserve">B. None of </w:t>
      </w:r>
      <w:r>
        <w:rPr>
          <w:rFonts w:ascii="Arial" w:cs="Arial" w:eastAsia="Arial" w:hAnsi="Arial"/>
          <w:sz w:val="17"/>
          <w:szCs w:val="17"/>
          <w:b w:val="1"/>
          <w:bCs w:val="1"/>
          <w:color w:val="FC0014"/>
          <w:strike w:val="1"/>
        </w:rPr>
        <w:t>(i) Kohlberg Kravis Roberts &amp; Co. L.P., Berkshire Partners LLC or any of their respective Affiliates</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or (ii) any</w:t>
      </w:r>
      <w:r>
        <w:rPr>
          <w:rFonts w:ascii="Arial" w:cs="Arial" w:eastAsia="Arial" w:hAnsi="Arial"/>
          <w:sz w:val="17"/>
          <w:szCs w:val="17"/>
          <w:b w:val="1"/>
          <w:bCs w:val="1"/>
          <w:color w:val="FC0014"/>
        </w:rPr>
        <w:t xml:space="preserve"> </w:t>
      </w:r>
      <w:r>
        <w:rPr>
          <w:rFonts w:ascii="Arial" w:cs="Arial" w:eastAsia="Arial" w:hAnsi="Arial"/>
          <w:sz w:val="17"/>
          <w:szCs w:val="17"/>
          <w:b w:val="1"/>
          <w:bCs w:val="1"/>
          <w:u w:val="single" w:color="auto"/>
          <w:color w:val="0000FF"/>
        </w:rPr>
        <w:t>the</w:t>
      </w:r>
      <w:r>
        <w:rPr>
          <w:rFonts w:ascii="Arial" w:cs="Arial" w:eastAsia="Arial" w:hAnsi="Arial"/>
          <w:sz w:val="17"/>
          <w:szCs w:val="17"/>
          <w:b w:val="1"/>
          <w:bCs w:val="1"/>
          <w:color w:val="FC0014"/>
        </w:rPr>
        <w:t xml:space="preserve"> </w:t>
      </w:r>
      <w:r>
        <w:rPr>
          <w:rFonts w:ascii="Arial" w:cs="Arial" w:eastAsia="Arial" w:hAnsi="Arial"/>
          <w:sz w:val="17"/>
          <w:szCs w:val="17"/>
          <w:color w:val="000000"/>
        </w:rPr>
        <w:t>Non-Employee Director (including any Non-Employee Director who serves as an officer of the</w:t>
      </w:r>
      <w:r>
        <w:rPr>
          <w:rFonts w:ascii="Arial" w:cs="Arial" w:eastAsia="Arial" w:hAnsi="Arial"/>
          <w:sz w:val="17"/>
          <w:szCs w:val="17"/>
          <w:b w:val="1"/>
          <w:bCs w:val="1"/>
          <w:color w:val="FC0014"/>
        </w:rPr>
        <w:t xml:space="preserve"> </w:t>
      </w:r>
      <w:r>
        <w:rPr>
          <w:rFonts w:ascii="Arial" w:cs="Arial" w:eastAsia="Arial" w:hAnsi="Arial"/>
          <w:sz w:val="17"/>
          <w:szCs w:val="17"/>
          <w:color w:val="000000"/>
        </w:rPr>
        <w:t xml:space="preserve">Corporation in both his or her director and officer capacities) or his or her Affiliates (the Persons (as defined below) identified </w:t>
      </w:r>
      <w:r>
        <w:rPr>
          <w:rFonts w:ascii="Arial" w:cs="Arial" w:eastAsia="Arial" w:hAnsi="Arial"/>
          <w:sz w:val="17"/>
          <w:szCs w:val="17"/>
          <w:b w:val="1"/>
          <w:bCs w:val="1"/>
          <w:color w:val="FC0014"/>
          <w:strike w:val="1"/>
        </w:rPr>
        <w:t>in (i) and (ii)</w:t>
      </w:r>
      <w:r>
        <w:rPr>
          <w:rFonts w:ascii="Arial" w:cs="Arial" w:eastAsia="Arial" w:hAnsi="Arial"/>
          <w:sz w:val="17"/>
          <w:szCs w:val="17"/>
          <w:color w:val="000000"/>
        </w:rPr>
        <w:t xml:space="preserve"> above being referred to, collectively, as “</w:t>
      </w:r>
      <w:r>
        <w:rPr>
          <w:rFonts w:ascii="Arial" w:cs="Arial" w:eastAsia="Arial" w:hAnsi="Arial"/>
          <w:sz w:val="17"/>
          <w:szCs w:val="17"/>
          <w:u w:val="single" w:color="auto"/>
          <w:color w:val="000000"/>
        </w:rPr>
        <w:t>Identified Persons</w:t>
      </w:r>
      <w:r>
        <w:rPr>
          <w:rFonts w:ascii="Arial" w:cs="Arial" w:eastAsia="Arial" w:hAnsi="Arial"/>
          <w:sz w:val="17"/>
          <w:szCs w:val="17"/>
          <w:color w:val="000000"/>
        </w:rPr>
        <w:t>” and, individually, as an “</w:t>
      </w:r>
      <w:r>
        <w:rPr>
          <w:rFonts w:ascii="Arial" w:cs="Arial" w:eastAsia="Arial" w:hAnsi="Arial"/>
          <w:sz w:val="17"/>
          <w:szCs w:val="17"/>
          <w:u w:val="single" w:color="auto"/>
          <w:color w:val="000000"/>
        </w:rPr>
        <w:t>Identified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Person</w:t>
      </w:r>
      <w:r>
        <w:rPr>
          <w:rFonts w:ascii="Arial" w:cs="Arial" w:eastAsia="Arial" w:hAnsi="Arial"/>
          <w:sz w:val="17"/>
          <w:szCs w:val="17"/>
          <w:color w:val="000000"/>
        </w:rPr>
        <w:t>”) shall, to the fullest extent permitted by law, have any duty to refrain from directly or indirectly (</w:t>
      </w:r>
      <w:r>
        <w:rPr>
          <w:rFonts w:ascii="Arial" w:cs="Arial" w:eastAsia="Arial" w:hAnsi="Arial"/>
          <w:sz w:val="17"/>
          <w:szCs w:val="17"/>
          <w:b w:val="1"/>
          <w:bCs w:val="1"/>
          <w:color w:val="FC0014"/>
          <w:strike w:val="1"/>
        </w:rPr>
        <w:t>1</w:t>
      </w:r>
      <w:r>
        <w:rPr>
          <w:rFonts w:ascii="Arial" w:cs="Arial" w:eastAsia="Arial" w:hAnsi="Arial"/>
          <w:sz w:val="17"/>
          <w:szCs w:val="17"/>
          <w:b w:val="1"/>
          <w:bCs w:val="1"/>
          <w:u w:val="single" w:color="auto"/>
          <w:color w:val="0000FF"/>
        </w:rPr>
        <w:t>i</w:t>
      </w:r>
      <w:r>
        <w:rPr>
          <w:rFonts w:ascii="Arial" w:cs="Arial" w:eastAsia="Arial" w:hAnsi="Arial"/>
          <w:sz w:val="17"/>
          <w:szCs w:val="17"/>
          <w:color w:val="000000"/>
        </w:rPr>
        <w:t>) engaging in the same or similar business activities or lines of business in which the Corporation or any of its Affiliates now engages or proposes to engage or (</w:t>
      </w:r>
      <w:r>
        <w:rPr>
          <w:rFonts w:ascii="Arial" w:cs="Arial" w:eastAsia="Arial" w:hAnsi="Arial"/>
          <w:sz w:val="17"/>
          <w:szCs w:val="17"/>
          <w:b w:val="1"/>
          <w:bCs w:val="1"/>
          <w:color w:val="FC0014"/>
          <w:strike w:val="1"/>
        </w:rPr>
        <w:t>2</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368" w:lineRule="exact"/>
        <w:rPr>
          <w:sz w:val="20"/>
          <w:szCs w:val="20"/>
          <w:color w:val="auto"/>
        </w:rPr>
      </w:pPr>
    </w:p>
    <w:p>
      <w:pPr>
        <w:ind w:left="760" w:right="500"/>
        <w:spacing w:after="0" w:line="261" w:lineRule="auto"/>
        <w:rPr>
          <w:sz w:val="20"/>
          <w:szCs w:val="20"/>
          <w:color w:val="auto"/>
        </w:rPr>
      </w:pPr>
      <w:r>
        <w:rPr>
          <w:rFonts w:ascii="Arial" w:cs="Arial" w:eastAsia="Arial" w:hAnsi="Arial"/>
          <w:sz w:val="22"/>
          <w:szCs w:val="22"/>
          <w:b w:val="1"/>
          <w:bCs w:val="1"/>
          <w:color w:val="3C5896"/>
        </w:rPr>
        <w:t>Proposed amendment to Section F of Article IX of the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28"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F. For purposes of this Article IX, (i)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w:t>
      </w:r>
      <w:r>
        <w:rPr>
          <w:rFonts w:ascii="Arial" w:cs="Arial" w:eastAsia="Arial" w:hAnsi="Arial"/>
          <w:sz w:val="18"/>
          <w:szCs w:val="18"/>
          <w:b w:val="1"/>
          <w:bCs w:val="1"/>
          <w:color w:val="FC0014"/>
          <w:strike w:val="1"/>
        </w:rPr>
        <w:t>) in respect of Kohlberg Kravis Roberts &amp; Co. L.P.,</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any Person that, directly or indirectly, is controlled by Kohlberg Kravis Roberts &amp; Co. L.P., controls Kohlberg Kravis Roberts &amp; Co. L.P., or is under common control with Kohlberg Kravis Roberts &amp; Co. L.P., and shall include any principal, member, director, partner, stockholder, officer, employee or other representative of any of the foregoing (other than the Corporation and any Person that is controlled by the Corporation), (b) in respect of Berkshire Partners LLC, any Person that, directly or indirectly, is controlled by Berkshire Partners LLC, controls Berkshire Partners LLC, or is under common control with Berkshire Partners LLC, and shall include any principal, member, director, partner, stockholder, officer, employee or other representative of any of the foregoing (other than the Corporation and any entity that is controlled by the Corporation), (c</w:t>
      </w:r>
      <w:r>
        <w:rPr>
          <w:rFonts w:ascii="Arial" w:cs="Arial" w:eastAsia="Arial" w:hAnsi="Arial"/>
          <w:sz w:val="18"/>
          <w:szCs w:val="18"/>
          <w:b w:val="1"/>
          <w:bCs w:val="1"/>
          <w:u w:val="single" w:color="auto"/>
          <w:color w:val="0000FF"/>
          <w:strike w:val="1"/>
        </w:rPr>
        <w:t>)</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in</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respect of a Non-Employee Director, any Person that, directly or indirectly, is controlled by such Non-Employee Director (other than the Corporation and any entity that is controlled by the Corporation) and (</w:t>
      </w:r>
      <w:r>
        <w:rPr>
          <w:rFonts w:ascii="Arial" w:cs="Arial" w:eastAsia="Arial" w:hAnsi="Arial"/>
          <w:sz w:val="18"/>
          <w:szCs w:val="18"/>
          <w:b w:val="1"/>
          <w:bCs w:val="1"/>
          <w:color w:val="FC0014"/>
          <w:strike w:val="1"/>
        </w:rPr>
        <w:t>d</w:t>
      </w:r>
      <w:r>
        <w:rPr>
          <w:rFonts w:ascii="Arial" w:cs="Arial" w:eastAsia="Arial" w:hAnsi="Arial"/>
          <w:sz w:val="18"/>
          <w:szCs w:val="18"/>
          <w:b w:val="1"/>
          <w:bCs w:val="1"/>
          <w:u w:val="single" w:color="auto"/>
          <w:color w:val="0000FF"/>
          <w:strike w:val="1"/>
        </w:rPr>
        <w:t>b</w:t>
      </w:r>
      <w:r>
        <w:rPr>
          <w:rFonts w:ascii="Arial" w:cs="Arial" w:eastAsia="Arial" w:hAnsi="Arial"/>
          <w:sz w:val="18"/>
          <w:szCs w:val="18"/>
          <w:color w:val="000000"/>
          <w:strike w:val="1"/>
        </w:rPr>
        <w:t>) in respect of the Corporation, any Person that, directly or indirectly, is controlled by the Corporation; and (ii) “</w:t>
      </w:r>
      <w:r>
        <w:rPr>
          <w:rFonts w:ascii="Arial" w:cs="Arial" w:eastAsia="Arial" w:hAnsi="Arial"/>
          <w:sz w:val="18"/>
          <w:szCs w:val="18"/>
          <w:u w:val="single" w:color="auto"/>
          <w:color w:val="000000"/>
          <w:strike w:val="1"/>
        </w:rPr>
        <w:t>Person</w:t>
      </w:r>
      <w:r>
        <w:rPr>
          <w:rFonts w:ascii="Arial" w:cs="Arial" w:eastAsia="Arial" w:hAnsi="Arial"/>
          <w:sz w:val="18"/>
          <w:szCs w:val="18"/>
          <w:color w:val="000000"/>
          <w:strike w:val="1"/>
        </w:rPr>
        <w:t>” shall mean any individual, corporation, general or limited partnership, limited liability company, joint venture, trust, association or any other entity.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Article X of the Second Amended and Restated Certificate of</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X</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17"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 xml:space="preserve">B. Notwithstanding the foregoing, the Corporation shall not engage in any business combination (as defined below), at any point in time at which the Corporation’s Common Stock is registered under Section 12(b) or 12(g) of the </w:t>
      </w:r>
      <w:r>
        <w:rPr>
          <w:rFonts w:ascii="Arial" w:cs="Arial" w:eastAsia="Arial" w:hAnsi="Arial"/>
          <w:sz w:val="18"/>
          <w:szCs w:val="18"/>
          <w:b w:val="1"/>
          <w:bCs w:val="1"/>
          <w:u w:val="single" w:color="auto"/>
          <w:color w:val="0000FF"/>
        </w:rPr>
        <w:t>Securities</w:t>
      </w:r>
      <w:r>
        <w:rPr>
          <w:rFonts w:ascii="Arial" w:cs="Arial" w:eastAsia="Arial" w:hAnsi="Arial"/>
          <w:sz w:val="18"/>
          <w:szCs w:val="18"/>
          <w:b w:val="1"/>
          <w:bCs w:val="1"/>
          <w:color w:val="0000FF"/>
        </w:rPr>
        <w:t xml:space="preserve"> </w:t>
      </w:r>
      <w:r>
        <w:rPr>
          <w:rFonts w:ascii="Arial" w:cs="Arial" w:eastAsia="Arial" w:hAnsi="Arial"/>
          <w:sz w:val="18"/>
          <w:szCs w:val="18"/>
          <w:color w:val="000000"/>
        </w:rPr>
        <w:t>Exchange Act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of 1934, as amended (the “Exchange Act”)</w:t>
      </w:r>
      <w:r>
        <w:rPr>
          <w:rFonts w:ascii="Arial" w:cs="Arial" w:eastAsia="Arial" w:hAnsi="Arial"/>
          <w:sz w:val="18"/>
          <w:szCs w:val="18"/>
          <w:color w:val="000000"/>
        </w:rPr>
        <w:t>, with any interested stockholder (as defined</w:t>
      </w:r>
      <w:r>
        <w:rPr>
          <w:rFonts w:ascii="Arial" w:cs="Arial" w:eastAsia="Arial" w:hAnsi="Arial"/>
          <w:sz w:val="18"/>
          <w:szCs w:val="18"/>
          <w:b w:val="1"/>
          <w:bCs w:val="1"/>
          <w:color w:val="0000FF"/>
        </w:rPr>
        <w:t xml:space="preserve"> </w:t>
      </w:r>
      <w:r>
        <w:rPr>
          <w:rFonts w:ascii="Arial" w:cs="Arial" w:eastAsia="Arial" w:hAnsi="Arial"/>
          <w:sz w:val="18"/>
          <w:szCs w:val="18"/>
          <w:color w:val="000000"/>
        </w:rPr>
        <w:t>below) for a period of three (3) years following the time that such stockholder became an interested stockholder, unless:</w:t>
      </w:r>
    </w:p>
    <w:p>
      <w:pPr>
        <w:spacing w:after="0" w:line="94" w:lineRule="exact"/>
        <w:rPr>
          <w:sz w:val="20"/>
          <w:szCs w:val="20"/>
          <w:color w:val="auto"/>
        </w:rPr>
      </w:pPr>
    </w:p>
    <w:p>
      <w:pPr>
        <w:ind w:left="1480" w:hanging="358"/>
        <w:spacing w:after="0" w:line="261"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89" w:lineRule="exact"/>
        <w:rPr>
          <w:rFonts w:ascii="Arial" w:cs="Arial" w:eastAsia="Arial" w:hAnsi="Arial"/>
          <w:sz w:val="18"/>
          <w:szCs w:val="18"/>
          <w:color w:val="auto"/>
        </w:rPr>
      </w:pPr>
    </w:p>
    <w:p>
      <w:pPr>
        <w:jc w:val="both"/>
        <w:ind w:left="1480" w:hanging="358"/>
        <w:spacing w:after="0" w:line="256" w:lineRule="auto"/>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w:t>
      </w:r>
    </w:p>
    <w:p>
      <w:pPr>
        <w:spacing w:after="0" w:line="304"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sz w:val="1"/>
          <w:szCs w:val="1"/>
          <w:color w:val="auto"/>
        </w:rPr>
        <w:drawing>
          <wp:inline distT="0" distB="0" distL="0" distR="0">
            <wp:extent cx="299720" cy="24003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47" w:lineRule="exact"/>
        <w:rPr>
          <w:sz w:val="20"/>
          <w:szCs w:val="20"/>
          <w:color w:val="auto"/>
        </w:rPr>
      </w:pPr>
    </w:p>
    <w:p>
      <w:pPr>
        <w:ind w:left="1480"/>
        <w:spacing w:after="0" w:line="248" w:lineRule="auto"/>
        <w:rPr>
          <w:sz w:val="20"/>
          <w:szCs w:val="20"/>
          <w:color w:val="auto"/>
        </w:rPr>
      </w:pPr>
      <w:r>
        <w:rPr>
          <w:rFonts w:ascii="Arial" w:cs="Arial" w:eastAsia="Arial" w:hAnsi="Arial"/>
          <w:sz w:val="17"/>
          <w:szCs w:val="17"/>
          <w:color w:val="auto"/>
        </w:rPr>
        <w:t>outstanding at the time the transaction commenced, excluding for purposes of determining the voting stock outstanding (but not the outstanding voting stock owned by the interested stockholder) those shares owned</w:t>
      </w:r>
    </w:p>
    <w:p>
      <w:pPr>
        <w:spacing w:after="0" w:line="1" w:lineRule="exact"/>
        <w:rPr>
          <w:sz w:val="20"/>
          <w:szCs w:val="20"/>
          <w:color w:val="auto"/>
        </w:rPr>
      </w:pPr>
    </w:p>
    <w:p>
      <w:pPr>
        <w:jc w:val="both"/>
        <w:ind w:left="1480" w:firstLine="2"/>
        <w:spacing w:after="0"/>
        <w:tabs>
          <w:tab w:leader="none" w:pos="1733" w:val="left"/>
        </w:tabs>
        <w:numPr>
          <w:ilvl w:val="2"/>
          <w:numId w:val="67"/>
        </w:numPr>
        <w:rPr>
          <w:rFonts w:ascii="Arial" w:cs="Arial" w:eastAsia="Arial" w:hAnsi="Arial"/>
          <w:sz w:val="18"/>
          <w:szCs w:val="18"/>
          <w:color w:val="auto"/>
        </w:rPr>
      </w:pPr>
      <w:r>
        <w:rPr>
          <w:rFonts w:ascii="Arial" w:cs="Arial" w:eastAsia="Arial" w:hAnsi="Arial"/>
          <w:sz w:val="18"/>
          <w:szCs w:val="18"/>
          <w:color w:val="auto"/>
        </w:rPr>
        <w:t>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4" w:lineRule="exact"/>
        <w:rPr>
          <w:rFonts w:ascii="Arial" w:cs="Arial" w:eastAsia="Arial" w:hAnsi="Arial"/>
          <w:sz w:val="18"/>
          <w:szCs w:val="18"/>
          <w:color w:val="auto"/>
        </w:rPr>
      </w:pPr>
    </w:p>
    <w:p>
      <w:pPr>
        <w:jc w:val="both"/>
        <w:ind w:left="1480" w:hanging="358"/>
        <w:spacing w:after="0" w:line="232"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w:t>
      </w:r>
      <w:r>
        <w:rPr>
          <w:rFonts w:ascii="Arial" w:cs="Arial" w:eastAsia="Arial" w:hAnsi="Arial"/>
          <w:sz w:val="18"/>
          <w:szCs w:val="18"/>
          <w:b w:val="1"/>
          <w:bCs w:val="1"/>
          <w:color w:val="FC0014"/>
          <w:strike w:val="1"/>
        </w:rPr>
        <w:t>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of the outstanding voting stock of the Corporation which is not owned by the interested stockholder.</w:t>
      </w:r>
    </w:p>
    <w:p>
      <w:pPr>
        <w:spacing w:after="0" w:line="107" w:lineRule="exact"/>
        <w:rPr>
          <w:rFonts w:ascii="Arial" w:cs="Arial" w:eastAsia="Arial" w:hAnsi="Arial"/>
          <w:sz w:val="18"/>
          <w:szCs w:val="18"/>
          <w:color w:val="auto"/>
        </w:rPr>
      </w:pPr>
    </w:p>
    <w:p>
      <w:pPr>
        <w:ind w:left="1000" w:hanging="23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103" w:lineRule="exact"/>
        <w:rPr>
          <w:rFonts w:ascii="Arial" w:cs="Arial" w:eastAsia="Arial" w:hAnsi="Arial"/>
          <w:sz w:val="18"/>
          <w:szCs w:val="18"/>
          <w:color w:val="auto"/>
        </w:rPr>
      </w:pPr>
    </w:p>
    <w:p>
      <w:pPr>
        <w:ind w:left="1480" w:hanging="358"/>
        <w:spacing w:after="0" w:line="261"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89" w:lineRule="exact"/>
        <w:rPr>
          <w:rFonts w:ascii="Arial" w:cs="Arial" w:eastAsia="Arial" w:hAnsi="Arial"/>
          <w:sz w:val="18"/>
          <w:szCs w:val="18"/>
          <w:color w:val="auto"/>
        </w:rPr>
      </w:pPr>
    </w:p>
    <w:p>
      <w:pPr>
        <w:jc w:val="both"/>
        <w:ind w:left="1480" w:hanging="358"/>
        <w:spacing w:after="0" w:line="252"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7" w:lineRule="exact"/>
        <w:rPr>
          <w:rFonts w:ascii="Arial" w:cs="Arial" w:eastAsia="Arial" w:hAnsi="Arial"/>
          <w:sz w:val="18"/>
          <w:szCs w:val="18"/>
          <w:color w:val="auto"/>
        </w:rPr>
      </w:pPr>
    </w:p>
    <w:p>
      <w:pPr>
        <w:jc w:val="both"/>
        <w:ind w:left="1480" w:hanging="358"/>
        <w:spacing w:after="0" w:line="257" w:lineRule="auto"/>
        <w:tabs>
          <w:tab w:leader="none" w:pos="1480" w:val="left"/>
        </w:tabs>
        <w:numPr>
          <w:ilvl w:val="1"/>
          <w:numId w:val="69"/>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“KKR/Berkshire Direct Transferee” means any person that acquires (other than in a registered public offering or through a broker’s transaction executed on any securities exchange or other over-the-counter market) directly from any of KKR, Berkshire or any of their respective affiliates or successors or any “group,” or any member of any such group, of which such persons are a party under Rule 13d-5 of the Exchange Act beneficial ownership of 5% or more of the then-outstanding voting stock of the Corporation</w:t>
      </w:r>
      <w:r>
        <w:rPr>
          <w:rFonts w:ascii="Arial" w:cs="Arial" w:eastAsia="Arial" w:hAnsi="Arial"/>
          <w:sz w:val="18"/>
          <w:szCs w:val="18"/>
          <w:color w:val="000000"/>
          <w:strike w:val="1"/>
        </w:rPr>
        <w:t>.</w:t>
      </w:r>
    </w:p>
    <w:p>
      <w:pPr>
        <w:spacing w:after="0" w:line="74" w:lineRule="exact"/>
        <w:rPr>
          <w:rFonts w:ascii="Arial" w:cs="Arial" w:eastAsia="Arial" w:hAnsi="Arial"/>
          <w:sz w:val="18"/>
          <w:szCs w:val="18"/>
          <w:b w:val="1"/>
          <w:bCs w:val="1"/>
          <w:color w:val="FC0014"/>
          <w:strike w:val="1"/>
        </w:rPr>
      </w:pPr>
    </w:p>
    <w:p>
      <w:pPr>
        <w:jc w:val="both"/>
        <w:ind w:left="1480" w:hanging="358"/>
        <w:spacing w:after="0" w:line="259" w:lineRule="auto"/>
        <w:tabs>
          <w:tab w:leader="none" w:pos="1480" w:val="left"/>
        </w:tabs>
        <w:numPr>
          <w:ilvl w:val="1"/>
          <w:numId w:val="69"/>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“KKR/Berkshire Indirect Transferee” means any person that acquires (other than in a registered public offering or through a broker’s transaction executed on any securities exchange or other over-the-counter market) directly from any KKR/Berkshire Direct Transferee or any other KKR/Berkshire Indirect Transferee beneficial ownership of 5% or more of the then-outstanding voting stock of the Corporation</w:t>
      </w:r>
      <w:r>
        <w:rPr>
          <w:rFonts w:ascii="Arial" w:cs="Arial" w:eastAsia="Arial" w:hAnsi="Arial"/>
          <w:sz w:val="18"/>
          <w:szCs w:val="18"/>
          <w:color w:val="000000"/>
          <w:strike w:val="1"/>
        </w:rPr>
        <w: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C0014"/>
          <w:strike w:val="1"/>
        </w:rPr>
        <w:t>5</w:t>
      </w:r>
      <w:r>
        <w:rPr>
          <w:rFonts w:ascii="Arial" w:cs="Arial" w:eastAsia="Arial" w:hAnsi="Arial"/>
          <w:sz w:val="18"/>
          <w:szCs w:val="18"/>
          <w:b w:val="1"/>
          <w:bCs w:val="1"/>
          <w:u w:val="single" w:color="auto"/>
          <w:color w:val="0000FF"/>
        </w:rPr>
        <w:t>3</w:t>
      </w:r>
      <w:r>
        <w:rPr>
          <w:rFonts w:ascii="Arial" w:cs="Arial" w:eastAsia="Arial" w:hAnsi="Arial"/>
          <w:sz w:val="18"/>
          <w:szCs w:val="18"/>
          <w:color w:val="000000"/>
        </w:rPr>
        <w:t>. “</w:t>
      </w:r>
      <w:r>
        <w:rPr>
          <w:rFonts w:ascii="Arial" w:cs="Arial" w:eastAsia="Arial" w:hAnsi="Arial"/>
          <w:sz w:val="18"/>
          <w:szCs w:val="18"/>
          <w:u w:val="single" w:color="auto"/>
          <w:color w:val="000000"/>
        </w:rPr>
        <w:t>business combination</w:t>
      </w:r>
      <w:r>
        <w:rPr>
          <w:rFonts w:ascii="Arial" w:cs="Arial" w:eastAsia="Arial" w:hAnsi="Arial"/>
          <w:sz w:val="18"/>
          <w:szCs w:val="18"/>
          <w:color w:val="000000"/>
        </w:rPr>
        <w:t>,” when used in reference to the Corporation and any interested stockholder of the</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Corporation, means:</w:t>
      </w:r>
    </w:p>
    <w:p>
      <w:pPr>
        <w:spacing w:after="0" w:line="104" w:lineRule="exact"/>
        <w:rPr>
          <w:sz w:val="20"/>
          <w:szCs w:val="20"/>
          <w:color w:val="auto"/>
        </w:rPr>
      </w:pPr>
    </w:p>
    <w:p>
      <w:pPr>
        <w:jc w:val="both"/>
        <w:ind w:left="1840" w:hanging="358"/>
        <w:spacing w:after="0" w:line="253" w:lineRule="auto"/>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97" w:lineRule="exact"/>
        <w:rPr>
          <w:rFonts w:ascii="Arial" w:cs="Arial" w:eastAsia="Arial" w:hAnsi="Arial"/>
          <w:sz w:val="18"/>
          <w:szCs w:val="18"/>
          <w:color w:val="auto"/>
        </w:rPr>
      </w:pPr>
    </w:p>
    <w:p>
      <w:pPr>
        <w:jc w:val="both"/>
        <w:ind w:left="1840" w:hanging="358"/>
        <w:spacing w:after="0" w:line="252" w:lineRule="auto"/>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8" w:lineRule="exact"/>
        <w:rPr>
          <w:rFonts w:ascii="Arial" w:cs="Arial" w:eastAsia="Arial" w:hAnsi="Arial"/>
          <w:sz w:val="18"/>
          <w:szCs w:val="18"/>
          <w:color w:val="auto"/>
        </w:rPr>
      </w:pPr>
    </w:p>
    <w:p>
      <w:pPr>
        <w:jc w:val="both"/>
        <w:ind w:left="1840" w:hanging="358"/>
        <w:spacing w:after="0" w:line="250" w:lineRule="auto"/>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w:t>
      </w:r>
    </w:p>
    <w:p>
      <w:pPr>
        <w:spacing w:after="0" w:line="1" w:lineRule="exact"/>
        <w:rPr>
          <w:rFonts w:ascii="Arial" w:cs="Arial" w:eastAsia="Arial" w:hAnsi="Arial"/>
          <w:sz w:val="18"/>
          <w:szCs w:val="18"/>
          <w:color w:val="auto"/>
        </w:rPr>
      </w:pPr>
    </w:p>
    <w:p>
      <w:pPr>
        <w:jc w:val="both"/>
        <w:ind w:left="1840"/>
        <w:spacing w:after="0" w:line="252" w:lineRule="auto"/>
        <w:rPr>
          <w:rFonts w:ascii="Arial" w:cs="Arial" w:eastAsia="Arial" w:hAnsi="Arial"/>
          <w:sz w:val="18"/>
          <w:szCs w:val="18"/>
          <w:color w:val="auto"/>
        </w:rPr>
      </w:pPr>
      <w:r>
        <w:rPr>
          <w:rFonts w:ascii="Arial" w:cs="Arial" w:eastAsia="Arial" w:hAnsi="Arial"/>
          <w:sz w:val="18"/>
          <w:szCs w:val="18"/>
          <w:color w:val="auto"/>
        </w:rPr>
        <w:t>(b)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w:t>
      </w:r>
    </w:p>
    <w:p>
      <w:pPr>
        <w:spacing w:after="0" w:line="32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3177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0355" cy="231775"/>
                    </a:xfrm>
                    <a:prstGeom prst="rect">
                      <a:avLst/>
                    </a:prstGeom>
                    <a:noFill/>
                    <a:ln>
                      <a:noFill/>
                    </a:ln>
                  </pic:spPr>
                </pic:pic>
              </a:graphicData>
            </a:graphic>
          </wp:inline>
        </w:drawing>
      </w:r>
      <w:r>
        <w:rPr>
          <w:rFonts w:ascii="Arial" w:cs="Arial" w:eastAsia="Arial" w:hAnsi="Arial"/>
          <w:sz w:val="16"/>
          <w:szCs w:val="16"/>
          <w:b w:val="1"/>
          <w:bCs w:val="1"/>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29" w:lineRule="exact"/>
        <w:rPr>
          <w:sz w:val="20"/>
          <w:szCs w:val="20"/>
          <w:color w:val="auto"/>
        </w:rPr>
      </w:pPr>
    </w:p>
    <w:p>
      <w:pPr>
        <w:jc w:val="both"/>
        <w:ind w:left="1840"/>
        <w:spacing w:after="0" w:line="258" w:lineRule="auto"/>
        <w:rPr>
          <w:sz w:val="20"/>
          <w:szCs w:val="20"/>
          <w:color w:val="auto"/>
        </w:rPr>
      </w:pPr>
      <w:r>
        <w:rPr>
          <w:rFonts w:ascii="Arial" w:cs="Arial" w:eastAsia="Arial" w:hAnsi="Arial"/>
          <w:sz w:val="18"/>
          <w:szCs w:val="18"/>
          <w:color w:val="auto"/>
        </w:rPr>
        <w:t xml:space="preserve">to all holders of said stock; or (e) any issuance or transfer of stock by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case under items (c) —(e) of this subsection (iii) shall there be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interested stockholder’s proportionate share of the stock of any class or series of the Corporation or of the voting stock of the Corporation (except as a result of immaterial changes due to fractional share adjustments);</w:t>
      </w:r>
    </w:p>
    <w:p>
      <w:pPr>
        <w:spacing w:after="0" w:line="93" w:lineRule="exact"/>
        <w:rPr>
          <w:sz w:val="20"/>
          <w:szCs w:val="20"/>
          <w:color w:val="auto"/>
        </w:rPr>
      </w:pPr>
    </w:p>
    <w:p>
      <w:pPr>
        <w:jc w:val="both"/>
        <w:ind w:left="1840" w:hanging="358"/>
        <w:spacing w:after="0" w:line="252" w:lineRule="auto"/>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13" w:lineRule="exact"/>
        <w:rPr>
          <w:rFonts w:ascii="Arial" w:cs="Arial" w:eastAsia="Arial" w:hAnsi="Arial"/>
          <w:sz w:val="18"/>
          <w:szCs w:val="18"/>
          <w:color w:val="auto"/>
        </w:rPr>
      </w:pPr>
    </w:p>
    <w:p>
      <w:pPr>
        <w:jc w:val="both"/>
        <w:ind w:left="1840" w:hanging="358"/>
        <w:spacing w:after="0" w:line="254" w:lineRule="auto"/>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 —(iv) above) provided by or through the Corporation or any direct or indirect majority-owned subsidiary.</w:t>
      </w:r>
    </w:p>
    <w:p>
      <w:pPr>
        <w:spacing w:after="0" w:line="74" w:lineRule="exact"/>
        <w:rPr>
          <w:sz w:val="20"/>
          <w:szCs w:val="20"/>
          <w:color w:val="auto"/>
        </w:rPr>
      </w:pPr>
    </w:p>
    <w:p>
      <w:pPr>
        <w:jc w:val="both"/>
        <w:ind w:left="1480" w:hanging="359"/>
        <w:spacing w:after="0" w:line="255" w:lineRule="auto"/>
        <w:rPr>
          <w:sz w:val="20"/>
          <w:szCs w:val="20"/>
          <w:color w:val="auto"/>
        </w:rPr>
      </w:pPr>
      <w:r>
        <w:rPr>
          <w:rFonts w:ascii="Arial" w:cs="Arial" w:eastAsia="Arial" w:hAnsi="Arial"/>
          <w:sz w:val="18"/>
          <w:szCs w:val="18"/>
          <w:b w:val="1"/>
          <w:bCs w:val="1"/>
          <w:color w:val="FC0014"/>
          <w:strike w:val="1"/>
        </w:rPr>
        <w:t>6</w:t>
      </w:r>
      <w:r>
        <w:rPr>
          <w:rFonts w:ascii="Arial" w:cs="Arial" w:eastAsia="Arial" w:hAnsi="Arial"/>
          <w:sz w:val="18"/>
          <w:szCs w:val="18"/>
          <w:b w:val="1"/>
          <w:bCs w:val="1"/>
          <w:u w:val="single" w:color="auto"/>
          <w:color w:val="0000FF"/>
        </w:rPr>
        <w:t>4</w:t>
      </w:r>
      <w:r>
        <w:rPr>
          <w:rFonts w:ascii="Arial" w:cs="Arial" w:eastAsia="Arial" w:hAnsi="Arial"/>
          <w:sz w:val="18"/>
          <w:szCs w:val="18"/>
          <w:color w:val="000000"/>
        </w:rPr>
        <w:t>. “</w:t>
      </w:r>
      <w:r>
        <w:rPr>
          <w:rFonts w:ascii="Arial" w:cs="Arial" w:eastAsia="Arial" w:hAnsi="Arial"/>
          <w:sz w:val="18"/>
          <w:szCs w:val="18"/>
          <w:u w:val="single" w:color="auto"/>
          <w:color w:val="000000"/>
        </w:rPr>
        <w:t>control</w:t>
      </w:r>
      <w:r>
        <w:rPr>
          <w:rFonts w:ascii="Arial" w:cs="Arial" w:eastAsia="Arial" w:hAnsi="Arial"/>
          <w:sz w:val="18"/>
          <w:szCs w:val="18"/>
          <w:color w:val="000000"/>
        </w:rPr>
        <w:t>,” including the terms “</w:t>
      </w:r>
      <w:r>
        <w:rPr>
          <w:rFonts w:ascii="Arial" w:cs="Arial" w:eastAsia="Arial" w:hAnsi="Arial"/>
          <w:sz w:val="18"/>
          <w:szCs w:val="18"/>
          <w:u w:val="single" w:color="auto"/>
          <w:color w:val="000000"/>
        </w:rPr>
        <w:t>controlling</w:t>
      </w:r>
      <w:r>
        <w:rPr>
          <w:rFonts w:ascii="Arial" w:cs="Arial" w:eastAsia="Arial" w:hAnsi="Arial"/>
          <w:sz w:val="18"/>
          <w:szCs w:val="18"/>
          <w:color w:val="000000"/>
        </w:rPr>
        <w:t>,” “</w:t>
      </w:r>
      <w:r>
        <w:rPr>
          <w:rFonts w:ascii="Arial" w:cs="Arial" w:eastAsia="Arial" w:hAnsi="Arial"/>
          <w:sz w:val="18"/>
          <w:szCs w:val="18"/>
          <w:u w:val="single" w:color="auto"/>
          <w:color w:val="000000"/>
        </w:rPr>
        <w:t>controlled by</w:t>
      </w:r>
      <w:r>
        <w:rPr>
          <w:rFonts w:ascii="Arial" w:cs="Arial" w:eastAsia="Arial" w:hAnsi="Arial"/>
          <w:sz w:val="18"/>
          <w:szCs w:val="18"/>
          <w:color w:val="000000"/>
        </w:rPr>
        <w:t>” and “</w:t>
      </w:r>
      <w:r>
        <w:rPr>
          <w:rFonts w:ascii="Arial" w:cs="Arial" w:eastAsia="Arial" w:hAnsi="Arial"/>
          <w:sz w:val="18"/>
          <w:szCs w:val="18"/>
          <w:u w:val="single" w:color="auto"/>
          <w:color w:val="000000"/>
        </w:rPr>
        <w:t>under common control with</w:t>
      </w:r>
      <w:r>
        <w:rPr>
          <w:rFonts w:ascii="Arial" w:cs="Arial" w:eastAsia="Arial" w:hAnsi="Arial"/>
          <w:sz w:val="18"/>
          <w:szCs w:val="18"/>
          <w:color w:val="000000"/>
        </w:rPr>
        <w:t>,” means the</w:t>
      </w:r>
      <w:r>
        <w:rPr>
          <w:rFonts w:ascii="Arial" w:cs="Arial" w:eastAsia="Arial" w:hAnsi="Arial"/>
          <w:sz w:val="18"/>
          <w:szCs w:val="18"/>
          <w:b w:val="1"/>
          <w:bCs w:val="1"/>
          <w:color w:val="FC0014"/>
        </w:rPr>
        <w:t xml:space="preserve"> </w:t>
      </w:r>
      <w:r>
        <w:rPr>
          <w:rFonts w:ascii="Arial" w:cs="Arial" w:eastAsia="Arial" w:hAnsi="Arial"/>
          <w:sz w:val="18"/>
          <w:szCs w:val="18"/>
          <w:color w:val="000000"/>
        </w:rPr>
        <w:t>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73" w:lineRule="exact"/>
        <w:rPr>
          <w:sz w:val="20"/>
          <w:szCs w:val="20"/>
          <w:color w:val="auto"/>
        </w:rPr>
      </w:pPr>
    </w:p>
    <w:p>
      <w:pPr>
        <w:jc w:val="both"/>
        <w:ind w:left="1480" w:hanging="359"/>
        <w:spacing w:after="0" w:line="254" w:lineRule="auto"/>
        <w:rPr>
          <w:sz w:val="20"/>
          <w:szCs w:val="20"/>
          <w:color w:val="auto"/>
        </w:rPr>
      </w:pPr>
      <w:r>
        <w:rPr>
          <w:rFonts w:ascii="Arial" w:cs="Arial" w:eastAsia="Arial" w:hAnsi="Arial"/>
          <w:sz w:val="18"/>
          <w:szCs w:val="18"/>
          <w:b w:val="1"/>
          <w:bCs w:val="1"/>
          <w:color w:val="FC0014"/>
          <w:strike w:val="1"/>
        </w:rPr>
        <w:t>7</w:t>
      </w:r>
      <w:r>
        <w:rPr>
          <w:rFonts w:ascii="Arial" w:cs="Arial" w:eastAsia="Arial" w:hAnsi="Arial"/>
          <w:sz w:val="18"/>
          <w:szCs w:val="18"/>
          <w:b w:val="1"/>
          <w:bCs w:val="1"/>
          <w:u w:val="single" w:color="auto"/>
          <w:color w:val="0000FF"/>
        </w:rPr>
        <w:t>5</w:t>
      </w:r>
      <w:r>
        <w:rPr>
          <w:rFonts w:ascii="Arial" w:cs="Arial" w:eastAsia="Arial" w:hAnsi="Arial"/>
          <w:sz w:val="18"/>
          <w:szCs w:val="18"/>
          <w:color w:val="000000"/>
        </w:rPr>
        <w:t>. “</w:t>
      </w:r>
      <w:r>
        <w:rPr>
          <w:rFonts w:ascii="Arial" w:cs="Arial" w:eastAsia="Arial" w:hAnsi="Arial"/>
          <w:sz w:val="18"/>
          <w:szCs w:val="18"/>
          <w:u w:val="single" w:color="auto"/>
          <w:color w:val="000000"/>
        </w:rPr>
        <w:t>interested stockholder</w:t>
      </w:r>
      <w:r>
        <w:rPr>
          <w:rFonts w:ascii="Arial" w:cs="Arial" w:eastAsia="Arial" w:hAnsi="Arial"/>
          <w:sz w:val="18"/>
          <w:szCs w:val="18"/>
          <w:color w:val="000000"/>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w:t>
      </w:r>
      <w:r>
        <w:rPr>
          <w:rFonts w:ascii="Arial" w:cs="Arial" w:eastAsia="Arial" w:hAnsi="Arial"/>
          <w:sz w:val="18"/>
          <w:szCs w:val="18"/>
          <w:b w:val="1"/>
          <w:bCs w:val="1"/>
          <w:color w:val="FC0014"/>
          <w:strike w:val="1"/>
        </w:rPr>
        <w:t>(a) KKR, Berkshire, any KKR/Berkshire Direct Transferee, any</w:t>
      </w:r>
    </w:p>
    <w:p>
      <w:pPr>
        <w:spacing w:after="0" w:line="1" w:lineRule="exact"/>
        <w:rPr>
          <w:sz w:val="20"/>
          <w:szCs w:val="20"/>
          <w:color w:val="auto"/>
        </w:rPr>
      </w:pPr>
    </w:p>
    <w:p>
      <w:pPr>
        <w:jc w:val="both"/>
        <w:ind w:left="1480"/>
        <w:spacing w:after="0" w:line="251" w:lineRule="auto"/>
        <w:rPr>
          <w:sz w:val="20"/>
          <w:szCs w:val="20"/>
          <w:color w:val="auto"/>
        </w:rPr>
      </w:pPr>
      <w:r>
        <w:rPr>
          <w:rFonts w:ascii="Arial" w:cs="Arial" w:eastAsia="Arial" w:hAnsi="Arial"/>
          <w:sz w:val="18"/>
          <w:szCs w:val="18"/>
          <w:b w:val="1"/>
          <w:bCs w:val="1"/>
          <w:color w:val="FC0014"/>
          <w:strike w:val="1"/>
        </w:rPr>
        <w:t>KKR/Berkshire Indirect Transferee or any of their respective affiliates or successors or any “group,” or any member of any such group, to which such persons are a party under Rule 13d-5 of the Exchange Act, or (b) any</w:t>
      </w:r>
      <w:r>
        <w:rPr>
          <w:rFonts w:ascii="Arial" w:cs="Arial" w:eastAsia="Arial" w:hAnsi="Arial"/>
          <w:sz w:val="18"/>
          <w:szCs w:val="18"/>
          <w:b w:val="1"/>
          <w:bCs w:val="1"/>
          <w:u w:val="single" w:color="auto"/>
          <w:color w:val="0000FF"/>
          <w:strike w:val="1"/>
        </w:rPr>
        <w:t>any</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person whose ownership of shares in excess of the 15% limitation set forth</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 xml:space="preserve">herein is the result of any action taken solely by the Corporation, </w:t>
      </w:r>
      <w:r>
        <w:rPr>
          <w:rFonts w:ascii="Arial" w:cs="Arial" w:eastAsia="Arial" w:hAnsi="Arial"/>
          <w:sz w:val="18"/>
          <w:szCs w:val="18"/>
          <w:i w:val="1"/>
          <w:iCs w:val="1"/>
          <w:color w:val="000000"/>
          <w:strike w:val="1"/>
        </w:rPr>
        <w:t>provided</w:t>
      </w:r>
      <w:r>
        <w:rPr>
          <w:rFonts w:ascii="Arial" w:cs="Arial" w:eastAsia="Arial" w:hAnsi="Arial"/>
          <w:sz w:val="18"/>
          <w:szCs w:val="18"/>
          <w:color w:val="000000"/>
          <w:strike w:val="1"/>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94" w:lineRule="exact"/>
        <w:rPr>
          <w:sz w:val="20"/>
          <w:szCs w:val="20"/>
          <w:color w:val="auto"/>
        </w:rPr>
      </w:pPr>
    </w:p>
    <w:p>
      <w:pPr>
        <w:ind w:left="1480" w:right="20" w:hanging="359"/>
        <w:spacing w:after="0" w:line="287" w:lineRule="auto"/>
        <w:rPr>
          <w:sz w:val="20"/>
          <w:szCs w:val="20"/>
          <w:color w:val="auto"/>
        </w:rPr>
      </w:pPr>
      <w:r>
        <w:rPr>
          <w:rFonts w:ascii="Arial" w:cs="Arial" w:eastAsia="Arial" w:hAnsi="Arial"/>
          <w:sz w:val="18"/>
          <w:szCs w:val="18"/>
          <w:b w:val="1"/>
          <w:bCs w:val="1"/>
          <w:color w:val="FC0014"/>
          <w:strike w:val="1"/>
        </w:rPr>
        <w:t>8</w:t>
      </w:r>
      <w:r>
        <w:rPr>
          <w:rFonts w:ascii="Arial" w:cs="Arial" w:eastAsia="Arial" w:hAnsi="Arial"/>
          <w:sz w:val="18"/>
          <w:szCs w:val="18"/>
          <w:b w:val="1"/>
          <w:bCs w:val="1"/>
          <w:u w:val="single" w:color="auto"/>
          <w:color w:val="0000FF"/>
        </w:rPr>
        <w:t>6</w:t>
      </w:r>
      <w:r>
        <w:rPr>
          <w:rFonts w:ascii="Arial" w:cs="Arial" w:eastAsia="Arial" w:hAnsi="Arial"/>
          <w:sz w:val="18"/>
          <w:szCs w:val="18"/>
          <w:color w:val="000000"/>
        </w:rPr>
        <w:t>. “</w:t>
      </w:r>
      <w:r>
        <w:rPr>
          <w:rFonts w:ascii="Arial" w:cs="Arial" w:eastAsia="Arial" w:hAnsi="Arial"/>
          <w:sz w:val="18"/>
          <w:szCs w:val="18"/>
          <w:u w:val="single" w:color="auto"/>
          <w:color w:val="000000"/>
        </w:rPr>
        <w:t>owner</w:t>
      </w:r>
      <w:r>
        <w:rPr>
          <w:rFonts w:ascii="Arial" w:cs="Arial" w:eastAsia="Arial" w:hAnsi="Arial"/>
          <w:sz w:val="18"/>
          <w:szCs w:val="18"/>
          <w:color w:val="000000"/>
        </w:rPr>
        <w:t>,” including the terms “</w:t>
      </w:r>
      <w:r>
        <w:rPr>
          <w:rFonts w:ascii="Arial" w:cs="Arial" w:eastAsia="Arial" w:hAnsi="Arial"/>
          <w:sz w:val="18"/>
          <w:szCs w:val="18"/>
          <w:u w:val="single" w:color="auto"/>
          <w:color w:val="000000"/>
        </w:rPr>
        <w:t>own</w:t>
      </w:r>
      <w:r>
        <w:rPr>
          <w:rFonts w:ascii="Arial" w:cs="Arial" w:eastAsia="Arial" w:hAnsi="Arial"/>
          <w:sz w:val="18"/>
          <w:szCs w:val="18"/>
          <w:color w:val="000000"/>
        </w:rPr>
        <w:t>” and “</w:t>
      </w:r>
      <w:r>
        <w:rPr>
          <w:rFonts w:ascii="Arial" w:cs="Arial" w:eastAsia="Arial" w:hAnsi="Arial"/>
          <w:sz w:val="18"/>
          <w:szCs w:val="18"/>
          <w:u w:val="single" w:color="auto"/>
          <w:color w:val="000000"/>
        </w:rPr>
        <w:t>owned</w:t>
      </w:r>
      <w:r>
        <w:rPr>
          <w:rFonts w:ascii="Arial" w:cs="Arial" w:eastAsia="Arial" w:hAnsi="Arial"/>
          <w:sz w:val="18"/>
          <w:szCs w:val="18"/>
          <w:color w:val="000000"/>
        </w:rPr>
        <w:t>,” when used with respect to any stock, means a person that</w:t>
      </w:r>
      <w:r>
        <w:rPr>
          <w:rFonts w:ascii="Arial" w:cs="Arial" w:eastAsia="Arial" w:hAnsi="Arial"/>
          <w:sz w:val="18"/>
          <w:szCs w:val="18"/>
          <w:b w:val="1"/>
          <w:bCs w:val="1"/>
          <w:color w:val="FC0014"/>
        </w:rPr>
        <w:t xml:space="preserve"> </w:t>
      </w:r>
      <w:r>
        <w:rPr>
          <w:rFonts w:ascii="Arial" w:cs="Arial" w:eastAsia="Arial" w:hAnsi="Arial"/>
          <w:sz w:val="18"/>
          <w:szCs w:val="18"/>
          <w:color w:val="000000"/>
        </w:rPr>
        <w:t>individually or with or through any of its affiliates or associates:</w:t>
      </w:r>
    </w:p>
    <w:p>
      <w:pPr>
        <w:spacing w:after="0" w:line="67" w:lineRule="exact"/>
        <w:rPr>
          <w:sz w:val="20"/>
          <w:szCs w:val="20"/>
          <w:color w:val="auto"/>
        </w:rPr>
      </w:pPr>
    </w:p>
    <w:p>
      <w:pPr>
        <w:ind w:left="1840" w:hanging="358"/>
        <w:spacing w:after="0"/>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jc w:val="both"/>
        <w:ind w:left="1840" w:hanging="358"/>
        <w:spacing w:after="0" w:line="252" w:lineRule="auto"/>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person shall not be deemed the owner of any stock because of such person’s</w:t>
      </w:r>
    </w:p>
    <w:p>
      <w:pPr>
        <w:spacing w:after="0" w:line="32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sz w:val="1"/>
          <w:szCs w:val="1"/>
          <w:color w:val="auto"/>
        </w:rPr>
        <w:drawing>
          <wp:inline distT="0" distB="0" distL="0" distR="0">
            <wp:extent cx="299720" cy="23114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99720" cy="23114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47" w:lineRule="exact"/>
        <w:rPr>
          <w:sz w:val="20"/>
          <w:szCs w:val="20"/>
          <w:color w:val="auto"/>
        </w:rPr>
      </w:pPr>
    </w:p>
    <w:p>
      <w:pPr>
        <w:jc w:val="both"/>
        <w:ind w:left="1840"/>
        <w:spacing w:after="0" w:line="256" w:lineRule="auto"/>
        <w:rPr>
          <w:sz w:val="20"/>
          <w:szCs w:val="20"/>
          <w:color w:val="auto"/>
        </w:rPr>
      </w:pPr>
      <w:r>
        <w:rPr>
          <w:rFonts w:ascii="Arial" w:cs="Arial" w:eastAsia="Arial" w:hAnsi="Arial"/>
          <w:sz w:val="18"/>
          <w:szCs w:val="18"/>
          <w:color w:val="auto"/>
        </w:rPr>
        <w:t>right to vote such stock if the agreement, arrangement or understanding to vote such stock arises solely from a revocable proxy or consent given in response to a proxy or consent solicitation made to ten (10) or more persons; or</w:t>
      </w:r>
    </w:p>
    <w:p>
      <w:pPr>
        <w:spacing w:after="0" w:line="94" w:lineRule="exact"/>
        <w:rPr>
          <w:sz w:val="20"/>
          <w:szCs w:val="20"/>
          <w:color w:val="auto"/>
        </w:rPr>
      </w:pPr>
    </w:p>
    <w:p>
      <w:pPr>
        <w:jc w:val="both"/>
        <w:ind w:left="1840" w:hanging="358"/>
        <w:spacing w:after="0" w:line="254" w:lineRule="auto"/>
        <w:tabs>
          <w:tab w:leader="none" w:pos="1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74" w:lineRule="exact"/>
        <w:rPr>
          <w:sz w:val="20"/>
          <w:szCs w:val="20"/>
          <w:color w:val="auto"/>
        </w:rPr>
      </w:pPr>
    </w:p>
    <w:p>
      <w:pPr>
        <w:ind w:left="1120"/>
        <w:spacing w:after="0"/>
        <w:tabs>
          <w:tab w:leader="none" w:pos="1540" w:val="left"/>
        </w:tabs>
        <w:rPr>
          <w:sz w:val="20"/>
          <w:szCs w:val="20"/>
          <w:color w:val="auto"/>
        </w:rPr>
      </w:pPr>
      <w:r>
        <w:rPr>
          <w:rFonts w:ascii="Arial" w:cs="Arial" w:eastAsia="Arial" w:hAnsi="Arial"/>
          <w:sz w:val="18"/>
          <w:szCs w:val="18"/>
          <w:b w:val="1"/>
          <w:bCs w:val="1"/>
          <w:color w:val="FC0014"/>
          <w:strike w:val="1"/>
        </w:rPr>
        <w:t>9</w:t>
      </w:r>
      <w:r>
        <w:rPr>
          <w:rFonts w:ascii="Arial" w:cs="Arial" w:eastAsia="Arial" w:hAnsi="Arial"/>
          <w:sz w:val="18"/>
          <w:szCs w:val="18"/>
          <w:b w:val="1"/>
          <w:bCs w:val="1"/>
          <w:u w:val="single" w:color="auto"/>
          <w:color w:val="0000FF"/>
        </w:rPr>
        <w:t>7</w:t>
      </w:r>
      <w:r>
        <w:rPr>
          <w:rFonts w:ascii="Arial" w:cs="Arial" w:eastAsia="Arial" w:hAnsi="Arial"/>
          <w:sz w:val="18"/>
          <w:szCs w:val="18"/>
          <w:color w:val="000000"/>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unincorporated association or other entity.</w:t>
      </w:r>
    </w:p>
    <w:p>
      <w:pPr>
        <w:spacing w:after="0" w:line="117" w:lineRule="exact"/>
        <w:rPr>
          <w:sz w:val="20"/>
          <w:szCs w:val="20"/>
          <w:color w:val="auto"/>
        </w:rPr>
      </w:pPr>
    </w:p>
    <w:p>
      <w:pPr>
        <w:ind w:left="1560" w:hanging="431"/>
        <w:spacing w:after="0" w:line="287" w:lineRule="auto"/>
        <w:rPr>
          <w:sz w:val="20"/>
          <w:szCs w:val="20"/>
          <w:color w:val="auto"/>
        </w:rPr>
      </w:pPr>
      <w:r>
        <w:rPr>
          <w:rFonts w:ascii="Arial" w:cs="Arial" w:eastAsia="Arial" w:hAnsi="Arial"/>
          <w:sz w:val="18"/>
          <w:szCs w:val="18"/>
          <w:b w:val="1"/>
          <w:bCs w:val="1"/>
          <w:color w:val="FC0014"/>
          <w:strike w:val="1"/>
        </w:rPr>
        <w:t>10</w:t>
      </w:r>
      <w:r>
        <w:rPr>
          <w:rFonts w:ascii="Arial" w:cs="Arial" w:eastAsia="Arial" w:hAnsi="Arial"/>
          <w:sz w:val="18"/>
          <w:szCs w:val="18"/>
          <w:b w:val="1"/>
          <w:bCs w:val="1"/>
          <w:u w:val="single" w:color="auto"/>
          <w:color w:val="0000FF"/>
        </w:rPr>
        <w:t>8</w:t>
      </w:r>
      <w:r>
        <w:rPr>
          <w:rFonts w:ascii="Arial" w:cs="Arial" w:eastAsia="Arial" w:hAnsi="Arial"/>
          <w:sz w:val="18"/>
          <w:szCs w:val="18"/>
          <w:color w:val="000000"/>
        </w:rPr>
        <w:t>. “</w:t>
      </w:r>
      <w:r>
        <w:rPr>
          <w:rFonts w:ascii="Arial" w:cs="Arial" w:eastAsia="Arial" w:hAnsi="Arial"/>
          <w:sz w:val="18"/>
          <w:szCs w:val="18"/>
          <w:u w:val="single" w:color="auto"/>
          <w:color w:val="000000"/>
        </w:rPr>
        <w:t>stock</w:t>
      </w:r>
      <w:r>
        <w:rPr>
          <w:rFonts w:ascii="Arial" w:cs="Arial" w:eastAsia="Arial" w:hAnsi="Arial"/>
          <w:sz w:val="18"/>
          <w:szCs w:val="18"/>
          <w:color w:val="000000"/>
        </w:rPr>
        <w:t>” means, with respect to any corporation, capital stock and, with respect to any other entity, any</w:t>
      </w:r>
      <w:r>
        <w:rPr>
          <w:rFonts w:ascii="Arial" w:cs="Arial" w:eastAsia="Arial" w:hAnsi="Arial"/>
          <w:sz w:val="18"/>
          <w:szCs w:val="18"/>
          <w:b w:val="1"/>
          <w:bCs w:val="1"/>
          <w:color w:val="FC0014"/>
        </w:rPr>
        <w:t xml:space="preserve"> </w:t>
      </w:r>
      <w:r>
        <w:rPr>
          <w:rFonts w:ascii="Arial" w:cs="Arial" w:eastAsia="Arial" w:hAnsi="Arial"/>
          <w:sz w:val="18"/>
          <w:szCs w:val="18"/>
          <w:color w:val="000000"/>
        </w:rPr>
        <w:t>equity interest.</w:t>
      </w:r>
    </w:p>
    <w:p>
      <w:pPr>
        <w:spacing w:after="0" w:line="4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C0014"/>
          <w:strike w:val="1"/>
        </w:rPr>
        <w:t>11</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 “</w:t>
      </w:r>
      <w:r>
        <w:rPr>
          <w:rFonts w:ascii="Arial" w:cs="Arial" w:eastAsia="Arial" w:hAnsi="Arial"/>
          <w:sz w:val="18"/>
          <w:szCs w:val="18"/>
          <w:u w:val="single" w:color="auto"/>
          <w:color w:val="000000"/>
        </w:rPr>
        <w:t>voting stock</w:t>
      </w:r>
      <w:r>
        <w:rPr>
          <w:rFonts w:ascii="Arial" w:cs="Arial" w:eastAsia="Arial" w:hAnsi="Arial"/>
          <w:sz w:val="18"/>
          <w:szCs w:val="18"/>
          <w:color w:val="000000"/>
        </w:rPr>
        <w:t>” means stock of any class or series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2021 Proxy Statement  </w:t>
      </w:r>
      <w:r>
        <w:rPr>
          <w:sz w:val="1"/>
          <w:szCs w:val="1"/>
          <w:color w:val="auto"/>
        </w:rPr>
        <w:drawing>
          <wp:inline distT="0" distB="0" distL="0" distR="0">
            <wp:extent cx="300355" cy="24003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40"/>
        <w:spacing w:after="0"/>
        <w:rPr>
          <w:sz w:val="20"/>
          <w:szCs w:val="20"/>
          <w:color w:val="auto"/>
        </w:rPr>
      </w:pPr>
      <w:r>
        <w:rPr>
          <w:rFonts w:ascii="Arial" w:cs="Arial" w:eastAsia="Arial" w:hAnsi="Arial"/>
          <w:sz w:val="54"/>
          <w:szCs w:val="54"/>
          <w:b w:val="1"/>
          <w:bCs w:val="1"/>
          <w:color w:val="3C5896"/>
        </w:rPr>
        <w:t>Thank You</w:t>
      </w:r>
    </w:p>
    <w:p>
      <w:pPr>
        <w:spacing w:after="0" w:line="148" w:lineRule="exact"/>
        <w:rPr>
          <w:sz w:val="20"/>
          <w:szCs w:val="20"/>
          <w:color w:val="auto"/>
        </w:rPr>
      </w:pPr>
    </w:p>
    <w:p>
      <w:pPr>
        <w:jc w:val="right"/>
        <w:ind w:right="2359"/>
        <w:spacing w:after="0"/>
        <w:rPr>
          <w:sz w:val="20"/>
          <w:szCs w:val="20"/>
          <w:color w:val="auto"/>
        </w:rPr>
      </w:pPr>
      <w:r>
        <w:rPr>
          <w:rFonts w:ascii="Arial" w:cs="Arial" w:eastAsia="Arial" w:hAnsi="Arial"/>
          <w:sz w:val="40"/>
          <w:szCs w:val="40"/>
          <w:b w:val="1"/>
          <w:bCs w:val="1"/>
          <w:color w:val="3C5896"/>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1047115</wp:posOffset>
            </wp:positionV>
            <wp:extent cx="2863215" cy="2194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63215" cy="219456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3953510</wp:posOffset>
            </wp:positionV>
            <wp:extent cx="5580380" cy="16198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803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color w:val="3C5896"/>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1553845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-19050</wp:posOffset>
            </wp:positionV>
            <wp:extent cx="1206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365760</wp:posOffset>
            </wp:positionV>
            <wp:extent cx="6831965" cy="8525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6831965" cy="8516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8516620"/>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lvl w:ilvl="1">
      <w:lvlJc w:val="left"/>
      <w:lvlText w:val="(%2)"/>
      <w:numFmt w:val="decimal"/>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3"/>
    </w:lvl>
  </w:abstractNum>
  <w:abstractNum w:abstractNumId="11">
    <w:nsid w:val="6A2342EC"/>
    <w:multiLevelType w:val="hybridMultilevel"/>
    <w:lvl w:ilvl="0">
      <w:lvlJc w:val="left"/>
      <w:lvlText w:val="(%1)"/>
      <w:numFmt w:val="decimal"/>
      <w:start w:val="4"/>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lvl w:ilvl="1">
      <w:lvlJc w:val="left"/>
      <w:lvlText w:val="(%2)"/>
      <w:numFmt w:val="lowerRoman"/>
      <w:start w:val="2"/>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lvl>
    <w:lvl w:ilvl="1">
      <w:lvlJc w:val="left"/>
      <w:lvlText w:val="•"/>
      <w:numFmt w:val="bullet"/>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7"/>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3"/>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2"/>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decimal"/>
      <w:start w:val="2"/>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
    </w:lvl>
    <w:lvl w:ilvl="1">
      <w:lvlJc w:val="left"/>
      <w:lvlText w:val="(%2)"/>
      <w:numFmt w:val="lowerLetter"/>
      <w:start w:val="2"/>
    </w:lvl>
  </w:abstractNum>
  <w:abstractNum w:abstractNumId="64">
    <w:nsid w:val="6590700B"/>
    <w:multiLevelType w:val="hybridMultilevel"/>
    <w:lvl w:ilvl="0">
      <w:lvlJc w:val="left"/>
      <w:lvlText w:val="(%1)"/>
      <w:numFmt w:val="lowerRoman"/>
      <w:start w:val="2"/>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7">
    <w:nsid w:val="98A3148"/>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68">
    <w:nsid w:val="799D0247"/>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69">
    <w:nsid w:val="6B94764"/>
    <w:multiLevelType w:val="hybridMultilevel"/>
    <w:lvl w:ilvl="0">
      <w:lvlJc w:val="left"/>
      <w:lvlText w:val="(%1)"/>
      <w:numFmt w:val="lowerRoman"/>
      <w:start w:val="1"/>
    </w:lvl>
  </w:abstractNum>
  <w:abstractNum w:abstractNumId="70">
    <w:nsid w:val="42C296BD"/>
    <w:multiLevelType w:val="hybridMultilevel"/>
    <w:lvl w:ilvl="0">
      <w:lvlJc w:val="left"/>
      <w:lvlText w:val="(%1)"/>
      <w:numFmt w:val="lowerRoman"/>
      <w:start w:val="4"/>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2021-04-30T09:04:23Z</dcterms:created>
  <dcterms:modified xsi:type="dcterms:W3CDTF">2021-04-30T09:04:23Z</dcterms:modified>
</cp:coreProperties>
</file>