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2 )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National Vision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63845R107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63845R107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NAMES OF REPORTING PERSONS</w:t>
            </w:r>
          </w:p>
        </w:tc>
        <w:tc>
          <w:tcPr>
            <w:tcW w:w="5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AllianceBernstein L.P.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13-4064930</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 [X]</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3.</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Delaware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37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5. SOLE VOTING POWER</w:t>
            </w:r>
          </w:p>
        </w:tc>
        <w:tc>
          <w:tcPr>
            <w:tcW w:w="57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87,255</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37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6. SHARED VOTING POWER</w:t>
            </w:r>
          </w:p>
        </w:tc>
        <w:tc>
          <w:tcPr>
            <w:tcW w:w="5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7. SOLE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93,466</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3760" w:type="dxa"/>
            <w:vAlign w:val="bottom"/>
            <w:vMerge w:val="continue"/>
          </w:tcPr>
          <w:p>
            <w:pPr>
              <w:spacing w:after="0"/>
              <w:rPr>
                <w:sz w:val="24"/>
                <w:szCs w:val="24"/>
                <w:color w:val="auto"/>
              </w:rPr>
            </w:pPr>
          </w:p>
        </w:tc>
        <w:tc>
          <w:tcPr>
            <w:tcW w:w="5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93,466</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[X]</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0.1%</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680" w:hanging="767"/>
        <w:spacing w:after="0"/>
        <w:tabs>
          <w:tab w:leader="none" w:pos="168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Issuer</w:t>
      </w:r>
    </w:p>
    <w:p>
      <w:pPr>
        <w:spacing w:after="0" w:line="18" w:lineRule="exact"/>
        <w:rPr>
          <w:rFonts w:ascii="Times New Roman" w:cs="Times New Roman" w:eastAsia="Times New Roman" w:hAnsi="Times New Roman"/>
          <w:sz w:val="22"/>
          <w:szCs w:val="22"/>
          <w:b w:val="1"/>
          <w:bCs w:val="1"/>
          <w:color w:val="auto"/>
        </w:rPr>
      </w:pPr>
    </w:p>
    <w:p>
      <w:pPr>
        <w:ind w:left="168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National Vision Holdings Inc</w:t>
      </w:r>
    </w:p>
    <w:p>
      <w:pPr>
        <w:spacing w:after="0" w:line="97" w:lineRule="exact"/>
        <w:rPr>
          <w:rFonts w:ascii="Times New Roman" w:cs="Times New Roman" w:eastAsia="Times New Roman" w:hAnsi="Times New Roman"/>
          <w:sz w:val="22"/>
          <w:szCs w:val="22"/>
          <w:b w:val="1"/>
          <w:bCs w:val="1"/>
          <w:color w:val="auto"/>
        </w:rPr>
      </w:pPr>
    </w:p>
    <w:p>
      <w:pPr>
        <w:ind w:left="1680" w:hanging="767"/>
        <w:spacing w:after="0"/>
        <w:tabs>
          <w:tab w:leader="none" w:pos="168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Address of Issuer's Principal Executive Offices</w:t>
      </w:r>
    </w:p>
    <w:p>
      <w:pPr>
        <w:spacing w:after="0" w:line="18" w:lineRule="exact"/>
        <w:rPr>
          <w:rFonts w:ascii="Times New Roman" w:cs="Times New Roman" w:eastAsia="Times New Roman" w:hAnsi="Times New Roman"/>
          <w:sz w:val="22"/>
          <w:szCs w:val="22"/>
          <w:b w:val="1"/>
          <w:bCs w:val="1"/>
          <w:color w:val="auto"/>
        </w:rPr>
      </w:pPr>
    </w:p>
    <w:p>
      <w:pPr>
        <w:ind w:left="168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2435 COMMERCE AVENUE, BLDG. 2200, DULUTH, GA 30096-4980</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680" w:hanging="767"/>
        <w:spacing w:after="0"/>
        <w:tabs>
          <w:tab w:leader="none" w:pos="168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Person Filing</w:t>
      </w:r>
    </w:p>
    <w:p>
      <w:pPr>
        <w:spacing w:after="0" w:line="18" w:lineRule="exact"/>
        <w:rPr>
          <w:rFonts w:ascii="Times New Roman" w:cs="Times New Roman" w:eastAsia="Times New Roman" w:hAnsi="Times New Roman"/>
          <w:sz w:val="22"/>
          <w:szCs w:val="22"/>
          <w:b w:val="1"/>
          <w:bCs w:val="1"/>
          <w:color w:val="auto"/>
        </w:rPr>
      </w:pPr>
    </w:p>
    <w:p>
      <w:pPr>
        <w:ind w:left="168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AllianceBernstein L.P. ("AllianceBernstein L.P.")</w:t>
      </w:r>
    </w:p>
    <w:p>
      <w:pPr>
        <w:spacing w:after="0" w:line="97" w:lineRule="exact"/>
        <w:rPr>
          <w:rFonts w:ascii="Times New Roman" w:cs="Times New Roman" w:eastAsia="Times New Roman" w:hAnsi="Times New Roman"/>
          <w:sz w:val="22"/>
          <w:szCs w:val="22"/>
          <w:b w:val="1"/>
          <w:bCs w:val="1"/>
          <w:color w:val="auto"/>
        </w:rPr>
      </w:pPr>
    </w:p>
    <w:p>
      <w:pPr>
        <w:ind w:left="1680" w:right="3940" w:hanging="767"/>
        <w:spacing w:after="0" w:line="262" w:lineRule="auto"/>
        <w:tabs>
          <w:tab w:leader="none" w:pos="168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Principal Business Office or, if None, Residence </w:t>
      </w:r>
      <w:r>
        <w:rPr>
          <w:rFonts w:ascii="Times New Roman" w:cs="Times New Roman" w:eastAsia="Times New Roman" w:hAnsi="Times New Roman"/>
          <w:sz w:val="22"/>
          <w:szCs w:val="22"/>
          <w:color w:val="auto"/>
        </w:rPr>
        <w:t>501 Commerce Street, Nashville, TN 37203</w:t>
      </w:r>
    </w:p>
    <w:p>
      <w:pPr>
        <w:spacing w:after="0" w:line="180" w:lineRule="exact"/>
        <w:rPr>
          <w:rFonts w:ascii="Times New Roman" w:cs="Times New Roman" w:eastAsia="Times New Roman" w:hAnsi="Times New Roman"/>
          <w:sz w:val="22"/>
          <w:szCs w:val="22"/>
          <w:b w:val="1"/>
          <w:bCs w:val="1"/>
          <w:color w:val="auto"/>
        </w:rPr>
      </w:pPr>
    </w:p>
    <w:p>
      <w:pPr>
        <w:ind w:left="1680" w:right="40"/>
        <w:spacing w:after="0" w:line="25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All media outlets, please contact Jennifer Will at AllianceBernstein (212-969-1157) with any questions. All other questions can be directed to Section13USFilings@alliancebernstein.com.</w:t>
      </w:r>
    </w:p>
    <w:p>
      <w:pPr>
        <w:spacing w:after="0" w:line="73" w:lineRule="exact"/>
        <w:rPr>
          <w:rFonts w:ascii="Times New Roman" w:cs="Times New Roman" w:eastAsia="Times New Roman" w:hAnsi="Times New Roman"/>
          <w:sz w:val="22"/>
          <w:szCs w:val="22"/>
          <w:b w:val="1"/>
          <w:bCs w:val="1"/>
          <w:color w:val="auto"/>
        </w:rPr>
      </w:pPr>
    </w:p>
    <w:p>
      <w:pPr>
        <w:ind w:left="1680" w:right="8300" w:hanging="767"/>
        <w:spacing w:after="0" w:line="286" w:lineRule="auto"/>
        <w:tabs>
          <w:tab w:leader="none" w:pos="168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Citizenship </w:t>
      </w:r>
      <w:r>
        <w:rPr>
          <w:rFonts w:ascii="Times New Roman" w:cs="Times New Roman" w:eastAsia="Times New Roman" w:hAnsi="Times New Roman"/>
          <w:sz w:val="21"/>
          <w:szCs w:val="21"/>
          <w:color w:val="auto"/>
        </w:rPr>
        <w:t>Delaware</w:t>
      </w:r>
    </w:p>
    <w:p>
      <w:pPr>
        <w:spacing w:after="0" w:line="45" w:lineRule="exact"/>
        <w:rPr>
          <w:rFonts w:ascii="Times New Roman" w:cs="Times New Roman" w:eastAsia="Times New Roman" w:hAnsi="Times New Roman"/>
          <w:sz w:val="21"/>
          <w:szCs w:val="21"/>
          <w:b w:val="1"/>
          <w:bCs w:val="1"/>
          <w:color w:val="auto"/>
        </w:rPr>
      </w:pPr>
    </w:p>
    <w:p>
      <w:pPr>
        <w:ind w:left="1680" w:right="6940" w:hanging="767"/>
        <w:spacing w:after="0" w:line="262" w:lineRule="auto"/>
        <w:tabs>
          <w:tab w:leader="none" w:pos="168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680" w:right="7860" w:hanging="767"/>
        <w:spacing w:after="0" w:line="286" w:lineRule="auto"/>
        <w:tabs>
          <w:tab w:leader="none" w:pos="168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63845R107</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If This Statement is Filed Pursuant to Rule 13d-1(b), or 13d-2(b) or (c), Check Whether the Person Filing is a:</w:t>
      </w:r>
    </w:p>
    <w:p>
      <w:pPr>
        <w:sectPr>
          <w:pgSz w:w="11900" w:h="16838" w:orient="portrait"/>
          <w:cols w:equalWidth="0" w:num="1">
            <w:col w:w="11020"/>
          </w:cols>
          <w:pgMar w:left="400" w:top="419" w:right="479" w:bottom="0" w:gutter="0" w:footer="0" w:header="0"/>
        </w:sectPr>
      </w:pPr>
    </w:p>
    <w:p>
      <w:pPr>
        <w:spacing w:after="0" w:line="129" w:lineRule="exact"/>
        <w:rPr>
          <w:sz w:val="20"/>
          <w:szCs w:val="20"/>
          <w:color w:val="auto"/>
        </w:rPr>
      </w:pPr>
    </w:p>
    <w:p>
      <w:pPr>
        <w:ind w:left="920"/>
        <w:spacing w:after="0"/>
        <w:tabs>
          <w:tab w:leader="none" w:pos="166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66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66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6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60" w:val="left"/>
        </w:tabs>
        <w:rPr>
          <w:sz w:val="20"/>
          <w:szCs w:val="20"/>
          <w:color w:val="auto"/>
        </w:rPr>
      </w:pPr>
      <w:r>
        <w:rPr>
          <w:rFonts w:ascii="Times New Roman" w:cs="Times New Roman" w:eastAsia="Times New Roman" w:hAnsi="Times New Roman"/>
          <w:sz w:val="21"/>
          <w:szCs w:val="21"/>
          <w:color w:val="auto"/>
        </w:rPr>
        <w:t>(e)</w:t>
      </w:r>
      <w:r>
        <w:rPr>
          <w:sz w:val="20"/>
          <w:szCs w:val="20"/>
          <w:color w:val="auto"/>
        </w:rPr>
        <w:tab/>
      </w:r>
      <w:r>
        <w:rPr>
          <w:rFonts w:ascii="Times New Roman" w:cs="Times New Roman" w:eastAsia="Times New Roman" w:hAnsi="Times New Roman"/>
          <w:sz w:val="21"/>
          <w:szCs w:val="21"/>
          <w:color w:val="auto"/>
        </w:rPr>
        <w:t>[X]</w:t>
      </w:r>
    </w:p>
    <w:p>
      <w:pPr>
        <w:spacing w:after="0" w:line="137" w:lineRule="exact"/>
        <w:rPr>
          <w:sz w:val="20"/>
          <w:szCs w:val="20"/>
          <w:color w:val="auto"/>
        </w:rPr>
      </w:pPr>
    </w:p>
    <w:p>
      <w:pPr>
        <w:ind w:left="920"/>
        <w:spacing w:after="0"/>
        <w:tabs>
          <w:tab w:leader="none" w:pos="1660" w:val="left"/>
        </w:tabs>
        <w:rPr>
          <w:sz w:val="20"/>
          <w:szCs w:val="20"/>
          <w:color w:val="auto"/>
        </w:rPr>
      </w:pPr>
      <w:r>
        <w:rPr>
          <w:rFonts w:ascii="Times New Roman" w:cs="Times New Roman" w:eastAsia="Times New Roman" w:hAnsi="Times New Roman"/>
          <w:sz w:val="22"/>
          <w:szCs w:val="22"/>
          <w:color w:val="auto"/>
        </w:rPr>
        <w:t>(f)</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660" w:val="left"/>
        </w:tabs>
        <w:rPr>
          <w:sz w:val="20"/>
          <w:szCs w:val="20"/>
          <w:color w:val="auto"/>
        </w:rPr>
      </w:pPr>
      <w:r>
        <w:rPr>
          <w:rFonts w:ascii="Times New Roman" w:cs="Times New Roman" w:eastAsia="Times New Roman" w:hAnsi="Times New Roman"/>
          <w:sz w:val="22"/>
          <w:szCs w:val="22"/>
          <w:color w:val="auto"/>
        </w:rPr>
        <w:t>(g)</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60" w:val="left"/>
        </w:tabs>
        <w:rPr>
          <w:sz w:val="20"/>
          <w:szCs w:val="20"/>
          <w:color w:val="auto"/>
        </w:rPr>
      </w:pPr>
      <w:r>
        <w:rPr>
          <w:rFonts w:ascii="Times New Roman" w:cs="Times New Roman" w:eastAsia="Times New Roman" w:hAnsi="Times New Roman"/>
          <w:sz w:val="22"/>
          <w:szCs w:val="22"/>
          <w:color w:val="auto"/>
        </w:rPr>
        <w:t>(h)</w:t>
      </w:r>
      <w:r>
        <w:rPr>
          <w:sz w:val="20"/>
          <w:szCs w:val="20"/>
          <w:color w:val="auto"/>
        </w:rPr>
        <w:tab/>
      </w:r>
      <w:r>
        <w:rPr>
          <w:rFonts w:ascii="Times New Roman" w:cs="Times New Roman" w:eastAsia="Times New Roman" w:hAnsi="Times New Roman"/>
          <w:sz w:val="22"/>
          <w:szCs w:val="22"/>
          <w:color w:val="auto"/>
        </w:rPr>
        <w:t>[ ]</w:t>
      </w:r>
    </w:p>
    <w:p>
      <w:pPr>
        <w:spacing w:after="0" w:line="368" w:lineRule="exact"/>
        <w:rPr>
          <w:sz w:val="20"/>
          <w:szCs w:val="20"/>
          <w:color w:val="auto"/>
        </w:rPr>
      </w:pPr>
    </w:p>
    <w:p>
      <w:pPr>
        <w:ind w:left="920"/>
        <w:spacing w:after="0"/>
        <w:tabs>
          <w:tab w:leader="none" w:pos="166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60" w:val="left"/>
        </w:tabs>
        <w:rPr>
          <w:sz w:val="20"/>
          <w:szCs w:val="20"/>
          <w:color w:val="auto"/>
        </w:rPr>
      </w:pPr>
      <w:r>
        <w:rPr>
          <w:rFonts w:ascii="Times New Roman" w:cs="Times New Roman" w:eastAsia="Times New Roman" w:hAnsi="Times New Roman"/>
          <w:sz w:val="22"/>
          <w:szCs w:val="22"/>
          <w:color w:val="auto"/>
        </w:rPr>
        <w:t>(j)</w:t>
      </w:r>
      <w:r>
        <w:rPr>
          <w:sz w:val="20"/>
          <w:szCs w:val="20"/>
          <w:color w:val="auto"/>
        </w:rPr>
        <w:tab/>
      </w:r>
      <w:r>
        <w:rPr>
          <w:rFonts w:ascii="Times New Roman" w:cs="Times New Roman" w:eastAsia="Times New Roman" w:hAnsi="Times New Roman"/>
          <w:sz w:val="22"/>
          <w:szCs w:val="22"/>
          <w:color w:val="auto"/>
        </w:rPr>
        <w:t>[ ]</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left="5"/>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125" w:lineRule="exact"/>
        <w:rPr>
          <w:sz w:val="20"/>
          <w:szCs w:val="20"/>
          <w:color w:val="auto"/>
        </w:rPr>
      </w:pPr>
    </w:p>
    <w:p>
      <w:pPr>
        <w:ind w:left="5"/>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125" w:lineRule="exact"/>
        <w:rPr>
          <w:sz w:val="20"/>
          <w:szCs w:val="20"/>
          <w:color w:val="auto"/>
        </w:rPr>
      </w:pPr>
    </w:p>
    <w:p>
      <w:pPr>
        <w:ind w:left="5"/>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125" w:lineRule="exact"/>
        <w:rPr>
          <w:sz w:val="20"/>
          <w:szCs w:val="20"/>
          <w:color w:val="auto"/>
        </w:rPr>
      </w:pPr>
    </w:p>
    <w:p>
      <w:pPr>
        <w:ind w:left="5" w:right="300"/>
        <w:spacing w:after="0" w:line="258"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77" w:lineRule="exact"/>
        <w:rPr>
          <w:sz w:val="20"/>
          <w:szCs w:val="20"/>
          <w:color w:val="auto"/>
        </w:rPr>
      </w:pPr>
    </w:p>
    <w:p>
      <w:pPr>
        <w:ind w:left="5"/>
        <w:spacing w:after="0"/>
        <w:rPr>
          <w:sz w:val="20"/>
          <w:szCs w:val="20"/>
          <w:color w:val="auto"/>
        </w:rPr>
      </w:pPr>
      <w:r>
        <w:rPr>
          <w:rFonts w:ascii="Times New Roman" w:cs="Times New Roman" w:eastAsia="Times New Roman" w:hAnsi="Times New Roman"/>
          <w:sz w:val="22"/>
          <w:szCs w:val="22"/>
          <w:color w:val="auto"/>
        </w:rPr>
        <w:t>An investment adviser in accordance with Rule 240.13d-1(b)(1)(ii)(E);</w:t>
      </w:r>
    </w:p>
    <w:p>
      <w:pPr>
        <w:spacing w:after="0" w:line="125" w:lineRule="exact"/>
        <w:rPr>
          <w:sz w:val="20"/>
          <w:szCs w:val="20"/>
          <w:color w:val="auto"/>
        </w:rPr>
      </w:pPr>
    </w:p>
    <w:p>
      <w:pPr>
        <w:ind w:left="5" w:right="200"/>
        <w:spacing w:after="0" w:line="375" w:lineRule="auto"/>
        <w:rPr>
          <w:sz w:val="20"/>
          <w:szCs w:val="20"/>
          <w:color w:val="auto"/>
        </w:rPr>
      </w:pPr>
      <w:r>
        <w:rPr>
          <w:rFonts w:ascii="Times New Roman" w:cs="Times New Roman" w:eastAsia="Times New Roman" w:hAnsi="Times New Roman"/>
          <w:sz w:val="21"/>
          <w:szCs w:val="21"/>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ind w:left="5"/>
        <w:spacing w:after="0" w:line="258" w:lineRule="auto"/>
        <w:rPr>
          <w:sz w:val="20"/>
          <w:szCs w:val="20"/>
          <w:color w:val="auto"/>
        </w:rPr>
      </w:pPr>
      <w:r>
        <w:rPr>
          <w:rFonts w:ascii="Times New Roman" w:cs="Times New Roman" w:eastAsia="Times New Roman" w:hAnsi="Times New Roman"/>
          <w:sz w:val="22"/>
          <w:szCs w:val="22"/>
          <w:color w:val="auto"/>
        </w:rPr>
        <w:t>A savings association as defined in Section 3(b) of the Federal Deposit Insurance Act (12 U.S.C. 1813);</w:t>
      </w:r>
    </w:p>
    <w:p>
      <w:pPr>
        <w:spacing w:after="0" w:line="77" w:lineRule="exact"/>
        <w:rPr>
          <w:sz w:val="20"/>
          <w:szCs w:val="20"/>
          <w:color w:val="auto"/>
        </w:rPr>
      </w:pPr>
    </w:p>
    <w:p>
      <w:pPr>
        <w:ind w:left="5"/>
        <w:spacing w:after="0"/>
        <w:rPr>
          <w:sz w:val="20"/>
          <w:szCs w:val="20"/>
          <w:color w:val="auto"/>
        </w:rPr>
      </w:pPr>
      <w:r>
        <w:rPr>
          <w:rFonts w:ascii="Times New Roman" w:cs="Times New Roman" w:eastAsia="Times New Roman" w:hAnsi="Times New Roman"/>
          <w:sz w:val="21"/>
          <w:szCs w:val="21"/>
          <w:color w:val="auto"/>
        </w:rPr>
        <w:t>A church plan that is excluded from the definition of an investment company under Section 3(c)</w:t>
      </w:r>
    </w:p>
    <w:p>
      <w:pPr>
        <w:spacing w:after="0" w:line="26" w:lineRule="exact"/>
        <w:rPr>
          <w:sz w:val="20"/>
          <w:szCs w:val="20"/>
          <w:color w:val="auto"/>
        </w:rPr>
      </w:pPr>
    </w:p>
    <w:p>
      <w:pPr>
        <w:ind w:left="5" w:right="2800" w:hanging="5"/>
        <w:spacing w:after="0" w:line="363" w:lineRule="auto"/>
        <w:tabs>
          <w:tab w:leader="none" w:pos="419"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Investment Company Act of 1940 (15 U.S.C. 80a-3); Group, in accordance with Rule 240.13d-1(b)(1)(ii)(J).</w:t>
      </w:r>
    </w:p>
    <w:p>
      <w:pPr>
        <w:spacing w:after="0" w:line="344" w:lineRule="exact"/>
        <w:rPr>
          <w:sz w:val="20"/>
          <w:szCs w:val="20"/>
          <w:color w:val="auto"/>
        </w:rPr>
      </w:pPr>
    </w:p>
    <w:p>
      <w:pPr>
        <w:sectPr>
          <w:pgSz w:w="11900" w:h="16838" w:orient="portrait"/>
          <w:cols w:equalWidth="0" w:num="2">
            <w:col w:w="1980" w:space="675"/>
            <w:col w:w="8365"/>
          </w:cols>
          <w:pgMar w:left="400" w:top="419" w:right="479" w:bottom="0" w:gutter="0" w:footer="0" w:header="0"/>
          <w:type w:val="continuous"/>
        </w:sect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77" w:lineRule="exact"/>
        <w:rPr>
          <w:sz w:val="20"/>
          <w:szCs w:val="20"/>
          <w:color w:val="auto"/>
        </w:rPr>
      </w:pPr>
    </w:p>
    <w:p>
      <w:pPr>
        <w:ind w:left="1680" w:hanging="767"/>
        <w:spacing w:after="0"/>
        <w:tabs>
          <w:tab w:leader="none" w:pos="16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680" w:right="40"/>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93,466 shares acquired solely for investment purposes on behalf of client discretionary investment advisory accounts.*</w:t>
      </w:r>
    </w:p>
    <w:p>
      <w:pPr>
        <w:spacing w:after="0" w:line="77" w:lineRule="exact"/>
        <w:rPr>
          <w:rFonts w:ascii="Times New Roman" w:cs="Times New Roman" w:eastAsia="Times New Roman" w:hAnsi="Times New Roman"/>
          <w:sz w:val="22"/>
          <w:szCs w:val="22"/>
          <w:color w:val="auto"/>
        </w:rPr>
      </w:pPr>
    </w:p>
    <w:p>
      <w:pPr>
        <w:ind w:left="1680" w:right="7880" w:hanging="767"/>
        <w:spacing w:after="0" w:line="358" w:lineRule="auto"/>
        <w:tabs>
          <w:tab w:leader="none" w:pos="16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0.1%</w:t>
      </w:r>
    </w:p>
    <w:p>
      <w:pPr>
        <w:sectPr>
          <w:pgSz w:w="11900" w:h="16838" w:orient="portrait"/>
          <w:cols w:equalWidth="0" w:num="1">
            <w:col w:w="11020"/>
          </w:cols>
          <w:pgMar w:left="400" w:top="419" w:right="479" w:bottom="0" w:gutter="0" w:footer="0" w:header="0"/>
          <w:type w:val="continuous"/>
        </w:sectPr>
      </w:pPr>
    </w:p>
    <w:p>
      <w:pPr>
        <w:spacing w:after="0" w:line="1" w:lineRule="exact"/>
        <w:rPr>
          <w:sz w:val="20"/>
          <w:szCs w:val="20"/>
          <w:color w:val="auto"/>
        </w:rPr>
      </w:pPr>
    </w:p>
    <w:p>
      <w:pPr>
        <w:ind w:left="1680" w:hanging="767"/>
        <w:spacing w:after="0"/>
        <w:tabs>
          <w:tab w:leader="none" w:pos="16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rFonts w:ascii="Times New Roman" w:cs="Times New Roman" w:eastAsia="Times New Roman" w:hAnsi="Times New Roman"/>
          <w:sz w:val="22"/>
          <w:szCs w:val="22"/>
          <w:color w:val="auto"/>
        </w:rPr>
      </w:pPr>
    </w:p>
    <w:p>
      <w:pPr>
        <w:ind w:left="2660" w:hanging="977"/>
        <w:spacing w:after="0"/>
        <w:tabs>
          <w:tab w:leader="none" w:pos="2660"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125" w:lineRule="exact"/>
        <w:rPr>
          <w:rFonts w:ascii="Times New Roman" w:cs="Times New Roman" w:eastAsia="Times New Roman" w:hAnsi="Times New Roman"/>
          <w:sz w:val="22"/>
          <w:szCs w:val="22"/>
          <w:color w:val="auto"/>
        </w:rPr>
      </w:pPr>
    </w:p>
    <w:p>
      <w:pPr>
        <w:ind w:left="2660" w:hanging="977"/>
        <w:spacing w:after="0"/>
        <w:tabs>
          <w:tab w:leader="none" w:pos="2660"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125" w:lineRule="exact"/>
        <w:rPr>
          <w:rFonts w:ascii="Times New Roman" w:cs="Times New Roman" w:eastAsia="Times New Roman" w:hAnsi="Times New Roman"/>
          <w:sz w:val="22"/>
          <w:szCs w:val="22"/>
          <w:color w:val="auto"/>
        </w:rPr>
      </w:pPr>
    </w:p>
    <w:p>
      <w:pPr>
        <w:ind w:left="2660" w:hanging="977"/>
        <w:spacing w:after="0"/>
        <w:tabs>
          <w:tab w:leader="none" w:pos="2660" w:val="left"/>
        </w:tabs>
        <w:numPr>
          <w:ilvl w:val="1"/>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 power to dispose or to direct the disposition of</w:t>
      </w:r>
    </w:p>
    <w:p>
      <w:pPr>
        <w:spacing w:after="0" w:line="172" w:lineRule="exact"/>
        <w:rPr>
          <w:rFonts w:ascii="Times New Roman" w:cs="Times New Roman" w:eastAsia="Times New Roman" w:hAnsi="Times New Roman"/>
          <w:sz w:val="39"/>
          <w:szCs w:val="39"/>
          <w:color w:val="auto"/>
          <w:vertAlign w:val="subscript"/>
        </w:rPr>
      </w:pPr>
    </w:p>
    <w:p>
      <w:pPr>
        <w:ind w:left="2660" w:right="780" w:hanging="977"/>
        <w:spacing w:after="0" w:line="185" w:lineRule="auto"/>
        <w:tabs>
          <w:tab w:leader="none" w:pos="2660" w:val="left"/>
        </w:tabs>
        <w:numPr>
          <w:ilvl w:val="1"/>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87,255</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93,466</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6" w:lineRule="exact"/>
        <w:rPr>
          <w:sz w:val="20"/>
          <w:szCs w:val="20"/>
          <w:color w:val="auto"/>
        </w:rPr>
      </w:pPr>
    </w:p>
    <w:p>
      <w:pPr>
        <w:sectPr>
          <w:pgSz w:w="11900" w:h="16838" w:orient="portrait"/>
          <w:cols w:equalWidth="0" w:num="2">
            <w:col w:w="6840" w:space="280"/>
            <w:col w:w="3900"/>
          </w:cols>
          <w:pgMar w:left="400" w:top="419" w:right="479" w:bottom="0" w:gutter="0" w:footer="0" w:header="0"/>
          <w:type w:val="continuous"/>
        </w:sectPr>
      </w:pPr>
    </w:p>
    <w:p>
      <w:pPr>
        <w:spacing w:after="0"/>
        <w:rPr>
          <w:sz w:val="20"/>
          <w:szCs w:val="20"/>
          <w:color w:val="auto"/>
        </w:rPr>
      </w:pPr>
      <w:r>
        <w:rPr>
          <w:rFonts w:ascii="Times New Roman" w:cs="Times New Roman" w:eastAsia="Times New Roman" w:hAnsi="Times New Roman"/>
          <w:sz w:val="21"/>
          <w:szCs w:val="21"/>
          <w:color w:val="auto"/>
        </w:rPr>
        <w:t>*AllianceBernstein L.P. is a majority owned subsidiary of Equitable Holdings, Inc. ("EQH"). AllianceBernstein operates under</w:t>
      </w:r>
    </w:p>
    <w:p>
      <w:pPr>
        <w:sectPr>
          <w:pgSz w:w="11900" w:h="16838" w:orient="portrait"/>
          <w:cols w:equalWidth="0" w:num="1">
            <w:col w:w="11020"/>
          </w:cols>
          <w:pgMar w:left="400" w:top="419" w:right="479" w:bottom="0" w:gutter="0" w:footer="0" w:header="0"/>
          <w:type w:val="continuous"/>
        </w:sectPr>
      </w:pPr>
    </w:p>
    <w:bookmarkStart w:id="3" w:name="page4"/>
    <w:bookmarkEnd w:id="3"/>
    <w:p>
      <w:pPr>
        <w:jc w:val="both"/>
        <w:ind w:right="40"/>
        <w:spacing w:after="0" w:line="244" w:lineRule="auto"/>
        <w:rPr>
          <w:sz w:val="20"/>
          <w:szCs w:val="20"/>
          <w:color w:val="auto"/>
        </w:rPr>
      </w:pPr>
      <w:r>
        <w:rPr>
          <w:rFonts w:ascii="Times New Roman" w:cs="Times New Roman" w:eastAsia="Times New Roman" w:hAnsi="Times New Roman"/>
          <w:sz w:val="22"/>
          <w:szCs w:val="22"/>
          <w:color w:val="auto"/>
        </w:rPr>
        <w:t>independent management and makes independent decisions from EQH and its respective subsidiaries, and EQH calculates and reports beneficial ownership separately from AllianceBernstein pursuant to guidance provided by the Securities and Exchange Commission in Release Number 34-39538 (January 12, 1998).</w:t>
      </w:r>
    </w:p>
    <w:p>
      <w:pPr>
        <w:spacing w:after="0" w:line="8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pacing w:after="0" w:line="129"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X ]</w:t>
      </w:r>
    </w:p>
    <w:p>
      <w:pPr>
        <w:spacing w:after="0" w:line="7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ind w:left="920" w:right="360" w:hanging="903"/>
        <w:spacing w:after="0" w:line="262" w:lineRule="auto"/>
        <w:tabs>
          <w:tab w:leader="none" w:pos="90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w:t>
      </w:r>
    </w:p>
    <w:p>
      <w:pPr>
        <w:spacing w:after="0" w:line="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 This schedule is not being filed pursuant to Rule 13d-1(b)(1)(ii)(J) or Rule 13d-1(d).</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237" w:lineRule="exact"/>
        <w:rPr>
          <w:sz w:val="20"/>
          <w:szCs w:val="20"/>
          <w:color w:val="auto"/>
        </w:rPr>
      </w:pPr>
    </w:p>
    <w:p>
      <w:pPr>
        <w:ind w:left="92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00"/>
          </w:cols>
          <w:pgMar w:left="400" w:top="112" w:right="49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2"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3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AllianceBernstein L.P.</w:t>
      </w:r>
    </w:p>
    <w:p>
      <w:pPr>
        <w:spacing w:after="0" w:line="4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Melissa Guerra</w:t>
      </w:r>
    </w:p>
    <w:p>
      <w:pPr>
        <w:spacing w:after="0" w:line="4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Date: February 14, 2024</w:t>
      </w:r>
    </w:p>
    <w:p>
      <w:pPr>
        <w:spacing w:after="0" w:line="4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Name: Melissa Guerra</w:t>
      </w:r>
    </w:p>
    <w:p>
      <w:pPr>
        <w:spacing w:after="0" w:line="4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Title: Vice President</w:t>
      </w:r>
    </w:p>
    <w:sectPr>
      <w:pgSz w:w="11900" w:h="16838" w:orient="portrait"/>
      <w:cols w:equalWidth="0" w:num="1">
        <w:col w:w="9019"/>
      </w:cols>
      <w:pgMar w:left="1440" w:top="40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decimal"/>
      <w:start w:val="14"/>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2024-02-14T14:09:20Z</dcterms:created>
  <dcterms:modified xsi:type="dcterms:W3CDTF">2024-02-14T14:09:20Z</dcterms:modified>
</cp:coreProperties>
</file>