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633730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Earliest Event reported):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National Vision Holdings, Inc.</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lef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8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80" w:space="720"/>
            <w:col w:w="2560" w:space="720"/>
            <w:col w:w="3200"/>
          </w:cols>
          <w:pgMar w:left="240" w:top="1183" w:right="279" w:bottom="1440" w:gutter="0" w:footer="0" w:header="0"/>
          <w:type w:val="continuous"/>
        </w:sectPr>
      </w:pPr>
    </w:p>
    <w:p>
      <w:pPr>
        <w:ind w:left="1580"/>
        <w:spacing w:after="0"/>
        <w:rPr>
          <w:sz w:val="20"/>
          <w:szCs w:val="20"/>
          <w:color w:val="auto"/>
        </w:rPr>
      </w:pPr>
      <w:r>
        <w:rPr>
          <w:rFonts w:ascii="Arial" w:cs="Arial" w:eastAsia="Arial" w:hAnsi="Arial"/>
          <w:sz w:val="18"/>
          <w:szCs w:val="18"/>
          <w:color w:val="auto"/>
        </w:rPr>
        <w:t>of incorporation)</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2435 Commerce Avenue</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(770) 822-3600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including zip code, and telephone number,</w:t>
      </w:r>
    </w:p>
    <w:p>
      <w:pPr>
        <w:jc w:val="center"/>
        <w:ind w:right="-39"/>
        <w:spacing w:after="0"/>
        <w:rPr>
          <w:sz w:val="20"/>
          <w:szCs w:val="20"/>
          <w:color w:val="auto"/>
        </w:rPr>
      </w:pPr>
      <w:r>
        <w:rPr>
          <w:rFonts w:ascii="Arial" w:cs="Arial" w:eastAsia="Arial" w:hAnsi="Arial"/>
          <w:sz w:val="9"/>
          <w:szCs w:val="9"/>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type w:val="continuous"/>
        </w:sectPr>
      </w:pPr>
    </w:p>
    <w:p>
      <w:pPr>
        <w:spacing w:after="0" w:line="200" w:lineRule="exact"/>
        <w:rPr>
          <w:sz w:val="24"/>
          <w:szCs w:val="24"/>
          <w:color w:val="auto"/>
        </w:rPr>
      </w:pPr>
    </w:p>
    <w:p>
      <w:pPr>
        <w:spacing w:after="0" w:line="3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right="20"/>
        <w:spacing w:after="0" w:line="27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60"/>
        <w:spacing w:after="0" w:line="207" w:lineRule="exact"/>
        <w:tabs>
          <w:tab w:leader="none" w:pos="28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firstLine="648"/>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1183" w:right="279" w:bottom="1440" w:gutter="0" w:footer="0" w:header="0"/>
          <w:type w:val="continuous"/>
        </w:sectPr>
      </w:pPr>
    </w:p>
    <w:bookmarkStart w:id="1" w:name="page2"/>
    <w:bookmarkEnd w:id="1"/>
    <w:p>
      <w:pPr>
        <w:ind w:right="8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firstLine="446"/>
        <w:spacing w:after="0" w:line="260" w:lineRule="auto"/>
        <w:rPr>
          <w:sz w:val="20"/>
          <w:szCs w:val="20"/>
          <w:color w:val="auto"/>
        </w:rPr>
      </w:pPr>
      <w:r>
        <w:rPr>
          <w:rFonts w:ascii="Arial" w:cs="Arial" w:eastAsia="Arial" w:hAnsi="Arial"/>
          <w:sz w:val="19"/>
          <w:szCs w:val="19"/>
          <w:color w:val="auto"/>
        </w:rPr>
        <w:t>On September 10, 2018, the Board of Directors (the “Board”) of National Vision Holdings, Inc. (the “Company”) increased the size of the Board by one director (to a total size of seven directors) and filled the vacancy created by such increase by appointing Thomas V. Taylor, Jr., age 52, as a Class III director, effective September 10, 2018. Mr. Taylor will hold office until the date of the Company’s 2020 Annual Meeting of Stockholders and until his successor shall be elected and qualified or until his earlier death, resignation, retirement, disqualification or removal. Mr. Taylor will serve on the Audit Committee and the Compensation Committee.</w:t>
      </w:r>
    </w:p>
    <w:p>
      <w:pPr>
        <w:spacing w:after="0" w:line="181" w:lineRule="exact"/>
        <w:rPr>
          <w:sz w:val="20"/>
          <w:szCs w:val="20"/>
          <w:color w:val="auto"/>
        </w:rPr>
      </w:pPr>
    </w:p>
    <w:p>
      <w:pPr>
        <w:ind w:right="40" w:firstLine="446"/>
        <w:spacing w:after="0" w:line="242" w:lineRule="auto"/>
        <w:rPr>
          <w:sz w:val="20"/>
          <w:szCs w:val="20"/>
          <w:color w:val="auto"/>
        </w:rPr>
      </w:pPr>
      <w:r>
        <w:rPr>
          <w:rFonts w:ascii="Arial" w:cs="Arial" w:eastAsia="Arial" w:hAnsi="Arial"/>
          <w:sz w:val="20"/>
          <w:szCs w:val="20"/>
          <w:color w:val="auto"/>
        </w:rPr>
        <w:t>Mr. Taylor is the Chief Executive Officer of Floor &amp; Decor Holdings, Inc. and has served in that role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 Mr. Taylor was selected to our board of directors because of his leadership, financial and business expertise, his depth of knowledge and years of experience in retail business and his experience as a board member of numerous companies and organizations.</w:t>
      </w:r>
    </w:p>
    <w:p>
      <w:pPr>
        <w:spacing w:after="0" w:line="198" w:lineRule="exact"/>
        <w:rPr>
          <w:sz w:val="20"/>
          <w:szCs w:val="20"/>
          <w:color w:val="auto"/>
        </w:rPr>
      </w:pPr>
    </w:p>
    <w:p>
      <w:pPr>
        <w:ind w:right="120" w:firstLine="446"/>
        <w:spacing w:after="0" w:line="260" w:lineRule="auto"/>
        <w:rPr>
          <w:sz w:val="20"/>
          <w:szCs w:val="20"/>
          <w:color w:val="auto"/>
        </w:rPr>
      </w:pPr>
      <w:r>
        <w:rPr>
          <w:rFonts w:ascii="Arial" w:cs="Arial" w:eastAsia="Arial" w:hAnsi="Arial"/>
          <w:sz w:val="19"/>
          <w:szCs w:val="19"/>
          <w:color w:val="auto"/>
        </w:rPr>
        <w:t>The Board has determined that Mr. Taylor qualifies as an independent director under the corporate governance standards of NASDAQ and the independence requirements of Rule 10A-3 of the Exchange Act and is an “audit committee financial expert” as such term is defined in Item 407(d)(5) of Regulation S-K. Mr. Taylor was not appointed to the Board pursuant to any arrangement or understanding with any other person. Mr. Taylor has no family relationships with any director or executive officer of the Company and there are no transactions in which Mr. Taylor has an interest requiring disclosure under Item 404(a) of Regulation S-K.</w:t>
      </w:r>
    </w:p>
    <w:p>
      <w:pPr>
        <w:spacing w:after="0" w:line="181" w:lineRule="exact"/>
        <w:rPr>
          <w:sz w:val="20"/>
          <w:szCs w:val="20"/>
          <w:color w:val="auto"/>
        </w:rPr>
      </w:pPr>
    </w:p>
    <w:p>
      <w:pPr>
        <w:ind w:right="20" w:firstLine="446"/>
        <w:spacing w:after="0" w:line="243" w:lineRule="auto"/>
        <w:rPr>
          <w:sz w:val="20"/>
          <w:szCs w:val="20"/>
          <w:color w:val="auto"/>
        </w:rPr>
      </w:pPr>
      <w:r>
        <w:rPr>
          <w:rFonts w:ascii="Arial" w:cs="Arial" w:eastAsia="Arial" w:hAnsi="Arial"/>
          <w:sz w:val="20"/>
          <w:szCs w:val="20"/>
          <w:color w:val="auto"/>
        </w:rPr>
        <w:t>Mr. Taylor will be entitled to the annual compensation paid to independent non-employee directors, consisting of a cash retainer of $75,000, payable quarterly in arrears, and $100,000 paid in restricted stock pursuant to the National Vision Holdings, Inc. 2017 Omnibus Incentive Plan (the “Omnibus Incentive Plan”). In connection with his appointment to the Board on September 10, 2018, Mr. Taylor was granted a restricted stock award of 2,197 shares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196" w:lineRule="exact"/>
        <w:rPr>
          <w:sz w:val="20"/>
          <w:szCs w:val="20"/>
          <w:color w:val="auto"/>
        </w:rPr>
      </w:pPr>
    </w:p>
    <w:p>
      <w:pPr>
        <w:ind w:right="260" w:firstLine="446"/>
        <w:spacing w:after="0" w:line="250" w:lineRule="auto"/>
        <w:rPr>
          <w:sz w:val="20"/>
          <w:szCs w:val="20"/>
          <w:color w:val="auto"/>
        </w:rPr>
      </w:pPr>
      <w:r>
        <w:rPr>
          <w:rFonts w:ascii="Arial" w:cs="Arial" w:eastAsia="Arial" w:hAnsi="Arial"/>
          <w:sz w:val="20"/>
          <w:szCs w:val="20"/>
          <w:color w:val="auto"/>
        </w:rPr>
        <w:t>The Company and Mr. Taylor will enter into the Company’s standard form of indemnification agreement for directors, a copy of which was previously filed as Exhibit 10.16 to Amendment No. 6 to the Registration Statement on Form S-1 (File No. 333-206772) and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35" w:lineRule="exact"/>
        <w:rPr>
          <w:sz w:val="20"/>
          <w:szCs w:val="20"/>
          <w:color w:val="auto"/>
        </w:rPr>
      </w:pPr>
    </w:p>
    <w:p>
      <w:pPr>
        <w:ind w:right="220" w:firstLine="446"/>
        <w:spacing w:after="0" w:line="260" w:lineRule="auto"/>
        <w:rPr>
          <w:sz w:val="20"/>
          <w:szCs w:val="20"/>
          <w:color w:val="auto"/>
        </w:rPr>
      </w:pPr>
      <w:r>
        <w:rPr>
          <w:rFonts w:ascii="Arial" w:cs="Arial" w:eastAsia="Arial" w:hAnsi="Arial"/>
          <w:sz w:val="20"/>
          <w:szCs w:val="20"/>
          <w:color w:val="auto"/>
        </w:rPr>
        <w:t>A copy of the press release issued by the Company announcing the election of Mr. Taylor described in Item 5.02 is furnished as Exhibit 99.1 to this Current Report and is incorporated herein by reference.</w:t>
      </w:r>
    </w:p>
    <w:p>
      <w:pPr>
        <w:spacing w:after="0" w:line="177" w:lineRule="exact"/>
        <w:rPr>
          <w:sz w:val="20"/>
          <w:szCs w:val="20"/>
          <w:color w:val="auto"/>
        </w:rPr>
      </w:pPr>
    </w:p>
    <w:p>
      <w:pPr>
        <w:ind w:right="20" w:firstLine="446"/>
        <w:spacing w:after="0" w:line="260" w:lineRule="auto"/>
        <w:rPr>
          <w:sz w:val="20"/>
          <w:szCs w:val="20"/>
          <w:color w:val="auto"/>
        </w:rPr>
      </w:pPr>
      <w:r>
        <w:rPr>
          <w:rFonts w:ascii="Arial" w:cs="Arial" w:eastAsia="Arial" w:hAnsi="Arial"/>
          <w:sz w:val="20"/>
          <w:szCs w:val="20"/>
          <w:color w:val="auto"/>
        </w:rPr>
        <w:t>This information is furnished pursuant to Item 7.01 of Form 8-K. The information in this Item 7.01 and in Exhibit 99.1 hereto shall not be treated as filed for purposes of the Securities Exchange Act of 1934, as amended.</w:t>
      </w:r>
    </w:p>
    <w:p>
      <w:pPr>
        <w:sectPr>
          <w:pgSz w:w="11900" w:h="16838" w:orient="portrait"/>
          <w:cols w:equalWidth="0" w:num="1">
            <w:col w:w="11400"/>
          </w:cols>
          <w:pgMar w:left="240" w:top="1224" w:right="259" w:bottom="1440" w:gutter="0" w:footer="0" w:header="0"/>
        </w:sectPr>
      </w:pPr>
    </w:p>
    <w:bookmarkStart w:id="2" w:name="page3"/>
    <w:bookmarkEnd w:id="2"/>
    <w:p>
      <w:pPr>
        <w:ind w:firstLine="446"/>
        <w:spacing w:after="0" w:line="287" w:lineRule="auto"/>
        <w:rPr>
          <w:sz w:val="20"/>
          <w:szCs w:val="20"/>
          <w:color w:val="auto"/>
        </w:rPr>
      </w:pPr>
      <w:r>
        <w:rPr>
          <w:rFonts w:ascii="Arial" w:cs="Arial" w:eastAsia="Arial" w:hAnsi="Arial"/>
          <w:sz w:val="19"/>
          <w:szCs w:val="19"/>
          <w:color w:val="auto"/>
        </w:rPr>
        <w:t>The furnishing of the information in Item 7.01 is not intended to, and does not constitute a representation that such furnishing is required by Regulation FD or that the information in this Item 7.01 is material information that is not otherwise publicly available.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4" w:lineRule="exact"/>
        <w:rPr>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See the Exhibit Index immediately preceding the signature page hereto, which is incorporated herein by reference.</w:t>
      </w:r>
    </w:p>
    <w:p>
      <w:pPr>
        <w:sectPr>
          <w:pgSz w:w="11900" w:h="16838" w:orient="portrait"/>
          <w:cols w:equalWidth="0" w:num="1">
            <w:col w:w="11280"/>
          </w:cols>
          <w:pgMar w:left="240" w:top="100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760" w:type="dxa"/>
            <w:vAlign w:val="bottom"/>
          </w:tcPr>
          <w:p>
            <w:pPr>
              <w:ind w:left="2500"/>
              <w:spacing w:after="0"/>
              <w:rPr>
                <w:sz w:val="20"/>
                <w:szCs w:val="20"/>
                <w:color w:val="auto"/>
              </w:rPr>
            </w:pPr>
            <w:r>
              <w:rPr>
                <w:rFonts w:ascii="Arial" w:cs="Arial" w:eastAsia="Arial" w:hAnsi="Arial"/>
                <w:sz w:val="20"/>
                <w:szCs w:val="20"/>
                <w:b w:val="1"/>
                <w:bCs w:val="1"/>
                <w:color w:val="auto"/>
              </w:rPr>
              <w:t>EXHIBIT INDEX</w:t>
            </w:r>
          </w:p>
        </w:tc>
      </w:tr>
      <w:tr>
        <w:trPr>
          <w:trHeight w:val="806"/>
        </w:trPr>
        <w:tc>
          <w:tcPr>
            <w:tcW w:w="920" w:type="dxa"/>
            <w:vAlign w:val="bottom"/>
            <w:gridSpan w:val="2"/>
          </w:tcPr>
          <w:p>
            <w:pPr>
              <w:spacing w:after="0"/>
              <w:rPr>
                <w:sz w:val="20"/>
                <w:szCs w:val="20"/>
                <w:color w:val="auto"/>
              </w:rPr>
            </w:pPr>
            <w:r>
              <w:rPr>
                <w:rFonts w:ascii="Arial" w:cs="Arial" w:eastAsia="Arial" w:hAnsi="Arial"/>
                <w:sz w:val="20"/>
                <w:szCs w:val="20"/>
                <w:color w:val="auto"/>
                <w:w w:val="93"/>
              </w:rPr>
              <w:t>Exhibit No.</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669"/>
        </w:trPr>
        <w:tc>
          <w:tcPr>
            <w:tcW w:w="340" w:type="dxa"/>
            <w:vAlign w:val="bottom"/>
            <w:tcBorders>
              <w:bottom w:val="single" w:sz="8" w:color="0000FF"/>
            </w:tcBorders>
          </w:tcPr>
          <w:p>
            <w:pPr>
              <w:spacing w:after="0"/>
              <w:rPr>
                <w:rFonts w:ascii="Arial" w:cs="Arial" w:eastAsia="Arial" w:hAnsi="Arial"/>
                <w:sz w:val="20"/>
                <w:szCs w:val="20"/>
                <w:color w:val="0000FF"/>
                <w:w w:val="82"/>
              </w:rPr>
            </w:pPr>
            <w:hyperlink w:anchor="page6">
              <w:r>
                <w:rPr>
                  <w:rFonts w:ascii="Arial" w:cs="Arial" w:eastAsia="Arial" w:hAnsi="Arial"/>
                  <w:sz w:val="20"/>
                  <w:szCs w:val="20"/>
                  <w:color w:val="0000FF"/>
                  <w:w w:val="82"/>
                </w:rPr>
                <w:t>99.</w:t>
              </w:r>
              <w:r>
                <w:rPr>
                  <w:rFonts w:ascii="Arial" w:cs="Arial" w:eastAsia="Arial" w:hAnsi="Arial"/>
                  <w:sz w:val="20"/>
                  <w:szCs w:val="20"/>
                  <w:u w:val="single" w:color="auto"/>
                  <w:color w:val="0000FF"/>
                  <w:w w:val="82"/>
                </w:rPr>
                <w:t>1</w:t>
              </w:r>
            </w:hyperlink>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w w:val="88"/>
              </w:rPr>
              <w:t>National Vision Holdings, Inc. Press Release dated September 10, 2018</w:t>
            </w:r>
          </w:p>
        </w:tc>
      </w:tr>
    </w:tbl>
    <w:p>
      <w:pPr>
        <w:sectPr>
          <w:pgSz w:w="11900" w:h="16838" w:orient="portrait"/>
          <w:cols w:equalWidth="0" w:num="1">
            <w:col w:w="10179"/>
          </w:cols>
          <w:pgMar w:left="280" w:top="77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34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National Vision Holdings, Inc.</w:t>
            </w:r>
          </w:p>
        </w:tc>
      </w:tr>
      <w:tr>
        <w:trPr>
          <w:trHeight w:val="837"/>
        </w:trPr>
        <w:tc>
          <w:tcPr>
            <w:tcW w:w="3480" w:type="dxa"/>
            <w:vAlign w:val="bottom"/>
          </w:tcPr>
          <w:p>
            <w:pPr>
              <w:spacing w:after="0"/>
              <w:rPr>
                <w:sz w:val="20"/>
                <w:szCs w:val="20"/>
                <w:color w:val="auto"/>
              </w:rPr>
            </w:pPr>
            <w:r>
              <w:rPr>
                <w:rFonts w:ascii="Arial" w:cs="Arial" w:eastAsia="Arial" w:hAnsi="Arial"/>
                <w:sz w:val="20"/>
                <w:szCs w:val="20"/>
                <w:color w:val="auto"/>
              </w:rPr>
              <w:t>Date: September 10, 2018</w:t>
            </w:r>
          </w:p>
        </w:tc>
        <w:tc>
          <w:tcPr>
            <w:tcW w:w="2880" w:type="dxa"/>
            <w:vAlign w:val="bottom"/>
          </w:tcPr>
          <w:p>
            <w:pPr>
              <w:ind w:left="1440"/>
              <w:spacing w:after="0"/>
              <w:rPr>
                <w:sz w:val="20"/>
                <w:szCs w:val="20"/>
                <w:color w:val="auto"/>
              </w:rPr>
            </w:pPr>
            <w:r>
              <w:rPr>
                <w:rFonts w:ascii="Arial" w:cs="Arial" w:eastAsia="Arial" w:hAnsi="Arial"/>
                <w:sz w:val="20"/>
                <w:szCs w:val="20"/>
                <w:color w:val="auto"/>
              </w:rPr>
              <w:t>By:</w:t>
            </w:r>
          </w:p>
        </w:tc>
        <w:tc>
          <w:tcPr>
            <w:tcW w:w="5020" w:type="dxa"/>
            <w:vAlign w:val="bottom"/>
          </w:tcPr>
          <w:p>
            <w:pPr>
              <w:ind w:left="40"/>
              <w:spacing w:after="0"/>
              <w:rPr>
                <w:sz w:val="20"/>
                <w:szCs w:val="20"/>
                <w:color w:val="auto"/>
              </w:rPr>
            </w:pPr>
            <w:r>
              <w:rPr>
                <w:rFonts w:ascii="Arial" w:cs="Arial" w:eastAsia="Arial" w:hAnsi="Arial"/>
                <w:sz w:val="20"/>
                <w:szCs w:val="20"/>
                <w:color w:val="auto"/>
              </w:rPr>
              <w:t>/s/ Patrick R. Moore</w:t>
            </w:r>
          </w:p>
        </w:tc>
      </w:tr>
      <w:tr>
        <w:trPr>
          <w:trHeight w:val="23"/>
        </w:trPr>
        <w:tc>
          <w:tcPr>
            <w:tcW w:w="3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3480" w:type="dxa"/>
            <w:vAlign w:val="bottom"/>
          </w:tcPr>
          <w:p>
            <w:pPr>
              <w:spacing w:after="0"/>
              <w:rPr>
                <w:sz w:val="22"/>
                <w:szCs w:val="22"/>
                <w:color w:val="auto"/>
              </w:rPr>
            </w:pPr>
          </w:p>
        </w:tc>
        <w:tc>
          <w:tcPr>
            <w:tcW w:w="2880" w:type="dxa"/>
            <w:vAlign w:val="bottom"/>
          </w:tcPr>
          <w:p>
            <w:pPr>
              <w:ind w:left="1440"/>
              <w:spacing w:after="0"/>
              <w:rPr>
                <w:sz w:val="20"/>
                <w:szCs w:val="20"/>
                <w:color w:val="auto"/>
              </w:rPr>
            </w:pPr>
            <w:r>
              <w:rPr>
                <w:rFonts w:ascii="Arial" w:cs="Arial" w:eastAsia="Arial" w:hAnsi="Arial"/>
                <w:sz w:val="20"/>
                <w:szCs w:val="20"/>
                <w:color w:val="auto"/>
              </w:rPr>
              <w:t>Name:</w:t>
            </w:r>
          </w:p>
        </w:tc>
        <w:tc>
          <w:tcPr>
            <w:tcW w:w="5020" w:type="dxa"/>
            <w:vAlign w:val="bottom"/>
          </w:tcPr>
          <w:p>
            <w:pPr>
              <w:ind w:left="40"/>
              <w:spacing w:after="0"/>
              <w:rPr>
                <w:sz w:val="20"/>
                <w:szCs w:val="20"/>
                <w:color w:val="auto"/>
              </w:rPr>
            </w:pPr>
            <w:r>
              <w:rPr>
                <w:rFonts w:ascii="Arial" w:cs="Arial" w:eastAsia="Arial" w:hAnsi="Arial"/>
                <w:sz w:val="20"/>
                <w:szCs w:val="20"/>
                <w:color w:val="auto"/>
              </w:rPr>
              <w:t>Patrick R. Moore</w:t>
            </w:r>
          </w:p>
        </w:tc>
      </w:tr>
      <w:tr>
        <w:trPr>
          <w:trHeight w:val="284"/>
        </w:trPr>
        <w:tc>
          <w:tcPr>
            <w:tcW w:w="3480" w:type="dxa"/>
            <w:vAlign w:val="bottom"/>
          </w:tcPr>
          <w:p>
            <w:pPr>
              <w:spacing w:after="0"/>
              <w:rPr>
                <w:sz w:val="24"/>
                <w:szCs w:val="24"/>
                <w:color w:val="auto"/>
              </w:rPr>
            </w:pPr>
          </w:p>
        </w:tc>
        <w:tc>
          <w:tcPr>
            <w:tcW w:w="2880" w:type="dxa"/>
            <w:vAlign w:val="bottom"/>
          </w:tcPr>
          <w:p>
            <w:pPr>
              <w:ind w:left="1440"/>
              <w:spacing w:after="0"/>
              <w:rPr>
                <w:sz w:val="20"/>
                <w:szCs w:val="20"/>
                <w:color w:val="auto"/>
              </w:rPr>
            </w:pPr>
            <w:r>
              <w:rPr>
                <w:rFonts w:ascii="Arial" w:cs="Arial" w:eastAsia="Arial" w:hAnsi="Arial"/>
                <w:sz w:val="20"/>
                <w:szCs w:val="20"/>
                <w:color w:val="auto"/>
              </w:rPr>
              <w:t>Title:</w:t>
            </w:r>
          </w:p>
        </w:tc>
        <w:tc>
          <w:tcPr>
            <w:tcW w:w="5020" w:type="dxa"/>
            <w:vAlign w:val="bottom"/>
          </w:tcPr>
          <w:p>
            <w:pPr>
              <w:ind w:left="40"/>
              <w:spacing w:after="0"/>
              <w:rPr>
                <w:sz w:val="20"/>
                <w:szCs w:val="20"/>
                <w:color w:val="auto"/>
              </w:rPr>
            </w:pPr>
            <w:r>
              <w:rPr>
                <w:rFonts w:ascii="Arial" w:cs="Arial" w:eastAsia="Arial" w:hAnsi="Arial"/>
                <w:sz w:val="20"/>
                <w:szCs w:val="20"/>
                <w:color w:val="auto"/>
              </w:rPr>
              <w:t>Senior Vice President, Chief Financial Officer</w:t>
            </w:r>
          </w:p>
        </w:tc>
      </w:tr>
    </w:tbl>
    <w:p>
      <w:pPr>
        <w:sectPr>
          <w:pgSz w:w="11900" w:h="16838" w:orient="portrait"/>
          <w:cols w:equalWidth="0" w:num="1">
            <w:col w:w="11420"/>
          </w:cols>
          <w:pgMar w:left="240" w:top="77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314325</wp:posOffset>
            </wp:positionV>
            <wp:extent cx="66865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Kristina Gross, National Vision Holdings, Inc.</w:t>
      </w:r>
    </w:p>
    <w:p>
      <w:pPr>
        <w:jc w:val="right"/>
        <w:spacing w:after="0"/>
        <w:rPr>
          <w:sz w:val="20"/>
          <w:szCs w:val="20"/>
          <w:color w:val="auto"/>
        </w:rPr>
      </w:pPr>
      <w:r>
        <w:rPr>
          <w:rFonts w:ascii="Arial" w:cs="Arial" w:eastAsia="Arial" w:hAnsi="Arial"/>
          <w:sz w:val="20"/>
          <w:szCs w:val="20"/>
          <w:u w:val="single" w:color="auto"/>
          <w:color w:val="0563C1"/>
        </w:rPr>
        <w:t>Kristina.gross@nationalvision.com</w:t>
      </w:r>
    </w:p>
    <w:p>
      <w:pPr>
        <w:jc w:val="right"/>
        <w:spacing w:after="0"/>
        <w:rPr>
          <w:sz w:val="20"/>
          <w:szCs w:val="20"/>
          <w:color w:val="auto"/>
        </w:rPr>
      </w:pPr>
      <w:r>
        <w:rPr>
          <w:rFonts w:ascii="Arial" w:cs="Arial" w:eastAsia="Arial" w:hAnsi="Arial"/>
          <w:sz w:val="20"/>
          <w:szCs w:val="20"/>
          <w:color w:val="auto"/>
        </w:rPr>
        <w:t>(470) 448-2355</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Investor Relations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David Mann, National Vision Holdings, Inc.</w:t>
      </w:r>
    </w:p>
    <w:p>
      <w:pPr>
        <w:jc w:val="right"/>
        <w:spacing w:after="0"/>
        <w:rPr>
          <w:sz w:val="20"/>
          <w:szCs w:val="20"/>
          <w:color w:val="auto"/>
        </w:rPr>
      </w:pPr>
      <w:r>
        <w:rPr>
          <w:rFonts w:ascii="Arial" w:cs="Arial" w:eastAsia="Arial" w:hAnsi="Arial"/>
          <w:sz w:val="20"/>
          <w:szCs w:val="20"/>
          <w:u w:val="single" w:color="auto"/>
          <w:color w:val="0563C1"/>
        </w:rPr>
        <w:t>David.mann@nationalvision.com</w:t>
      </w:r>
    </w:p>
    <w:p>
      <w:pPr>
        <w:jc w:val="right"/>
        <w:spacing w:after="0"/>
        <w:rPr>
          <w:sz w:val="20"/>
          <w:szCs w:val="20"/>
          <w:color w:val="auto"/>
        </w:rPr>
      </w:pPr>
      <w:r>
        <w:rPr>
          <w:rFonts w:ascii="Arial" w:cs="Arial" w:eastAsia="Arial" w:hAnsi="Arial"/>
          <w:sz w:val="20"/>
          <w:szCs w:val="20"/>
          <w:color w:val="auto"/>
        </w:rPr>
        <w:t>(470) 448-2448</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Appoints Thomas V. Taylor, Jr.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Board of Directors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Taylor to Serve on Audit and Compensation Committees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Duluth, Ga. (Sept. 10, 2018) </w:t>
      </w:r>
      <w:r>
        <w:rPr>
          <w:rFonts w:ascii="Arial" w:cs="Arial" w:eastAsia="Arial" w:hAnsi="Arial"/>
          <w:sz w:val="20"/>
          <w:szCs w:val="20"/>
          <w:color w:val="auto"/>
        </w:rPr>
        <w:t>- National Vision Holdings, Inc. (NASDAQ: EYE), one of the nation’s largest optical retailers providing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affordable eye care and eyewear, today announced the appointment of Thomas V. Taylor, Jr., Chief Executive Officer of Floor &amp; Decor Holdings, Inc. (Floor &amp; Decor) to its Board of Directors, effective today. Mr. Taylor will serve on the Board’s Audit and Compensation Committees.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delighted to welcome Tom to our Board of Directors,” said Reade Fahs, Chief Executive Officer of National Vision Holdings, Inc. “Tom brings with him decades of experience in both retail and finance. Currently serving as Chief Executive Officer of Floor &amp; Decor, his remarkable leadership has driven proven results for companies such as Home Depot and Sun Capital Partners in both corporate roles and in the boardroom.”</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Taylor has served as Floor &amp; Decor’s Chief Executive Officer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am honored to join National Vision’s Board of Directors,” said Mr. Taylor. “National Vision has firmly established leadership in the optical retail category as one of the fastest growing companies in its category, and one with a big heart. I am excited to have the opportunity to bring my knowledge and perspective to the table to help the company continue to execute on its mission of providing affordable and accessible eye care and eyewear to budget-conscious consumers.”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Vision Holdings, Inc.</w:t>
      </w:r>
    </w:p>
    <w:p>
      <w:pPr>
        <w:spacing w:after="0" w:line="2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 xml:space="preserve">National Vision Holdings, Inc. is one of the largest optical retail companies in the United States with more than 1,000 retail stores in 44 states plus the District of Columbia and Puerto Rico. With a mission of helping people by making quality eye care and eyewear more affordable and accessible, the company operates five retail brands: </w:t>
      </w:r>
      <w:r>
        <w:rPr>
          <w:rFonts w:ascii="Arial" w:cs="Arial" w:eastAsia="Arial" w:hAnsi="Arial"/>
          <w:sz w:val="18"/>
          <w:szCs w:val="18"/>
          <w:u w:val="single" w:color="auto"/>
          <w:color w:val="0563C1"/>
        </w:rPr>
        <w:t>America’s Best Contacts &amp; Eyeglasses</w:t>
      </w:r>
      <w:r>
        <w:rPr>
          <w:rFonts w:ascii="Arial" w:cs="Arial" w:eastAsia="Arial" w:hAnsi="Arial"/>
          <w:sz w:val="18"/>
          <w:szCs w:val="18"/>
          <w:color w:val="auto"/>
        </w:rPr>
        <w:t xml:space="preserve">, </w:t>
      </w:r>
      <w:r>
        <w:rPr>
          <w:rFonts w:ascii="Arial" w:cs="Arial" w:eastAsia="Arial" w:hAnsi="Arial"/>
          <w:sz w:val="18"/>
          <w:szCs w:val="18"/>
          <w:u w:val="single" w:color="auto"/>
          <w:color w:val="0563C1"/>
        </w:rPr>
        <w:t>Eyeglass World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Vision Centers</w:t>
      </w:r>
      <w:r>
        <w:rPr>
          <w:rFonts w:ascii="Arial" w:cs="Arial" w:eastAsia="Arial" w:hAnsi="Arial"/>
          <w:sz w:val="18"/>
          <w:szCs w:val="18"/>
          <w:color w:val="auto"/>
        </w:rPr>
        <w:t xml:space="preserve"> inside select Walmart stores, </w:t>
      </w:r>
      <w:r>
        <w:rPr>
          <w:rFonts w:ascii="Arial" w:cs="Arial" w:eastAsia="Arial" w:hAnsi="Arial"/>
          <w:sz w:val="18"/>
          <w:szCs w:val="18"/>
          <w:u w:val="single" w:color="auto"/>
          <w:color w:val="0563C1"/>
        </w:rPr>
        <w:t>Vista Opticals inside Fred Meyer</w:t>
      </w:r>
      <w:r>
        <w:rPr>
          <w:rFonts w:ascii="Arial" w:cs="Arial" w:eastAsia="Arial" w:hAnsi="Arial"/>
          <w:sz w:val="18"/>
          <w:szCs w:val="18"/>
          <w:color w:val="auto"/>
        </w:rPr>
        <w:t xml:space="preserve"> stores and on </w:t>
      </w:r>
      <w:r>
        <w:rPr>
          <w:rFonts w:ascii="Arial" w:cs="Arial" w:eastAsia="Arial" w:hAnsi="Arial"/>
          <w:sz w:val="18"/>
          <w:szCs w:val="18"/>
          <w:u w:val="single" w:color="auto"/>
          <w:color w:val="0563C1"/>
        </w:rPr>
        <w:t>select military bases</w:t>
      </w:r>
      <w:r>
        <w:rPr>
          <w:rFonts w:ascii="Arial" w:cs="Arial" w:eastAsia="Arial" w:hAnsi="Arial"/>
          <w:sz w:val="18"/>
          <w:szCs w:val="18"/>
          <w:color w:val="auto"/>
        </w:rPr>
        <w:t xml:space="preserve">, and several e-commerce websites, offering a variety of products and services for customers’ eye care needs. For more information, please visit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1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2019-12-28T19:32:20Z</dcterms:created>
  <dcterms:modified xsi:type="dcterms:W3CDTF">2019-12-28T19:32:20Z</dcterms:modified>
</cp:coreProperties>
</file>