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00341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662940</wp:posOffset>
            </wp:positionV>
            <wp:extent cx="7003415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FORM 8-K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CURRENT REPORT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Date of Report (Date of Earliest Event reported):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June 17, 2022 (June 15, 2022)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National Vision Holdings,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1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5460" w:type="dxa"/>
            <w:vAlign w:val="bottom"/>
          </w:tcPr>
          <w:p>
            <w:pPr>
              <w:jc w:val="center"/>
              <w:ind w:left="18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Commission file number 001-38257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24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Delaware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46-4841717</w:t>
            </w:r>
          </w:p>
        </w:tc>
      </w:tr>
      <w:tr>
        <w:trPr>
          <w:trHeight w:val="208"/>
        </w:trPr>
        <w:tc>
          <w:tcPr>
            <w:tcW w:w="5460" w:type="dxa"/>
            <w:vAlign w:val="bottom"/>
          </w:tcPr>
          <w:p>
            <w:pPr>
              <w:jc w:val="center"/>
              <w:ind w:right="2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(State or other jurisdiction of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(I.R.S. Employer</w:t>
            </w:r>
          </w:p>
        </w:tc>
      </w:tr>
      <w:tr>
        <w:trPr>
          <w:trHeight w:val="210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incorporation or organization)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Identification No.)</w:t>
            </w:r>
          </w:p>
        </w:tc>
      </w:tr>
      <w:tr>
        <w:trPr>
          <w:trHeight w:val="364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2435 Commerce Ave.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5460" w:type="dxa"/>
            <w:vAlign w:val="bottom"/>
          </w:tcPr>
          <w:p>
            <w:pPr>
              <w:jc w:val="center"/>
              <w:ind w:right="2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Building 2200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30096</w:t>
            </w:r>
          </w:p>
        </w:tc>
      </w:tr>
      <w:tr>
        <w:trPr>
          <w:trHeight w:val="216"/>
        </w:trPr>
        <w:tc>
          <w:tcPr>
            <w:tcW w:w="5460" w:type="dxa"/>
            <w:vAlign w:val="bottom"/>
          </w:tcPr>
          <w:p>
            <w:pPr>
              <w:jc w:val="center"/>
              <w:ind w:right="2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Duluth, Georgia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(Zip Code)</w:t>
            </w:r>
          </w:p>
        </w:tc>
      </w:tr>
      <w:tr>
        <w:trPr>
          <w:trHeight w:val="216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(Address of principal executive offices)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6"/>
        </w:trPr>
        <w:tc>
          <w:tcPr>
            <w:tcW w:w="5460" w:type="dxa"/>
            <w:vAlign w:val="bottom"/>
          </w:tcPr>
          <w:p>
            <w:pPr>
              <w:jc w:val="center"/>
              <w:ind w:left="1839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(770) 822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  <w:strike w:val="1"/>
              </w:rPr>
              <w:t>‑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3600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0"/>
        </w:trPr>
        <w:tc>
          <w:tcPr>
            <w:tcW w:w="5460" w:type="dxa"/>
            <w:vAlign w:val="bottom"/>
          </w:tcPr>
          <w:p>
            <w:pPr>
              <w:jc w:val="center"/>
              <w:ind w:left="18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(Registrant’s telephone number, including area code)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right="58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8−K filing is intended to simultaneously satisfy the filing obligation of the registrant under any of the following provisions: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230.42)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6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6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Securities registered pursuant to Section 12(b) of the Act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5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Title of each class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Trading Symbol(s)</w:t>
            </w:r>
          </w:p>
        </w:tc>
        <w:tc>
          <w:tcPr>
            <w:tcW w:w="4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Name of each exchange on which registered</w:t>
            </w:r>
          </w:p>
        </w:tc>
      </w:tr>
      <w:tr>
        <w:trPr>
          <w:trHeight w:val="228"/>
        </w:trPr>
        <w:tc>
          <w:tcPr>
            <w:tcW w:w="41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Common stock, par value $0.01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EYE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Nasdaq</w:t>
            </w: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right="4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is an emerging growth company as defined in Rule 405 of the Securities Act of 1933 (§230.405 of this chapter) or Rule 12b-2 of the Securities Exchange Act of 1934 (§240.12b-2 of this chapter).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Emerging growth company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an emerging growth company, indicate by check mark if the registrant has elected not to use the extended transition period for complying with any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or revised financial accounting standards provided pursuant to Section 13(a) of the Exchange Act.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1170940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120650</wp:posOffset>
            </wp:positionV>
            <wp:extent cx="7003415" cy="2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94615</wp:posOffset>
            </wp:positionV>
            <wp:extent cx="70034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1190" w:right="39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5.07 Submission of Matters to a Vote of Security Holders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15, 2022, National Vision Holdings, Inc. (“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National Vision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 or 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held its 2022 annual meeting of stockholders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Annual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Meeting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matters submitted to stockholders at the Annual Meeting and the voting results are as follows: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Proposal 1: Election of Directors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Stockholders elected three director nominees to hold office for terms expiring at the 2023 annual meeting of stockholders and until his or her successor is duly elected and qualified.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Nominee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For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jc w:val="center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Withheld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Broker Non-Votes</w:t>
            </w:r>
          </w:p>
        </w:tc>
      </w:tr>
      <w:tr>
        <w:trPr>
          <w:trHeight w:val="20"/>
        </w:trPr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D. Randolph Peeler</w:t>
            </w:r>
          </w:p>
        </w:tc>
        <w:tc>
          <w:tcPr>
            <w:tcW w:w="302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76,990,362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515,043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1,489,957</w:t>
            </w:r>
          </w:p>
        </w:tc>
      </w:tr>
      <w:tr>
        <w:trPr>
          <w:trHeight w:val="257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Heather Cianfrocco</w:t>
            </w:r>
          </w:p>
        </w:tc>
        <w:tc>
          <w:tcPr>
            <w:tcW w:w="302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77,014,901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490,504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1,489,957</w:t>
            </w:r>
          </w:p>
        </w:tc>
      </w:tr>
      <w:tr>
        <w:trPr>
          <w:trHeight w:val="257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Jose Armario</w:t>
            </w:r>
          </w:p>
        </w:tc>
        <w:tc>
          <w:tcPr>
            <w:tcW w:w="302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77,100,417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404,988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1,489,957</w:t>
            </w:r>
          </w:p>
        </w:tc>
      </w:tr>
    </w:tbl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Proposal 2: Advisory Vote on Executive Compensation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Stockholders approved, on a non-binding advisory basis, the compensation paid to the Company’s named executive officers.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tbl>
      <w:tblPr>
        <w:tblLayout w:type="fixed"/>
        <w:tblInd w:w="3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For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Against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Abstained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Broker Non-Votes</w:t>
            </w:r>
          </w:p>
        </w:tc>
      </w:tr>
      <w:tr>
        <w:trPr>
          <w:trHeight w:val="20"/>
        </w:trPr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480" w:type="dxa"/>
            <w:vAlign w:val="bottom"/>
            <w:gridSpan w:val="3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73,471,180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3,959,018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75,207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1,489,957</w:t>
            </w:r>
          </w:p>
        </w:tc>
      </w:tr>
    </w:tbl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Proposal 3: Ratification of the Appointment of the Independent Registered Public Accounting Firm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Stockholders ratified the appointment of Deloitte &amp; Touche LLP as the Company’s independent registered public accounting firm for fiscal 2022.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For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Against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Abstained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Broker Non-Votes</w:t>
            </w:r>
          </w:p>
        </w:tc>
      </w:tr>
      <w:tr>
        <w:trPr>
          <w:trHeight w:val="20"/>
        </w:trPr>
        <w:tc>
          <w:tcPr>
            <w:tcW w:w="4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300" w:type="dxa"/>
            <w:vAlign w:val="bottom"/>
            <w:gridSpan w:val="3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77,208,669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1,737,915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48,778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22"/>
        </w:trPr>
        <w:tc>
          <w:tcPr>
            <w:tcW w:w="4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887" w:right="339" w:bottom="1440" w:gutter="0" w:footer="0" w:header="0"/>
        </w:sectPr>
      </w:pPr>
    </w:p>
    <w:bookmarkStart w:id="2" w:name="page3"/>
    <w:bookmarkEnd w:id="2"/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4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National Vision Holdings, Inc.</w:t>
            </w:r>
          </w:p>
        </w:tc>
      </w:tr>
      <w:tr>
        <w:trPr>
          <w:trHeight w:val="391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June 17, 2022</w:t>
            </w:r>
          </w:p>
        </w:tc>
        <w:tc>
          <w:tcPr>
            <w:tcW w:w="2680" w:type="dxa"/>
            <w:vAlign w:val="bottom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Jared Brandman</w:t>
            </w:r>
          </w:p>
        </w:tc>
      </w:tr>
      <w:tr>
        <w:trPr>
          <w:trHeight w:val="218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Jared Brandman</w:t>
            </w:r>
          </w:p>
        </w:tc>
      </w:tr>
      <w:tr>
        <w:trPr>
          <w:trHeight w:val="23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Senior Vice President, General Counsel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960"/>
      </w:cols>
      <w:pgMar w:left="320" w:top="887" w:right="6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2022-06-17T14:01:36Z</dcterms:created>
  <dcterms:modified xsi:type="dcterms:W3CDTF">2022-06-17T14:01:36Z</dcterms:modified>
</cp:coreProperties>
</file>