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Brandman Jared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National Vision Holdings,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GC and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03/05/2021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210820</wp:posOffset>
            </wp:positionV>
            <wp:extent cx="6967220" cy="8820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88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54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54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14,091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45.66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3,779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3,779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NVHI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three equal annual installments beginning on the first anniversary of the grant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beginning on the first anniversary of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Jared Brandman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03/09/2021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67639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2021-03-09T15:50:36Z</dcterms:created>
  <dcterms:modified xsi:type="dcterms:W3CDTF">2021-03-09T15:50:36Z</dcterms:modified>
</cp:coreProperties>
</file>