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Clark Bill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500"/>
        <w:spacing w:after="0" w:line="379"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6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420" w:type="dxa"/>
            <w:vAlign w:val="bottom"/>
            <w:tcBorders>
              <w:bottom w:val="single" w:sz="8" w:color="2C2C2C"/>
            </w:tcBorders>
          </w:tcPr>
          <w:p>
            <w:pPr>
              <w:spacing w:after="0"/>
              <w:rPr>
                <w:sz w:val="16"/>
                <w:szCs w:val="16"/>
                <w:color w:val="auto"/>
              </w:rPr>
            </w:pPr>
          </w:p>
        </w:tc>
        <w:tc>
          <w:tcPr>
            <w:tcW w:w="120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SVP, Chief People Officer</w:t>
            </w:r>
          </w:p>
        </w:tc>
        <w:tc>
          <w:tcPr>
            <w:tcW w:w="0" w:type="dxa"/>
            <w:vAlign w:val="bottom"/>
          </w:tcPr>
          <w:p>
            <w:pPr>
              <w:spacing w:after="0"/>
              <w:rPr>
                <w:sz w:val="1"/>
                <w:szCs w:val="1"/>
                <w:color w:val="auto"/>
              </w:rPr>
            </w:pPr>
          </w:p>
        </w:tc>
      </w:tr>
      <w:tr>
        <w:trPr>
          <w:trHeight w:val="215"/>
        </w:trPr>
        <w:tc>
          <w:tcPr>
            <w:tcW w:w="2620" w:type="dxa"/>
            <w:vAlign w:val="bottom"/>
            <w:gridSpan w:val="3"/>
          </w:tcPr>
          <w:p>
            <w:pPr>
              <w:ind w:left="60"/>
              <w:spacing w:after="0"/>
              <w:rPr>
                <w:sz w:val="20"/>
                <w:szCs w:val="20"/>
                <w:color w:val="auto"/>
              </w:rPr>
            </w:pPr>
            <w:r>
              <w:rPr>
                <w:rFonts w:ascii="Arial" w:cs="Arial" w:eastAsia="Arial" w:hAnsi="Arial"/>
                <w:sz w:val="17"/>
                <w:szCs w:val="17"/>
                <w:color w:val="0000FF"/>
              </w:rPr>
              <w:t>11/18/2021</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11/18/2021</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5,488</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right"/>
              <w:ind w:right="4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0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5,982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11/18/2021</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Arial" w:cs="Arial" w:eastAsia="Arial" w:hAnsi="Arial"/>
                <w:sz w:val="13"/>
                <w:szCs w:val="13"/>
                <w:color w:val="0000FF"/>
              </w:rPr>
              <w:t>F</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1,652</w:t>
            </w:r>
          </w:p>
        </w:tc>
        <w:tc>
          <w:tcPr>
            <w:tcW w:w="620" w:type="dxa"/>
            <w:vAlign w:val="bottom"/>
          </w:tcPr>
          <w:p>
            <w:pPr>
              <w:ind w:left="400"/>
              <w:spacing w:after="0"/>
              <w:rPr>
                <w:sz w:val="20"/>
                <w:szCs w:val="20"/>
                <w:color w:val="auto"/>
              </w:rPr>
            </w:pPr>
            <w:r>
              <w:rPr>
                <w:rFonts w:ascii="Arial" w:cs="Arial" w:eastAsia="Arial" w:hAnsi="Arial"/>
                <w:sz w:val="17"/>
                <w:szCs w:val="17"/>
                <w:color w:val="0000FF"/>
              </w:rPr>
              <w:t>D</w:t>
            </w:r>
          </w:p>
        </w:tc>
        <w:tc>
          <w:tcPr>
            <w:tcW w:w="520" w:type="dxa"/>
            <w:vAlign w:val="bottom"/>
          </w:tcPr>
          <w:p>
            <w:pPr>
              <w:jc w:val="right"/>
              <w:spacing w:after="0"/>
              <w:rPr>
                <w:sz w:val="20"/>
                <w:szCs w:val="20"/>
                <w:color w:val="auto"/>
              </w:rPr>
            </w:pPr>
            <w:r>
              <w:rPr>
                <w:rFonts w:ascii="Arial" w:cs="Arial" w:eastAsia="Arial" w:hAnsi="Arial"/>
                <w:sz w:val="11"/>
                <w:szCs w:val="11"/>
                <w:color w:val="008000"/>
              </w:rPr>
              <w:t>(2)</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Arial" w:cs="Arial" w:eastAsia="Arial" w:hAnsi="Arial"/>
                <w:sz w:val="17"/>
                <w:szCs w:val="17"/>
                <w:color w:val="0000FF"/>
              </w:rPr>
              <w:t>4,330</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5,488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11/18/2021</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880" w:type="dxa"/>
            <w:vAlign w:val="bottom"/>
            <w:vMerge w:val="restart"/>
          </w:tcPr>
          <w:p>
            <w:pPr>
              <w:ind w:left="460"/>
              <w:spacing w:after="0" w:line="143" w:lineRule="exact"/>
              <w:rPr>
                <w:sz w:val="20"/>
                <w:szCs w:val="20"/>
                <w:color w:val="auto"/>
              </w:rPr>
            </w:pPr>
            <w:r>
              <w:rPr>
                <w:rFonts w:ascii="Arial" w:cs="Arial" w:eastAsia="Arial" w:hAnsi="Arial"/>
                <w:sz w:val="13"/>
                <w:szCs w:val="13"/>
                <w:color w:val="0000FF"/>
              </w:rPr>
              <w:t>5,488</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8,938</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40" w:right="26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November 18, 2021, 5,488 restricted stock units vested and 1,652 shares of the Company's common stock were withheld to satisfy tax withholding obligations. The closing price on November 18, 2021 of the Company's common stock on NASDAQ was $48.330 per share.</w:t>
      </w:r>
    </w:p>
    <w:p>
      <w:pPr>
        <w:spacing w:after="0" w:line="24" w:lineRule="exact"/>
        <w:rPr>
          <w:rFonts w:ascii="Arial" w:cs="Arial" w:eastAsia="Arial" w:hAnsi="Arial"/>
          <w:sz w:val="13"/>
          <w:szCs w:val="13"/>
          <w:color w:val="008000"/>
        </w:rPr>
      </w:pPr>
    </w:p>
    <w:p>
      <w:pPr>
        <w:ind w:left="40" w:right="52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November 18, 2019, the reporting person was granted 5,488 restricted stock units, which will vest in three installments, with 5,488 shares vesting on the second anniversary of the grant date, 2,744 sharesvesting on the third anniversary of the grant date and 2,745 shares vesting on the fourth anniversary of the grant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Jared Brandman, as</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11/22/2021</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8111"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2021-11-22T15:43:29Z</dcterms:created>
  <dcterms:modified xsi:type="dcterms:W3CDTF">2021-11-22T15:43:29Z</dcterms:modified>
</cp:coreProperties>
</file>