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July 26, 2018</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194310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219075</wp:posOffset>
            </wp:positionV>
            <wp:extent cx="108902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8902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S-1</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228600</wp:posOffset>
            </wp:positionV>
            <wp:extent cx="108902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8902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National Vision Holdings,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227965</wp:posOffset>
            </wp:positionV>
            <wp:extent cx="108902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8902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8" w:lineRule="exact"/>
        <w:rPr>
          <w:sz w:val="24"/>
          <w:szCs w:val="24"/>
          <w:color w:val="auto"/>
        </w:rPr>
      </w:pPr>
    </w:p>
    <w:tbl>
      <w:tblPr>
        <w:tblLayout w:type="fixed"/>
        <w:tblInd w:w="660" w:type="dxa"/>
        <w:tblCellMar>
          <w:top w:w="0" w:type="dxa"/>
          <w:left w:w="0" w:type="dxa"/>
          <w:bottom w:w="0" w:type="dxa"/>
          <w:right w:w="0" w:type="dxa"/>
        </w:tblCellMar>
      </w:tblPr>
      <w:tr>
        <w:trPr>
          <w:trHeight w:val="216"/>
        </w:trPr>
        <w:tc>
          <w:tcPr>
            <w:tcW w:w="3080" w:type="dxa"/>
            <w:vAlign w:val="bottom"/>
          </w:tcPr>
          <w:p>
            <w:pPr>
              <w:jc w:val="center"/>
              <w:ind w:right="630"/>
              <w:spacing w:after="0"/>
              <w:rPr>
                <w:sz w:val="20"/>
                <w:szCs w:val="20"/>
                <w:color w:val="auto"/>
              </w:rPr>
            </w:pPr>
            <w:r>
              <w:rPr>
                <w:rFonts w:ascii="Arial" w:cs="Arial" w:eastAsia="Arial" w:hAnsi="Arial"/>
                <w:sz w:val="18"/>
                <w:szCs w:val="18"/>
                <w:b w:val="1"/>
                <w:bCs w:val="1"/>
                <w:color w:val="auto"/>
                <w:w w:val="91"/>
              </w:rPr>
              <w:t>Delaware</w:t>
            </w:r>
          </w:p>
        </w:tc>
        <w:tc>
          <w:tcPr>
            <w:tcW w:w="394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3851</w:t>
            </w:r>
          </w:p>
        </w:tc>
        <w:tc>
          <w:tcPr>
            <w:tcW w:w="2700" w:type="dxa"/>
            <w:vAlign w:val="bottom"/>
          </w:tcPr>
          <w:p>
            <w:pPr>
              <w:jc w:val="center"/>
              <w:ind w:left="810"/>
              <w:spacing w:after="0"/>
              <w:rPr>
                <w:sz w:val="20"/>
                <w:szCs w:val="20"/>
                <w:color w:val="auto"/>
              </w:rPr>
            </w:pPr>
            <w:r>
              <w:rPr>
                <w:rFonts w:ascii="Arial" w:cs="Arial" w:eastAsia="Arial" w:hAnsi="Arial"/>
                <w:sz w:val="18"/>
                <w:szCs w:val="18"/>
                <w:b w:val="1"/>
                <w:bCs w:val="1"/>
                <w:color w:val="auto"/>
                <w:w w:val="91"/>
              </w:rPr>
              <w:t>46-4841717</w:t>
            </w:r>
          </w:p>
        </w:tc>
      </w:tr>
      <w:tr>
        <w:trPr>
          <w:trHeight w:val="216"/>
        </w:trPr>
        <w:tc>
          <w:tcPr>
            <w:tcW w:w="3080" w:type="dxa"/>
            <w:vAlign w:val="bottom"/>
          </w:tcPr>
          <w:p>
            <w:pPr>
              <w:jc w:val="center"/>
              <w:ind w:right="630"/>
              <w:spacing w:after="0"/>
              <w:rPr>
                <w:sz w:val="20"/>
                <w:szCs w:val="20"/>
                <w:color w:val="auto"/>
              </w:rPr>
            </w:pPr>
            <w:r>
              <w:rPr>
                <w:rFonts w:ascii="Arial" w:cs="Arial" w:eastAsia="Arial" w:hAnsi="Arial"/>
                <w:sz w:val="18"/>
                <w:szCs w:val="18"/>
                <w:b w:val="1"/>
                <w:bCs w:val="1"/>
                <w:color w:val="auto"/>
                <w:w w:val="90"/>
              </w:rPr>
              <w:t>(State or other jurisdiction of</w:t>
            </w:r>
          </w:p>
        </w:tc>
        <w:tc>
          <w:tcPr>
            <w:tcW w:w="3940" w:type="dxa"/>
            <w:vAlign w:val="bottom"/>
          </w:tcPr>
          <w:p>
            <w:pPr>
              <w:jc w:val="center"/>
              <w:ind w:right="110"/>
              <w:spacing w:after="0"/>
              <w:rPr>
                <w:sz w:val="20"/>
                <w:szCs w:val="20"/>
                <w:color w:val="auto"/>
              </w:rPr>
            </w:pPr>
            <w:r>
              <w:rPr>
                <w:rFonts w:ascii="Arial" w:cs="Arial" w:eastAsia="Arial" w:hAnsi="Arial"/>
                <w:sz w:val="18"/>
                <w:szCs w:val="18"/>
                <w:b w:val="1"/>
                <w:bCs w:val="1"/>
                <w:color w:val="auto"/>
                <w:w w:val="94"/>
              </w:rPr>
              <w:t>(Primary Standard Industrial</w:t>
            </w:r>
          </w:p>
        </w:tc>
        <w:tc>
          <w:tcPr>
            <w:tcW w:w="2700" w:type="dxa"/>
            <w:vAlign w:val="bottom"/>
          </w:tcPr>
          <w:p>
            <w:pPr>
              <w:jc w:val="center"/>
              <w:ind w:left="83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3080" w:type="dxa"/>
            <w:vAlign w:val="bottom"/>
          </w:tcPr>
          <w:p>
            <w:pPr>
              <w:jc w:val="center"/>
              <w:ind w:right="630"/>
              <w:spacing w:after="0"/>
              <w:rPr>
                <w:sz w:val="20"/>
                <w:szCs w:val="20"/>
                <w:color w:val="auto"/>
              </w:rPr>
            </w:pPr>
            <w:r>
              <w:rPr>
                <w:rFonts w:ascii="Arial" w:cs="Arial" w:eastAsia="Arial" w:hAnsi="Arial"/>
                <w:sz w:val="18"/>
                <w:szCs w:val="18"/>
                <w:b w:val="1"/>
                <w:bCs w:val="1"/>
                <w:color w:val="auto"/>
                <w:w w:val="91"/>
              </w:rPr>
              <w:t>incorporation or organization)</w:t>
            </w:r>
          </w:p>
        </w:tc>
        <w:tc>
          <w:tcPr>
            <w:tcW w:w="394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Classification Code Number)</w:t>
            </w:r>
          </w:p>
        </w:tc>
        <w:tc>
          <w:tcPr>
            <w:tcW w:w="2700" w:type="dxa"/>
            <w:vAlign w:val="bottom"/>
          </w:tcPr>
          <w:p>
            <w:pPr>
              <w:jc w:val="center"/>
              <w:ind w:left="810"/>
              <w:spacing w:after="0"/>
              <w:rPr>
                <w:sz w:val="20"/>
                <w:szCs w:val="20"/>
                <w:color w:val="auto"/>
              </w:rPr>
            </w:pPr>
            <w:r>
              <w:rPr>
                <w:rFonts w:ascii="Arial" w:cs="Arial" w:eastAsia="Arial" w:hAnsi="Arial"/>
                <w:sz w:val="18"/>
                <w:szCs w:val="18"/>
                <w:b w:val="1"/>
                <w:bCs w:val="1"/>
                <w:color w:val="auto"/>
                <w:w w:val="94"/>
              </w:rPr>
              <w:t>Identification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222885</wp:posOffset>
            </wp:positionV>
            <wp:extent cx="108902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8902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2435 Commerce Avenue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Bldg. 2200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Duluth, Georgia 30096-4980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Telephone: 770-822-3600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228600</wp:posOffset>
            </wp:positionV>
            <wp:extent cx="108902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8902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Mitchell Goodman, Esq.</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Senior Vice President, General Counsel and Secretary</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2435 Commerce Avenue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Bldg. 2200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Duluth, Georgia 30096-4980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Telephone: 770-822-4208</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228600</wp:posOffset>
            </wp:positionV>
            <wp:extent cx="108902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8902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4" w:lineRule="exact"/>
        <w:rPr>
          <w:sz w:val="24"/>
          <w:szCs w:val="24"/>
          <w:color w:val="auto"/>
        </w:rPr>
      </w:pPr>
    </w:p>
    <w:tbl>
      <w:tblPr>
        <w:tblLayout w:type="fixed"/>
        <w:tblInd w:w="1520" w:type="dxa"/>
        <w:tblCellMar>
          <w:top w:w="0" w:type="dxa"/>
          <w:left w:w="0" w:type="dxa"/>
          <w:bottom w:w="0" w:type="dxa"/>
          <w:right w:w="0" w:type="dxa"/>
        </w:tblCellMar>
      </w:tblPr>
      <w:tr>
        <w:trPr>
          <w:trHeight w:val="230"/>
        </w:trPr>
        <w:tc>
          <w:tcPr>
            <w:tcW w:w="3340" w:type="dxa"/>
            <w:vAlign w:val="bottom"/>
          </w:tcPr>
          <w:p>
            <w:pPr>
              <w:spacing w:after="0"/>
              <w:rPr>
                <w:sz w:val="20"/>
                <w:szCs w:val="20"/>
                <w:color w:val="auto"/>
              </w:rPr>
            </w:pPr>
          </w:p>
        </w:tc>
        <w:tc>
          <w:tcPr>
            <w:tcW w:w="4920" w:type="dxa"/>
            <w:vAlign w:val="bottom"/>
            <w:gridSpan w:val="2"/>
          </w:tcPr>
          <w:p>
            <w:pPr>
              <w:ind w:left="300"/>
              <w:spacing w:after="0"/>
              <w:rPr>
                <w:sz w:val="20"/>
                <w:szCs w:val="20"/>
                <w:color w:val="auto"/>
              </w:rPr>
            </w:pPr>
            <w:r>
              <w:rPr>
                <w:rFonts w:ascii="Arial" w:cs="Arial" w:eastAsia="Arial" w:hAnsi="Arial"/>
                <w:sz w:val="18"/>
                <w:szCs w:val="18"/>
                <w:b w:val="1"/>
                <w:bCs w:val="1"/>
                <w:i w:val="1"/>
                <w:iCs w:val="1"/>
                <w:color w:val="auto"/>
              </w:rPr>
              <w:t>With copies to:</w:t>
            </w:r>
          </w:p>
        </w:tc>
      </w:tr>
      <w:tr>
        <w:trPr>
          <w:trHeight w:val="441"/>
        </w:trPr>
        <w:tc>
          <w:tcPr>
            <w:tcW w:w="3340" w:type="dxa"/>
            <w:vAlign w:val="bottom"/>
          </w:tcPr>
          <w:p>
            <w:pPr>
              <w:jc w:val="center"/>
              <w:ind w:right="650"/>
              <w:spacing w:after="0"/>
              <w:rPr>
                <w:sz w:val="20"/>
                <w:szCs w:val="20"/>
                <w:color w:val="auto"/>
              </w:rPr>
            </w:pPr>
            <w:r>
              <w:rPr>
                <w:rFonts w:ascii="Arial" w:cs="Arial" w:eastAsia="Arial" w:hAnsi="Arial"/>
                <w:sz w:val="18"/>
                <w:szCs w:val="18"/>
                <w:b w:val="1"/>
                <w:bCs w:val="1"/>
                <w:color w:val="auto"/>
                <w:w w:val="90"/>
              </w:rPr>
              <w:t>Joseph H. Kaufman, Esq.</w:t>
            </w:r>
          </w:p>
        </w:tc>
        <w:tc>
          <w:tcPr>
            <w:tcW w:w="1720" w:type="dxa"/>
            <w:vAlign w:val="bottom"/>
          </w:tcPr>
          <w:p>
            <w:pPr>
              <w:spacing w:after="0"/>
              <w:rPr>
                <w:sz w:val="24"/>
                <w:szCs w:val="24"/>
                <w:color w:val="auto"/>
              </w:rPr>
            </w:pPr>
          </w:p>
        </w:tc>
        <w:tc>
          <w:tcPr>
            <w:tcW w:w="3200" w:type="dxa"/>
            <w:vAlign w:val="bottom"/>
          </w:tcPr>
          <w:p>
            <w:pPr>
              <w:jc w:val="center"/>
              <w:ind w:left="592"/>
              <w:spacing w:after="0"/>
              <w:rPr>
                <w:sz w:val="20"/>
                <w:szCs w:val="20"/>
                <w:color w:val="auto"/>
              </w:rPr>
            </w:pPr>
            <w:r>
              <w:rPr>
                <w:rFonts w:ascii="Arial" w:cs="Arial" w:eastAsia="Arial" w:hAnsi="Arial"/>
                <w:sz w:val="18"/>
                <w:szCs w:val="18"/>
                <w:b w:val="1"/>
                <w:bCs w:val="1"/>
                <w:color w:val="auto"/>
                <w:w w:val="92"/>
              </w:rPr>
              <w:t>Marc D. Jaffe, Esq.</w:t>
            </w:r>
          </w:p>
        </w:tc>
      </w:tr>
      <w:tr>
        <w:trPr>
          <w:trHeight w:val="216"/>
        </w:trPr>
        <w:tc>
          <w:tcPr>
            <w:tcW w:w="3340" w:type="dxa"/>
            <w:vAlign w:val="bottom"/>
          </w:tcPr>
          <w:p>
            <w:pPr>
              <w:jc w:val="center"/>
              <w:ind w:right="670"/>
              <w:spacing w:after="0"/>
              <w:rPr>
                <w:sz w:val="20"/>
                <w:szCs w:val="20"/>
                <w:color w:val="auto"/>
              </w:rPr>
            </w:pPr>
            <w:r>
              <w:rPr>
                <w:rFonts w:ascii="Arial" w:cs="Arial" w:eastAsia="Arial" w:hAnsi="Arial"/>
                <w:sz w:val="18"/>
                <w:szCs w:val="18"/>
                <w:b w:val="1"/>
                <w:bCs w:val="1"/>
                <w:color w:val="auto"/>
                <w:w w:val="93"/>
              </w:rPr>
              <w:t>Simpson Thacher &amp; Bartlett LLP</w:t>
            </w:r>
          </w:p>
        </w:tc>
        <w:tc>
          <w:tcPr>
            <w:tcW w:w="1720" w:type="dxa"/>
            <w:vAlign w:val="bottom"/>
          </w:tcPr>
          <w:p>
            <w:pPr>
              <w:spacing w:after="0"/>
              <w:rPr>
                <w:sz w:val="18"/>
                <w:szCs w:val="18"/>
                <w:color w:val="auto"/>
              </w:rPr>
            </w:pPr>
          </w:p>
        </w:tc>
        <w:tc>
          <w:tcPr>
            <w:tcW w:w="3200" w:type="dxa"/>
            <w:vAlign w:val="bottom"/>
          </w:tcPr>
          <w:p>
            <w:pPr>
              <w:jc w:val="center"/>
              <w:ind w:left="592"/>
              <w:spacing w:after="0"/>
              <w:rPr>
                <w:sz w:val="20"/>
                <w:szCs w:val="20"/>
                <w:color w:val="auto"/>
              </w:rPr>
            </w:pPr>
            <w:r>
              <w:rPr>
                <w:rFonts w:ascii="Arial" w:cs="Arial" w:eastAsia="Arial" w:hAnsi="Arial"/>
                <w:sz w:val="18"/>
                <w:szCs w:val="18"/>
                <w:b w:val="1"/>
                <w:bCs w:val="1"/>
                <w:color w:val="auto"/>
                <w:w w:val="91"/>
              </w:rPr>
              <w:t>Ian D. Schuman, Esq.</w:t>
            </w:r>
          </w:p>
        </w:tc>
      </w:tr>
      <w:tr>
        <w:trPr>
          <w:trHeight w:val="206"/>
        </w:trPr>
        <w:tc>
          <w:tcPr>
            <w:tcW w:w="3340" w:type="dxa"/>
            <w:vAlign w:val="bottom"/>
          </w:tcPr>
          <w:p>
            <w:pPr>
              <w:jc w:val="center"/>
              <w:ind w:right="670"/>
              <w:spacing w:after="0"/>
              <w:rPr>
                <w:sz w:val="20"/>
                <w:szCs w:val="20"/>
                <w:color w:val="auto"/>
              </w:rPr>
            </w:pPr>
            <w:r>
              <w:rPr>
                <w:rFonts w:ascii="Arial" w:cs="Arial" w:eastAsia="Arial" w:hAnsi="Arial"/>
                <w:sz w:val="18"/>
                <w:szCs w:val="18"/>
                <w:b w:val="1"/>
                <w:bCs w:val="1"/>
                <w:color w:val="auto"/>
                <w:w w:val="88"/>
              </w:rPr>
              <w:t>425 Lexington Avenue</w:t>
            </w:r>
          </w:p>
        </w:tc>
        <w:tc>
          <w:tcPr>
            <w:tcW w:w="1720" w:type="dxa"/>
            <w:vAlign w:val="bottom"/>
          </w:tcPr>
          <w:p>
            <w:pPr>
              <w:spacing w:after="0"/>
              <w:rPr>
                <w:sz w:val="17"/>
                <w:szCs w:val="17"/>
                <w:color w:val="auto"/>
              </w:rPr>
            </w:pPr>
          </w:p>
        </w:tc>
        <w:tc>
          <w:tcPr>
            <w:tcW w:w="3200" w:type="dxa"/>
            <w:vAlign w:val="bottom"/>
          </w:tcPr>
          <w:p>
            <w:pPr>
              <w:jc w:val="center"/>
              <w:ind w:left="592"/>
              <w:spacing w:after="0"/>
              <w:rPr>
                <w:sz w:val="20"/>
                <w:szCs w:val="20"/>
                <w:color w:val="auto"/>
              </w:rPr>
            </w:pPr>
            <w:r>
              <w:rPr>
                <w:rFonts w:ascii="Arial" w:cs="Arial" w:eastAsia="Arial" w:hAnsi="Arial"/>
                <w:sz w:val="18"/>
                <w:szCs w:val="18"/>
                <w:b w:val="1"/>
                <w:bCs w:val="1"/>
                <w:color w:val="auto"/>
                <w:w w:val="96"/>
              </w:rPr>
              <w:t>Latham &amp; Watkins LLP</w:t>
            </w:r>
          </w:p>
        </w:tc>
      </w:tr>
      <w:tr>
        <w:trPr>
          <w:trHeight w:val="226"/>
        </w:trPr>
        <w:tc>
          <w:tcPr>
            <w:tcW w:w="3340" w:type="dxa"/>
            <w:vAlign w:val="bottom"/>
          </w:tcPr>
          <w:p>
            <w:pPr>
              <w:jc w:val="center"/>
              <w:ind w:right="670"/>
              <w:spacing w:after="0"/>
              <w:rPr>
                <w:sz w:val="20"/>
                <w:szCs w:val="20"/>
                <w:color w:val="auto"/>
              </w:rPr>
            </w:pPr>
            <w:r>
              <w:rPr>
                <w:rFonts w:ascii="Arial" w:cs="Arial" w:eastAsia="Arial" w:hAnsi="Arial"/>
                <w:sz w:val="18"/>
                <w:szCs w:val="18"/>
                <w:b w:val="1"/>
                <w:bCs w:val="1"/>
                <w:color w:val="auto"/>
                <w:w w:val="92"/>
              </w:rPr>
              <w:t>New York, New York 10017-3954</w:t>
            </w:r>
          </w:p>
        </w:tc>
        <w:tc>
          <w:tcPr>
            <w:tcW w:w="1720" w:type="dxa"/>
            <w:vAlign w:val="bottom"/>
          </w:tcPr>
          <w:p>
            <w:pPr>
              <w:spacing w:after="0"/>
              <w:rPr>
                <w:sz w:val="19"/>
                <w:szCs w:val="19"/>
                <w:color w:val="auto"/>
              </w:rPr>
            </w:pPr>
          </w:p>
        </w:tc>
        <w:tc>
          <w:tcPr>
            <w:tcW w:w="3200" w:type="dxa"/>
            <w:vAlign w:val="bottom"/>
          </w:tcPr>
          <w:p>
            <w:pPr>
              <w:jc w:val="center"/>
              <w:ind w:left="592"/>
              <w:spacing w:after="0" w:line="226" w:lineRule="exact"/>
              <w:rPr>
                <w:sz w:val="20"/>
                <w:szCs w:val="20"/>
                <w:color w:val="auto"/>
              </w:rPr>
            </w:pPr>
            <w:r>
              <w:rPr>
                <w:rFonts w:ascii="Arial" w:cs="Arial" w:eastAsia="Arial" w:hAnsi="Arial"/>
                <w:sz w:val="16"/>
                <w:szCs w:val="16"/>
                <w:b w:val="1"/>
                <w:bCs w:val="1"/>
                <w:color w:val="auto"/>
                <w:w w:val="96"/>
              </w:rPr>
              <w:t>885 3</w:t>
            </w:r>
            <w:r>
              <w:rPr>
                <w:rFonts w:ascii="Arial" w:cs="Arial" w:eastAsia="Arial" w:hAnsi="Arial"/>
                <w:sz w:val="26"/>
                <w:szCs w:val="26"/>
                <w:b w:val="1"/>
                <w:bCs w:val="1"/>
                <w:color w:val="auto"/>
                <w:w w:val="96"/>
                <w:vertAlign w:val="superscript"/>
              </w:rPr>
              <w:t>rd</w:t>
            </w:r>
            <w:r>
              <w:rPr>
                <w:rFonts w:ascii="Arial" w:cs="Arial" w:eastAsia="Arial" w:hAnsi="Arial"/>
                <w:sz w:val="16"/>
                <w:szCs w:val="16"/>
                <w:b w:val="1"/>
                <w:bCs w:val="1"/>
                <w:color w:val="auto"/>
                <w:w w:val="96"/>
              </w:rPr>
              <w:t xml:space="preserve"> Avenue</w:t>
            </w:r>
          </w:p>
        </w:tc>
      </w:tr>
      <w:tr>
        <w:trPr>
          <w:trHeight w:val="216"/>
        </w:trPr>
        <w:tc>
          <w:tcPr>
            <w:tcW w:w="3340" w:type="dxa"/>
            <w:vAlign w:val="bottom"/>
          </w:tcPr>
          <w:p>
            <w:pPr>
              <w:jc w:val="center"/>
              <w:ind w:right="670"/>
              <w:spacing w:after="0"/>
              <w:rPr>
                <w:sz w:val="20"/>
                <w:szCs w:val="20"/>
                <w:color w:val="auto"/>
              </w:rPr>
            </w:pPr>
            <w:r>
              <w:rPr>
                <w:rFonts w:ascii="Arial" w:cs="Arial" w:eastAsia="Arial" w:hAnsi="Arial"/>
                <w:sz w:val="18"/>
                <w:szCs w:val="18"/>
                <w:b w:val="1"/>
                <w:bCs w:val="1"/>
                <w:color w:val="auto"/>
                <w:w w:val="92"/>
              </w:rPr>
              <w:t>(212) 455-2000</w:t>
            </w:r>
          </w:p>
        </w:tc>
        <w:tc>
          <w:tcPr>
            <w:tcW w:w="1720" w:type="dxa"/>
            <w:vAlign w:val="bottom"/>
          </w:tcPr>
          <w:p>
            <w:pPr>
              <w:spacing w:after="0"/>
              <w:rPr>
                <w:sz w:val="18"/>
                <w:szCs w:val="18"/>
                <w:color w:val="auto"/>
              </w:rPr>
            </w:pPr>
          </w:p>
        </w:tc>
        <w:tc>
          <w:tcPr>
            <w:tcW w:w="3200" w:type="dxa"/>
            <w:vAlign w:val="bottom"/>
          </w:tcPr>
          <w:p>
            <w:pPr>
              <w:jc w:val="center"/>
              <w:ind w:left="572"/>
              <w:spacing w:after="0"/>
              <w:rPr>
                <w:sz w:val="20"/>
                <w:szCs w:val="20"/>
                <w:color w:val="auto"/>
              </w:rPr>
            </w:pPr>
            <w:r>
              <w:rPr>
                <w:rFonts w:ascii="Arial" w:cs="Arial" w:eastAsia="Arial" w:hAnsi="Arial"/>
                <w:sz w:val="18"/>
                <w:szCs w:val="18"/>
                <w:b w:val="1"/>
                <w:bCs w:val="1"/>
                <w:color w:val="auto"/>
                <w:w w:val="92"/>
              </w:rPr>
              <w:t>New York, New York 10022-4834</w:t>
            </w:r>
          </w:p>
        </w:tc>
      </w:tr>
      <w:tr>
        <w:trPr>
          <w:trHeight w:val="234"/>
        </w:trPr>
        <w:tc>
          <w:tcPr>
            <w:tcW w:w="3340" w:type="dxa"/>
            <w:vAlign w:val="bottom"/>
          </w:tcPr>
          <w:p>
            <w:pPr>
              <w:spacing w:after="0"/>
              <w:rPr>
                <w:sz w:val="20"/>
                <w:szCs w:val="20"/>
                <w:color w:val="auto"/>
              </w:rPr>
            </w:pPr>
          </w:p>
        </w:tc>
        <w:tc>
          <w:tcPr>
            <w:tcW w:w="4920" w:type="dxa"/>
            <w:vAlign w:val="bottom"/>
            <w:gridSpan w:val="2"/>
          </w:tcPr>
          <w:p>
            <w:pPr>
              <w:jc w:val="center"/>
              <w:ind w:left="2310"/>
              <w:spacing w:after="0"/>
              <w:rPr>
                <w:sz w:val="20"/>
                <w:szCs w:val="20"/>
                <w:color w:val="auto"/>
              </w:rPr>
            </w:pPr>
            <w:r>
              <w:rPr>
                <w:rFonts w:ascii="Arial" w:cs="Arial" w:eastAsia="Arial" w:hAnsi="Arial"/>
                <w:sz w:val="18"/>
                <w:szCs w:val="18"/>
                <w:b w:val="1"/>
                <w:bCs w:val="1"/>
                <w:color w:val="auto"/>
                <w:w w:val="90"/>
              </w:rPr>
              <w:t>(212) 906-1200</w:t>
            </w:r>
          </w:p>
        </w:tc>
      </w:tr>
      <w:tr>
        <w:trPr>
          <w:trHeight w:val="115"/>
        </w:trPr>
        <w:tc>
          <w:tcPr>
            <w:tcW w:w="3340" w:type="dxa"/>
            <w:vAlign w:val="bottom"/>
          </w:tcPr>
          <w:p>
            <w:pPr>
              <w:spacing w:after="0"/>
              <w:rPr>
                <w:sz w:val="10"/>
                <w:szCs w:val="10"/>
                <w:color w:val="auto"/>
              </w:rPr>
            </w:pPr>
          </w:p>
        </w:tc>
        <w:tc>
          <w:tcPr>
            <w:tcW w:w="1720" w:type="dxa"/>
            <w:vAlign w:val="bottom"/>
            <w:tcBorders>
              <w:bottom w:val="single" w:sz="8" w:color="auto"/>
            </w:tcBorders>
          </w:tcPr>
          <w:p>
            <w:pPr>
              <w:spacing w:after="0"/>
              <w:rPr>
                <w:sz w:val="10"/>
                <w:szCs w:val="10"/>
                <w:color w:val="auto"/>
              </w:rPr>
            </w:pPr>
          </w:p>
        </w:tc>
        <w:tc>
          <w:tcPr>
            <w:tcW w:w="3200" w:type="dxa"/>
            <w:vAlign w:val="bottom"/>
          </w:tcPr>
          <w:p>
            <w:pPr>
              <w:spacing w:after="0"/>
              <w:rPr>
                <w:sz w:val="10"/>
                <w:szCs w:val="10"/>
                <w:color w:val="auto"/>
              </w:rPr>
            </w:pPr>
          </w:p>
        </w:tc>
      </w:tr>
    </w:tbl>
    <w:p>
      <w:pPr>
        <w:spacing w:after="0" w:line="333"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 xml:space="preserve">Approximate date of commencement of proposed sale to the public: </w:t>
      </w:r>
      <w:r>
        <w:rPr>
          <w:rFonts w:ascii="Arial" w:cs="Arial" w:eastAsia="Arial" w:hAnsi="Arial"/>
          <w:sz w:val="17"/>
          <w:szCs w:val="17"/>
          <w:color w:val="auto"/>
        </w:rPr>
        <w:t>As soon as practicable after this Registration Statement is declared effective.</w:t>
      </w:r>
    </w:p>
    <w:p>
      <w:pPr>
        <w:spacing w:after="0" w:line="35" w:lineRule="exact"/>
        <w:rPr>
          <w:sz w:val="24"/>
          <w:szCs w:val="24"/>
          <w:color w:val="auto"/>
        </w:rPr>
      </w:pPr>
    </w:p>
    <w:p>
      <w:pPr>
        <w:ind w:right="140"/>
        <w:spacing w:after="0" w:line="250" w:lineRule="exact"/>
        <w:rPr>
          <w:sz w:val="20"/>
          <w:szCs w:val="20"/>
          <w:color w:val="auto"/>
        </w:rPr>
      </w:pPr>
      <w:r>
        <w:rPr>
          <w:rFonts w:ascii="Arial" w:cs="Arial" w:eastAsia="Arial" w:hAnsi="Arial"/>
          <w:sz w:val="22"/>
          <w:szCs w:val="22"/>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22"/>
          <w:szCs w:val="22"/>
          <w:color w:val="auto"/>
        </w:rPr>
        <w:t>☐</w:t>
      </w:r>
    </w:p>
    <w:p>
      <w:pPr>
        <w:ind w:right="260"/>
        <w:spacing w:after="0" w:line="270" w:lineRule="auto"/>
        <w:rPr>
          <w:sz w:val="20"/>
          <w:szCs w:val="20"/>
          <w:color w:val="auto"/>
        </w:rPr>
      </w:pPr>
      <w:r>
        <w:rPr>
          <w:rFonts w:ascii="Arial" w:cs="Arial" w:eastAsia="Arial" w:hAnsi="Arial"/>
          <w:sz w:val="19"/>
          <w:szCs w:val="19"/>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w:t>
      </w:r>
    </w:p>
    <w:p>
      <w:pPr>
        <w:spacing w:after="0" w:line="251" w:lineRule="exact"/>
        <w:rPr>
          <w:sz w:val="20"/>
          <w:szCs w:val="20"/>
          <w:color w:val="auto"/>
        </w:rPr>
      </w:pPr>
      <w:r>
        <w:rPr>
          <w:rFonts w:ascii="Arial" w:cs="Arial" w:eastAsia="Arial" w:hAnsi="Arial"/>
          <w:sz w:val="22"/>
          <w:szCs w:val="22"/>
          <w:color w:val="auto"/>
        </w:rPr>
        <w:t xml:space="preserve">same offering. </w:t>
      </w:r>
      <w:r>
        <w:rPr>
          <w:rFonts w:ascii="MS PGothic" w:cs="MS PGothic" w:eastAsia="MS PGothic" w:hAnsi="MS PGothic"/>
          <w:sz w:val="22"/>
          <w:szCs w:val="22"/>
          <w:color w:val="auto"/>
        </w:rPr>
        <w:t>☒</w:t>
      </w:r>
      <w:r>
        <w:rPr>
          <w:rFonts w:ascii="Arial" w:cs="Arial" w:eastAsia="Arial" w:hAnsi="Arial"/>
          <w:sz w:val="22"/>
          <w:szCs w:val="22"/>
          <w:color w:val="auto"/>
        </w:rPr>
        <w:t xml:space="preserve"> </w:t>
      </w:r>
      <w:r>
        <w:rPr>
          <w:rFonts w:ascii="Arial" w:cs="Arial" w:eastAsia="Arial" w:hAnsi="Arial"/>
          <w:sz w:val="18"/>
          <w:szCs w:val="18"/>
          <w:b w:val="1"/>
          <w:bCs w:val="1"/>
          <w:color w:val="auto"/>
        </w:rPr>
        <w:t>File No. 333-226287</w:t>
      </w:r>
    </w:p>
    <w:p>
      <w:pPr>
        <w:ind w:right="160"/>
        <w:spacing w:after="0" w:line="250" w:lineRule="exact"/>
        <w:rPr>
          <w:sz w:val="20"/>
          <w:szCs w:val="20"/>
          <w:color w:val="auto"/>
        </w:rPr>
      </w:pPr>
      <w:r>
        <w:rPr>
          <w:rFonts w:ascii="Arial" w:cs="Arial" w:eastAsia="Arial" w:hAnsi="Arial"/>
          <w:sz w:val="19"/>
          <w:szCs w:val="19"/>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9"/>
          <w:szCs w:val="19"/>
          <w:color w:val="auto"/>
        </w:rPr>
        <w:t>☐</w:t>
      </w:r>
    </w:p>
    <w:p>
      <w:pPr>
        <w:spacing w:after="0" w:line="1" w:lineRule="exact"/>
        <w:rPr>
          <w:sz w:val="24"/>
          <w:szCs w:val="24"/>
          <w:color w:val="auto"/>
        </w:rPr>
      </w:pPr>
    </w:p>
    <w:p>
      <w:pPr>
        <w:ind w:right="140"/>
        <w:spacing w:after="0" w:line="250" w:lineRule="exact"/>
        <w:rPr>
          <w:sz w:val="20"/>
          <w:szCs w:val="20"/>
          <w:color w:val="auto"/>
        </w:rPr>
      </w:pPr>
      <w:r>
        <w:rPr>
          <w:rFonts w:ascii="Arial" w:cs="Arial" w:eastAsia="Arial" w:hAnsi="Arial"/>
          <w:sz w:val="19"/>
          <w:szCs w:val="19"/>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9"/>
          <w:szCs w:val="19"/>
          <w:color w:val="auto"/>
        </w:rPr>
        <w:t>☐</w:t>
      </w:r>
    </w:p>
    <w:p>
      <w:pPr>
        <w:spacing w:after="0" w:line="1" w:lineRule="exact"/>
        <w:rPr>
          <w:sz w:val="24"/>
          <w:szCs w:val="24"/>
          <w:color w:val="auto"/>
        </w:rPr>
      </w:pPr>
    </w:p>
    <w:p>
      <w:pPr>
        <w:ind w:right="300"/>
        <w:spacing w:after="0" w:line="249" w:lineRule="auto"/>
        <w:rPr>
          <w:sz w:val="20"/>
          <w:szCs w:val="20"/>
          <w:color w:val="auto"/>
        </w:rPr>
      </w:pPr>
      <w:r>
        <w:rPr>
          <w:rFonts w:ascii="Arial" w:cs="Arial" w:eastAsia="Arial" w:hAnsi="Arial"/>
          <w:sz w:val="21"/>
          <w:szCs w:val="21"/>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930" w:orient="portrait"/>
          <w:cols w:equalWidth="0" w:num="1">
            <w:col w:w="11420"/>
          </w:cols>
          <w:pgMar w:left="240" w:top="229" w:right="239"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22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4440" w:type="dxa"/>
            <w:vAlign w:val="bottom"/>
          </w:tcPr>
          <w:p>
            <w:pPr>
              <w:ind w:left="660"/>
              <w:spacing w:after="0" w:line="181" w:lineRule="exact"/>
              <w:rPr>
                <w:sz w:val="20"/>
                <w:szCs w:val="20"/>
                <w:color w:val="auto"/>
              </w:rPr>
            </w:pPr>
            <w:r>
              <w:rPr>
                <w:rFonts w:ascii="MS PGothic" w:cs="MS PGothic" w:eastAsia="MS PGothic" w:hAnsi="MS PGothic"/>
                <w:sz w:val="18"/>
                <w:szCs w:val="18"/>
                <w:color w:val="auto"/>
              </w:rPr>
              <w:t>☐</w:t>
            </w:r>
          </w:p>
        </w:tc>
        <w:tc>
          <w:tcPr>
            <w:tcW w:w="3340" w:type="dxa"/>
            <w:vAlign w:val="bottom"/>
          </w:tcPr>
          <w:p>
            <w:pPr>
              <w:ind w:left="160"/>
              <w:spacing w:after="0"/>
              <w:rPr>
                <w:sz w:val="20"/>
                <w:szCs w:val="20"/>
                <w:color w:val="auto"/>
              </w:rPr>
            </w:pPr>
            <w:r>
              <w:rPr>
                <w:rFonts w:ascii="Arial" w:cs="Arial" w:eastAsia="Arial" w:hAnsi="Arial"/>
                <w:sz w:val="18"/>
                <w:szCs w:val="18"/>
                <w:color w:val="auto"/>
              </w:rPr>
              <w:t>Accelerated filer</w:t>
            </w:r>
          </w:p>
        </w:tc>
        <w:tc>
          <w:tcPr>
            <w:tcW w:w="1380" w:type="dxa"/>
            <w:vAlign w:val="bottom"/>
          </w:tcPr>
          <w:p>
            <w:pPr>
              <w:ind w:left="1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260" w:type="dxa"/>
            <w:vAlign w:val="bottom"/>
          </w:tcPr>
          <w:p>
            <w:pPr>
              <w:spacing w:after="0"/>
              <w:rPr>
                <w:sz w:val="20"/>
                <w:szCs w:val="20"/>
                <w:color w:val="auto"/>
              </w:rPr>
            </w:pPr>
            <w:r>
              <w:rPr>
                <w:rFonts w:ascii="Arial" w:cs="Arial" w:eastAsia="Arial" w:hAnsi="Arial"/>
                <w:sz w:val="18"/>
                <w:szCs w:val="18"/>
                <w:color w:val="auto"/>
              </w:rPr>
              <w:t>Non-accelerated filer</w:t>
            </w:r>
          </w:p>
        </w:tc>
        <w:tc>
          <w:tcPr>
            <w:tcW w:w="4440" w:type="dxa"/>
            <w:vAlign w:val="bottom"/>
          </w:tcPr>
          <w:p>
            <w:pPr>
              <w:ind w:left="660"/>
              <w:spacing w:after="0" w:line="207" w:lineRule="exact"/>
              <w:rPr>
                <w:sz w:val="20"/>
                <w:szCs w:val="20"/>
                <w:color w:val="auto"/>
              </w:rPr>
            </w:pPr>
            <w:r>
              <w:rPr>
                <w:rFonts w:ascii="MS PGothic" w:cs="MS PGothic" w:eastAsia="MS PGothic" w:hAnsi="MS PGothic"/>
                <w:sz w:val="18"/>
                <w:szCs w:val="18"/>
                <w:color w:val="auto"/>
                <w:w w:val="97"/>
              </w:rPr>
              <w:t>☒</w:t>
            </w:r>
            <w:r>
              <w:rPr>
                <w:rFonts w:ascii="Arial" w:cs="Arial" w:eastAsia="Arial" w:hAnsi="Arial"/>
                <w:sz w:val="18"/>
                <w:szCs w:val="18"/>
                <w:color w:val="auto"/>
                <w:w w:val="97"/>
              </w:rPr>
              <w:t xml:space="preserve"> (Do not check if a smaller reporting company)</w:t>
            </w:r>
          </w:p>
        </w:tc>
        <w:tc>
          <w:tcPr>
            <w:tcW w:w="3340" w:type="dxa"/>
            <w:vAlign w:val="bottom"/>
          </w:tcPr>
          <w:p>
            <w:pPr>
              <w:ind w:left="160"/>
              <w:spacing w:after="0"/>
              <w:rPr>
                <w:sz w:val="20"/>
                <w:szCs w:val="20"/>
                <w:color w:val="auto"/>
              </w:rPr>
            </w:pPr>
            <w:r>
              <w:rPr>
                <w:rFonts w:ascii="Arial" w:cs="Arial" w:eastAsia="Arial" w:hAnsi="Arial"/>
                <w:sz w:val="18"/>
                <w:szCs w:val="18"/>
                <w:color w:val="auto"/>
              </w:rPr>
              <w:t>Smaller reporting company</w:t>
            </w:r>
          </w:p>
        </w:tc>
        <w:tc>
          <w:tcPr>
            <w:tcW w:w="1380" w:type="dxa"/>
            <w:vAlign w:val="bottom"/>
          </w:tcPr>
          <w:p>
            <w:pPr>
              <w:ind w:left="1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26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3340" w:type="dxa"/>
            <w:vAlign w:val="bottom"/>
          </w:tcPr>
          <w:p>
            <w:pPr>
              <w:ind w:left="160"/>
              <w:spacing w:after="0"/>
              <w:rPr>
                <w:sz w:val="20"/>
                <w:szCs w:val="20"/>
                <w:color w:val="auto"/>
              </w:rPr>
            </w:pPr>
            <w:r>
              <w:rPr>
                <w:rFonts w:ascii="Arial" w:cs="Arial" w:eastAsia="Arial" w:hAnsi="Arial"/>
                <w:sz w:val="18"/>
                <w:szCs w:val="18"/>
                <w:color w:val="auto"/>
              </w:rPr>
              <w:t>Emerging growth company</w:t>
            </w:r>
          </w:p>
        </w:tc>
        <w:tc>
          <w:tcPr>
            <w:tcW w:w="1380" w:type="dxa"/>
            <w:vAlign w:val="bottom"/>
          </w:tcPr>
          <w:p>
            <w:pPr>
              <w:ind w:left="1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09" w:lineRule="exact"/>
        <w:rPr>
          <w:sz w:val="20"/>
          <w:szCs w:val="20"/>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3083560</wp:posOffset>
            </wp:positionH>
            <wp:positionV relativeFrom="paragraph">
              <wp:posOffset>56515</wp:posOffset>
            </wp:positionV>
            <wp:extent cx="108902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89025" cy="1714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5240" w:type="dxa"/>
            <w:vAlign w:val="bottom"/>
            <w:tcBorders>
              <w:top w:val="single" w:sz="8" w:color="auto"/>
              <w:right w:val="single" w:sz="8" w:color="auto"/>
            </w:tcBorders>
          </w:tcPr>
          <w:p>
            <w:pPr>
              <w:spacing w:after="0"/>
              <w:rPr>
                <w:sz w:val="18"/>
                <w:szCs w:val="18"/>
                <w:color w:val="auto"/>
              </w:rPr>
            </w:pPr>
          </w:p>
        </w:tc>
        <w:tc>
          <w:tcPr>
            <w:tcW w:w="1540" w:type="dxa"/>
            <w:vAlign w:val="bottom"/>
            <w:tcBorders>
              <w:top w:val="single" w:sz="8" w:color="auto"/>
              <w:right w:val="single" w:sz="8" w:color="auto"/>
            </w:tcBorders>
          </w:tcPr>
          <w:p>
            <w:pPr>
              <w:spacing w:after="0"/>
              <w:rPr>
                <w:sz w:val="18"/>
                <w:szCs w:val="18"/>
                <w:color w:val="auto"/>
              </w:rPr>
            </w:pPr>
          </w:p>
        </w:tc>
        <w:tc>
          <w:tcPr>
            <w:tcW w:w="15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Proposed</w:t>
            </w:r>
          </w:p>
        </w:tc>
        <w:tc>
          <w:tcPr>
            <w:tcW w:w="15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Proposed</w:t>
            </w:r>
          </w:p>
        </w:tc>
        <w:tc>
          <w:tcPr>
            <w:tcW w:w="1520" w:type="dxa"/>
            <w:vAlign w:val="bottom"/>
            <w:tcBorders>
              <w:top w:val="single" w:sz="8" w:color="auto"/>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4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Amount</w:t>
            </w:r>
          </w:p>
        </w:tc>
        <w:tc>
          <w:tcPr>
            <w:tcW w:w="15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Maximum</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Maximum</w:t>
            </w:r>
          </w:p>
        </w:tc>
        <w:tc>
          <w:tcPr>
            <w:tcW w:w="15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Title of Each Class of</w:t>
            </w:r>
          </w:p>
        </w:tc>
        <w:tc>
          <w:tcPr>
            <w:tcW w:w="15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to be</w:t>
            </w:r>
          </w:p>
        </w:tc>
        <w:tc>
          <w:tcPr>
            <w:tcW w:w="15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Offering Price</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Aggregate</w:t>
            </w: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91"/>
              </w:rPr>
              <w:t>Amount of</w:t>
            </w:r>
          </w:p>
        </w:tc>
      </w:tr>
      <w:tr>
        <w:trPr>
          <w:trHeight w:val="241"/>
        </w:trPr>
        <w:tc>
          <w:tcPr>
            <w:tcW w:w="20" w:type="dxa"/>
            <w:vAlign w:val="bottom"/>
          </w:tcPr>
          <w:p>
            <w:pPr>
              <w:spacing w:after="0"/>
              <w:rPr>
                <w:sz w:val="20"/>
                <w:szCs w:val="20"/>
                <w:color w:val="auto"/>
              </w:rPr>
            </w:pPr>
          </w:p>
        </w:tc>
        <w:tc>
          <w:tcPr>
            <w:tcW w:w="5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Securities to be Registered</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Registered(1)(2)</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Per Share(3)</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Offering Price(1)(3)</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Registration Fee</w:t>
            </w:r>
          </w:p>
        </w:tc>
      </w:tr>
      <w:tr>
        <w:trPr>
          <w:trHeight w:val="216"/>
        </w:trPr>
        <w:tc>
          <w:tcPr>
            <w:tcW w:w="20" w:type="dxa"/>
            <w:vAlign w:val="bottom"/>
            <w:tcBorders>
              <w:bottom w:val="single" w:sz="8" w:color="auto"/>
            </w:tcBorders>
          </w:tcPr>
          <w:p>
            <w:pPr>
              <w:spacing w:after="0"/>
              <w:rPr>
                <w:sz w:val="18"/>
                <w:szCs w:val="18"/>
                <w:color w:val="auto"/>
              </w:rPr>
            </w:pPr>
          </w:p>
        </w:tc>
        <w:tc>
          <w:tcPr>
            <w:tcW w:w="52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Common Stock, par value $0.01 per share</w:t>
            </w:r>
          </w:p>
        </w:tc>
        <w:tc>
          <w:tcPr>
            <w:tcW w:w="1540" w:type="dxa"/>
            <w:vAlign w:val="bottom"/>
            <w:tcBorders>
              <w:bottom w:val="single" w:sz="8" w:color="auto"/>
              <w:right w:val="single" w:sz="8" w:color="auto"/>
            </w:tcBorders>
          </w:tcPr>
          <w:p>
            <w:pPr>
              <w:jc w:val="right"/>
              <w:ind w:right="330"/>
              <w:spacing w:after="0"/>
              <w:rPr>
                <w:sz w:val="20"/>
                <w:szCs w:val="20"/>
                <w:color w:val="auto"/>
              </w:rPr>
            </w:pPr>
            <w:r>
              <w:rPr>
                <w:rFonts w:ascii="Arial" w:cs="Arial" w:eastAsia="Arial" w:hAnsi="Arial"/>
                <w:sz w:val="18"/>
                <w:szCs w:val="18"/>
                <w:color w:val="auto"/>
              </w:rPr>
              <w:t>2,814,852</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$39.75</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$111,890,367</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$13,930.35</w:t>
            </w:r>
          </w:p>
        </w:tc>
      </w:tr>
      <w:tr>
        <w:trPr>
          <w:trHeight w:val="21"/>
        </w:trPr>
        <w:tc>
          <w:tcPr>
            <w:tcW w:w="20" w:type="dxa"/>
            <w:vAlign w:val="bottom"/>
          </w:tcPr>
          <w:p>
            <w:pPr>
              <w:spacing w:after="0" w:line="20" w:lineRule="exact"/>
              <w:rPr>
                <w:sz w:val="1"/>
                <w:szCs w:val="1"/>
                <w:color w:val="auto"/>
              </w:rPr>
            </w:pPr>
          </w:p>
        </w:tc>
        <w:tc>
          <w:tcPr>
            <w:tcW w:w="52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660" w:right="20" w:hanging="652"/>
        <w:spacing w:after="0" w:line="277"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Includes shares of common stock subject to the underwriters’ option to purchase additional shares of common stock. See “Underwriting (Conflicts of Interest).”</w:t>
      </w:r>
    </w:p>
    <w:p>
      <w:pPr>
        <w:spacing w:after="0" w:line="197" w:lineRule="exact"/>
        <w:rPr>
          <w:rFonts w:ascii="Arial" w:cs="Arial" w:eastAsia="Arial" w:hAnsi="Arial"/>
          <w:sz w:val="18"/>
          <w:szCs w:val="18"/>
          <w:color w:val="auto"/>
        </w:rPr>
      </w:pPr>
    </w:p>
    <w:p>
      <w:pPr>
        <w:ind w:left="660" w:right="20" w:hanging="652"/>
        <w:spacing w:after="0" w:line="312" w:lineRule="auto"/>
        <w:tabs>
          <w:tab w:leader="none" w:pos="660" w:val="left"/>
        </w:tabs>
        <w:numPr>
          <w:ilvl w:val="0"/>
          <w:numId w:val="1"/>
        </w:numPr>
        <w:rPr>
          <w:rFonts w:ascii="Arial" w:cs="Arial" w:eastAsia="Arial" w:hAnsi="Arial"/>
          <w:sz w:val="16"/>
          <w:szCs w:val="16"/>
          <w:color w:val="auto"/>
        </w:rPr>
      </w:pPr>
      <w:r>
        <w:rPr>
          <w:rFonts w:ascii="Arial" w:cs="Arial" w:eastAsia="Arial" w:hAnsi="Arial"/>
          <w:sz w:val="16"/>
          <w:szCs w:val="16"/>
          <w:color w:val="auto"/>
        </w:rPr>
        <w:t>In accordance with Rule 462(b) under the Securities Act of 1933, as amended (the “Securities Act”), an additional amount of securities having a proposed maximum aggregate offering price of no more than 20% of the maximum aggregate offering price of the securities eligible to be sold under the related Registration Statement on Form S-1 (File No. 333-226287), originally declared effective on July 25, 2018, is hereby registered.</w:t>
      </w:r>
    </w:p>
    <w:p>
      <w:pPr>
        <w:spacing w:after="0" w:line="173" w:lineRule="exact"/>
        <w:rPr>
          <w:rFonts w:ascii="Arial" w:cs="Arial" w:eastAsia="Arial" w:hAnsi="Arial"/>
          <w:sz w:val="16"/>
          <w:szCs w:val="16"/>
          <w:color w:val="auto"/>
        </w:rPr>
      </w:pPr>
    </w:p>
    <w:p>
      <w:pPr>
        <w:ind w:left="660" w:hanging="652"/>
        <w:spacing w:after="0"/>
        <w:tabs>
          <w:tab w:leader="none" w:pos="660" w:val="left"/>
        </w:tabs>
        <w:numPr>
          <w:ilvl w:val="0"/>
          <w:numId w:val="1"/>
        </w:numPr>
        <w:rPr>
          <w:rFonts w:ascii="Arial" w:cs="Arial" w:eastAsia="Arial" w:hAnsi="Arial"/>
          <w:sz w:val="17"/>
          <w:szCs w:val="17"/>
          <w:color w:val="auto"/>
        </w:rPr>
      </w:pPr>
      <w:r>
        <w:rPr>
          <w:rFonts w:ascii="Arial" w:cs="Arial" w:eastAsia="Arial" w:hAnsi="Arial"/>
          <w:sz w:val="17"/>
          <w:szCs w:val="17"/>
          <w:color w:val="auto"/>
        </w:rPr>
        <w:t>Estimated solely for the purpose of determining the amount of the registration fee in accordance with Rule 457(a) under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3083560</wp:posOffset>
            </wp:positionH>
            <wp:positionV relativeFrom="paragraph">
              <wp:posOffset>245110</wp:posOffset>
            </wp:positionV>
            <wp:extent cx="108902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08902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right="640"/>
        <w:spacing w:after="0" w:line="282" w:lineRule="auto"/>
        <w:rPr>
          <w:sz w:val="20"/>
          <w:szCs w:val="20"/>
          <w:color w:val="auto"/>
        </w:rPr>
      </w:pPr>
      <w:r>
        <w:rPr>
          <w:rFonts w:ascii="Arial" w:cs="Arial" w:eastAsia="Arial" w:hAnsi="Arial"/>
          <w:sz w:val="18"/>
          <w:szCs w:val="18"/>
          <w:b w:val="1"/>
          <w:bCs w:val="1"/>
          <w:color w:val="auto"/>
        </w:rPr>
        <w:t>This Registration Statement shall become effective upon filing with the Securities and Exchange Commission in accordance with Rule 462(b) promulgated under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131445</wp:posOffset>
            </wp:positionV>
            <wp:extent cx="7246620" cy="34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491490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22"/>
          <w:szCs w:val="22"/>
          <w:b w:val="1"/>
          <w:bCs w:val="1"/>
          <w:color w:val="auto"/>
        </w:rPr>
        <w:t>EXPLANATORY NOTE AND INCORPORATION OF</w:t>
      </w:r>
    </w:p>
    <w:p>
      <w:pPr>
        <w:spacing w:after="0" w:line="2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CERTAIN INFORMATION BY REFERENCE</w:t>
      </w:r>
    </w:p>
    <w:p>
      <w:pPr>
        <w:spacing w:after="0" w:line="236"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This Registration Statement on Form S-1 is being filed with the Securities and Exchange Commission (the “Commission”) pursuant to Rule 462(b) under the Securities Act of 1933, as amended, by National Vision Holdings, Inc. (the “Registrant”). This registration statement relates to the Registrant’s prior registration statement on Form S-1 (Registration No. 333-226287), originally filed with the Commission on July 23, 2018 (together with its exhibits and the documents incorporated by reference therein, the “Prior Registration Statement”), which was declared effective by the Commission on July 25, 2018. The Prior Registration Statement is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11" w:right="27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1380" w:type="dxa"/>
            <w:vAlign w:val="bottom"/>
            <w:gridSpan w:val="4"/>
          </w:tcPr>
          <w:p>
            <w:pPr>
              <w:spacing w:after="0"/>
              <w:rPr>
                <w:sz w:val="20"/>
                <w:szCs w:val="20"/>
                <w:color w:val="auto"/>
              </w:rPr>
            </w:pPr>
            <w:r>
              <w:rPr>
                <w:rFonts w:ascii="Arial" w:cs="Arial" w:eastAsia="Arial" w:hAnsi="Arial"/>
                <w:sz w:val="18"/>
                <w:szCs w:val="18"/>
                <w:b w:val="1"/>
                <w:bCs w:val="1"/>
                <w:color w:val="auto"/>
              </w:rPr>
              <w:t>Exhibit Number</w:t>
            </w:r>
          </w:p>
        </w:tc>
        <w:tc>
          <w:tcPr>
            <w:tcW w:w="10040" w:type="dxa"/>
            <w:vAlign w:val="bottom"/>
          </w:tcPr>
          <w:p>
            <w:pPr>
              <w:ind w:left="4620"/>
              <w:spacing w:after="0"/>
              <w:rPr>
                <w:sz w:val="20"/>
                <w:szCs w:val="20"/>
                <w:color w:val="auto"/>
              </w:rPr>
            </w:pPr>
            <w:r>
              <w:rPr>
                <w:rFonts w:ascii="Arial" w:cs="Arial" w:eastAsia="Arial" w:hAnsi="Arial"/>
                <w:sz w:val="18"/>
                <w:szCs w:val="18"/>
                <w:b w:val="1"/>
                <w:bCs w:val="1"/>
                <w:color w:val="auto"/>
              </w:rPr>
              <w:t>Description</w:t>
            </w:r>
          </w:p>
        </w:tc>
      </w:tr>
      <w:tr>
        <w:trPr>
          <w:trHeight w:val="392"/>
        </w:trPr>
        <w:tc>
          <w:tcPr>
            <w:tcW w:w="240" w:type="dxa"/>
            <w:vAlign w:val="bottom"/>
            <w:tcBorders>
              <w:bottom w:val="single" w:sz="8" w:color="0000EE"/>
            </w:tcBorders>
          </w:tcPr>
          <w:p>
            <w:pPr>
              <w:spacing w:after="0"/>
              <w:rPr>
                <w:rFonts w:ascii="Arial" w:cs="Arial" w:eastAsia="Arial" w:hAnsi="Arial"/>
                <w:sz w:val="18"/>
                <w:szCs w:val="18"/>
                <w:color w:val="0000EE"/>
                <w:w w:val="87"/>
              </w:rPr>
            </w:pPr>
            <w:hyperlink r:id="rId23">
              <w:r>
                <w:rPr>
                  <w:rFonts w:ascii="Arial" w:cs="Arial" w:eastAsia="Arial" w:hAnsi="Arial"/>
                  <w:sz w:val="18"/>
                  <w:szCs w:val="18"/>
                  <w:color w:val="0000EE"/>
                  <w:w w:val="87"/>
                </w:rPr>
                <w:t>5.</w:t>
              </w:r>
              <w:r>
                <w:rPr>
                  <w:rFonts w:ascii="Arial" w:cs="Arial" w:eastAsia="Arial" w:hAnsi="Arial"/>
                  <w:sz w:val="18"/>
                  <w:szCs w:val="18"/>
                  <w:u w:val="single" w:color="auto"/>
                  <w:color w:val="0000EE"/>
                  <w:w w:val="87"/>
                </w:rPr>
                <w:t>1</w:t>
              </w:r>
            </w:hyperlink>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40" w:type="dxa"/>
            <w:vAlign w:val="bottom"/>
          </w:tcPr>
          <w:p>
            <w:pPr>
              <w:ind w:left="80"/>
              <w:spacing w:after="0"/>
              <w:rPr>
                <w:sz w:val="20"/>
                <w:szCs w:val="20"/>
                <w:color w:val="auto"/>
              </w:rPr>
            </w:pPr>
            <w:r>
              <w:rPr>
                <w:rFonts w:ascii="Arial" w:cs="Arial" w:eastAsia="Arial" w:hAnsi="Arial"/>
                <w:sz w:val="18"/>
                <w:szCs w:val="18"/>
                <w:color w:val="auto"/>
              </w:rPr>
              <w:t>Opinion of Simpson Thacher &amp; Bartlett LLP (incorporated by reference to Exhibit 5.1 to the Prior Registration Statement)</w:t>
            </w:r>
          </w:p>
        </w:tc>
      </w:tr>
      <w:tr>
        <w:trPr>
          <w:trHeight w:val="412"/>
        </w:trPr>
        <w:tc>
          <w:tcPr>
            <w:tcW w:w="320" w:type="dxa"/>
            <w:vAlign w:val="bottom"/>
            <w:tcBorders>
              <w:bottom w:val="single" w:sz="8" w:color="0000EE"/>
            </w:tcBorders>
            <w:gridSpan w:val="2"/>
          </w:tcPr>
          <w:p>
            <w:pPr>
              <w:spacing w:after="0"/>
              <w:rPr>
                <w:rFonts w:ascii="Arial" w:cs="Arial" w:eastAsia="Arial" w:hAnsi="Arial"/>
                <w:sz w:val="18"/>
                <w:szCs w:val="18"/>
                <w:color w:val="0000EE"/>
                <w:w w:val="85"/>
              </w:rPr>
            </w:pPr>
            <w:hyperlink r:id="rId23">
              <w:r>
                <w:rPr>
                  <w:rFonts w:ascii="Arial" w:cs="Arial" w:eastAsia="Arial" w:hAnsi="Arial"/>
                  <w:sz w:val="18"/>
                  <w:szCs w:val="18"/>
                  <w:color w:val="0000EE"/>
                  <w:w w:val="85"/>
                </w:rPr>
                <w:t>23.</w:t>
              </w:r>
              <w:r>
                <w:rPr>
                  <w:rFonts w:ascii="Arial" w:cs="Arial" w:eastAsia="Arial" w:hAnsi="Arial"/>
                  <w:sz w:val="18"/>
                  <w:szCs w:val="18"/>
                  <w:u w:val="single" w:color="auto"/>
                  <w:color w:val="0000EE"/>
                  <w:w w:val="85"/>
                </w:rPr>
                <w:t>1</w:t>
              </w:r>
            </w:hyperlink>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40" w:type="dxa"/>
            <w:vAlign w:val="bottom"/>
          </w:tcPr>
          <w:p>
            <w:pPr>
              <w:ind w:left="80"/>
              <w:spacing w:after="0"/>
              <w:rPr>
                <w:sz w:val="20"/>
                <w:szCs w:val="20"/>
                <w:color w:val="auto"/>
              </w:rPr>
            </w:pPr>
            <w:r>
              <w:rPr>
                <w:rFonts w:ascii="Arial" w:cs="Arial" w:eastAsia="Arial" w:hAnsi="Arial"/>
                <w:sz w:val="18"/>
                <w:szCs w:val="18"/>
                <w:color w:val="auto"/>
              </w:rPr>
              <w:t>Consent of Simpson Thacher &amp; Bartlett LLP (included in Exhibit 5.1)</w:t>
            </w:r>
          </w:p>
        </w:tc>
      </w:tr>
      <w:tr>
        <w:trPr>
          <w:trHeight w:val="412"/>
        </w:trPr>
        <w:tc>
          <w:tcPr>
            <w:tcW w:w="1380" w:type="dxa"/>
            <w:vAlign w:val="bottom"/>
            <w:gridSpan w:val="4"/>
          </w:tcPr>
          <w:p>
            <w:pPr>
              <w:spacing w:after="0"/>
              <w:rPr>
                <w:sz w:val="20"/>
                <w:szCs w:val="20"/>
                <w:color w:val="auto"/>
              </w:rPr>
            </w:pPr>
            <w:r>
              <w:rPr>
                <w:rFonts w:ascii="Arial" w:cs="Arial" w:eastAsia="Arial" w:hAnsi="Arial"/>
                <w:sz w:val="18"/>
                <w:szCs w:val="18"/>
                <w:color w:val="0000EE"/>
              </w:rPr>
              <w:t>23.</w:t>
            </w:r>
            <w:r>
              <w:rPr>
                <w:rFonts w:ascii="Arial" w:cs="Arial" w:eastAsia="Arial" w:hAnsi="Arial"/>
                <w:sz w:val="18"/>
                <w:szCs w:val="18"/>
                <w:u w:val="single" w:color="auto"/>
                <w:color w:val="0000EE"/>
              </w:rPr>
              <w:t>2*</w:t>
            </w:r>
          </w:p>
        </w:tc>
        <w:tc>
          <w:tcPr>
            <w:tcW w:w="10040" w:type="dxa"/>
            <w:vAlign w:val="bottom"/>
          </w:tcPr>
          <w:p>
            <w:pPr>
              <w:ind w:left="80"/>
              <w:spacing w:after="0"/>
              <w:rPr>
                <w:sz w:val="20"/>
                <w:szCs w:val="20"/>
                <w:color w:val="auto"/>
              </w:rPr>
            </w:pPr>
            <w:r>
              <w:rPr>
                <w:rFonts w:ascii="Arial" w:cs="Arial" w:eastAsia="Arial" w:hAnsi="Arial"/>
                <w:sz w:val="18"/>
                <w:szCs w:val="18"/>
                <w:color w:val="auto"/>
              </w:rPr>
              <w:t>Consent of Deloitte &amp; Touche LLP</w:t>
            </w:r>
          </w:p>
        </w:tc>
      </w:tr>
      <w:tr>
        <w:trPr>
          <w:trHeight w:val="412"/>
        </w:trPr>
        <w:tc>
          <w:tcPr>
            <w:tcW w:w="32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5"/>
              </w:rPr>
            </w:pPr>
            <w:hyperlink r:id="rId24">
              <w:r>
                <w:rPr>
                  <w:rFonts w:ascii="Arial" w:cs="Arial" w:eastAsia="Arial" w:hAnsi="Arial"/>
                  <w:sz w:val="18"/>
                  <w:szCs w:val="18"/>
                  <w:color w:val="0000EE"/>
                  <w:w w:val="85"/>
                </w:rPr>
                <w:t>24.</w:t>
              </w:r>
              <w:r>
                <w:rPr>
                  <w:rFonts w:ascii="Arial" w:cs="Arial" w:eastAsia="Arial" w:hAnsi="Arial"/>
                  <w:sz w:val="18"/>
                  <w:szCs w:val="18"/>
                  <w:u w:val="single" w:color="auto"/>
                  <w:color w:val="0000EE"/>
                  <w:w w:val="85"/>
                </w:rPr>
                <w:t>1</w:t>
              </w:r>
            </w:hyperlink>
          </w:p>
        </w:tc>
        <w:tc>
          <w:tcPr>
            <w:tcW w:w="100" w:type="dxa"/>
            <w:vAlign w:val="bottom"/>
            <w:tcBorders>
              <w:top w:val="single" w:sz="8" w:color="0000EE"/>
            </w:tcBorders>
          </w:tcPr>
          <w:p>
            <w:pPr>
              <w:spacing w:after="0"/>
              <w:rPr>
                <w:sz w:val="24"/>
                <w:szCs w:val="24"/>
                <w:color w:val="auto"/>
              </w:rPr>
            </w:pPr>
          </w:p>
        </w:tc>
        <w:tc>
          <w:tcPr>
            <w:tcW w:w="960" w:type="dxa"/>
            <w:vAlign w:val="bottom"/>
          </w:tcPr>
          <w:p>
            <w:pPr>
              <w:spacing w:after="0"/>
              <w:rPr>
                <w:sz w:val="24"/>
                <w:szCs w:val="24"/>
                <w:color w:val="auto"/>
              </w:rPr>
            </w:pPr>
          </w:p>
        </w:tc>
        <w:tc>
          <w:tcPr>
            <w:tcW w:w="10040" w:type="dxa"/>
            <w:vAlign w:val="bottom"/>
          </w:tcPr>
          <w:p>
            <w:pPr>
              <w:ind w:left="80"/>
              <w:spacing w:after="0"/>
              <w:rPr>
                <w:sz w:val="20"/>
                <w:szCs w:val="20"/>
                <w:color w:val="auto"/>
              </w:rPr>
            </w:pPr>
            <w:r>
              <w:rPr>
                <w:rFonts w:ascii="Arial" w:cs="Arial" w:eastAsia="Arial" w:hAnsi="Arial"/>
                <w:sz w:val="18"/>
                <w:szCs w:val="18"/>
                <w:color w:val="auto"/>
              </w:rPr>
              <w:t>Power of Attorney (included on the signature page to the Prior Registration Statement)</w:t>
            </w:r>
          </w:p>
        </w:tc>
      </w:tr>
      <w:tr>
        <w:trPr>
          <w:trHeight w:val="480"/>
        </w:trPr>
        <w:tc>
          <w:tcPr>
            <w:tcW w:w="1380" w:type="dxa"/>
            <w:vAlign w:val="bottom"/>
            <w:gridSpan w:val="4"/>
          </w:tcPr>
          <w:p>
            <w:pPr>
              <w:spacing w:after="0"/>
              <w:rPr>
                <w:sz w:val="20"/>
                <w:szCs w:val="20"/>
                <w:color w:val="auto"/>
              </w:rPr>
            </w:pPr>
            <w:r>
              <w:rPr>
                <w:rFonts w:ascii="Arial" w:cs="Arial" w:eastAsia="Arial" w:hAnsi="Arial"/>
                <w:sz w:val="18"/>
                <w:szCs w:val="18"/>
                <w:color w:val="auto"/>
              </w:rPr>
              <w:t>* Filed herewith.</w:t>
            </w:r>
          </w:p>
        </w:tc>
        <w:tc>
          <w:tcPr>
            <w:tcW w:w="10040" w:type="dxa"/>
            <w:vAlign w:val="bottom"/>
          </w:tcPr>
          <w:p>
            <w:pPr>
              <w:spacing w:after="0"/>
              <w:rPr>
                <w:sz w:val="24"/>
                <w:szCs w:val="24"/>
                <w:color w:val="auto"/>
              </w:rPr>
            </w:pPr>
          </w:p>
        </w:tc>
      </w:tr>
      <w:tr>
        <w:trPr>
          <w:trHeight w:val="426"/>
        </w:trPr>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64" w:right="239" w:bottom="1440" w:gutter="0" w:footer="0" w:header="0"/>
        </w:sectPr>
      </w:pPr>
    </w:p>
    <w:bookmarkStart w:id="4" w:name="page5"/>
    <w:bookmarkEnd w:id="4"/>
    <w:p>
      <w:pPr>
        <w:jc w:val="center"/>
        <w:ind w:right="-31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Pursuant to the requirements of the Securities Act of 1933, as amended, the Registrant has duly caused this Registration Statement to be signed on its behalf by the undersigned, thereunto duly authorized, in the City of Duluth, Georgia, on July 26, 2018.</w:t>
      </w:r>
    </w:p>
    <w:p>
      <w:pPr>
        <w:spacing w:after="0" w:line="197"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National Vision Holdings, Inc.</w:t>
      </w:r>
    </w:p>
    <w:p>
      <w:pPr>
        <w:spacing w:after="0" w:line="225" w:lineRule="exact"/>
        <w:rPr>
          <w:sz w:val="20"/>
          <w:szCs w:val="20"/>
          <w:color w:val="auto"/>
        </w:rPr>
      </w:pPr>
    </w:p>
    <w:p>
      <w:pPr>
        <w:ind w:left="5700"/>
        <w:spacing w:after="0"/>
        <w:tabs>
          <w:tab w:leader="none" w:pos="6140" w:val="left"/>
        </w:tabs>
        <w:rPr>
          <w:sz w:val="20"/>
          <w:szCs w:val="20"/>
          <w:color w:val="auto"/>
        </w:rPr>
      </w:pPr>
      <w:r>
        <w:rPr>
          <w:rFonts w:ascii="Arial" w:cs="Arial" w:eastAsia="Arial" w:hAnsi="Arial"/>
          <w:sz w:val="18"/>
          <w:szCs w:val="18"/>
          <w:color w:val="auto"/>
        </w:rPr>
        <w:t>By:</w:t>
        <w:tab/>
        <w:t>/s/ L. Reade Fahs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3907155</wp:posOffset>
            </wp:positionH>
            <wp:positionV relativeFrom="paragraph">
              <wp:posOffset>23495</wp:posOffset>
            </wp:positionV>
            <wp:extent cx="334454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3344545" cy="17145"/>
                    </a:xfrm>
                    <a:prstGeom prst="rect">
                      <a:avLst/>
                    </a:prstGeom>
                    <a:noFill/>
                  </pic:spPr>
                </pic:pic>
              </a:graphicData>
            </a:graphic>
          </wp:anchor>
        </w:drawing>
      </w:r>
    </w:p>
    <w:p>
      <w:pPr>
        <w:spacing w:after="0" w:line="30"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Name:L. Reade Fahs</w:t>
      </w:r>
    </w:p>
    <w:p>
      <w:pPr>
        <w:spacing w:after="0" w:line="2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Title: Chief Executive Officer</w:t>
      </w:r>
    </w:p>
    <w:p>
      <w:pPr>
        <w:spacing w:after="0" w:line="23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indicated on July 26, 2018.</w:t>
      </w:r>
    </w:p>
    <w:p>
      <w:pPr>
        <w:spacing w:after="0" w:line="193" w:lineRule="exact"/>
        <w:rPr>
          <w:sz w:val="20"/>
          <w:szCs w:val="20"/>
          <w:color w:val="auto"/>
        </w:rPr>
      </w:pPr>
    </w:p>
    <w:p>
      <w:pPr>
        <w:ind w:left="2500"/>
        <w:spacing w:after="0"/>
        <w:tabs>
          <w:tab w:leader="none" w:pos="8200" w:val="left"/>
        </w:tabs>
        <w:rPr>
          <w:sz w:val="20"/>
          <w:szCs w:val="20"/>
          <w:color w:val="auto"/>
        </w:rPr>
      </w:pPr>
      <w:r>
        <w:rPr>
          <w:rFonts w:ascii="Arial" w:cs="Arial" w:eastAsia="Arial" w:hAnsi="Arial"/>
          <w:sz w:val="18"/>
          <w:szCs w:val="18"/>
          <w:b w:val="1"/>
          <w:bCs w:val="1"/>
          <w:color w:val="auto"/>
        </w:rPr>
        <w:t>Signature</w:t>
      </w:r>
      <w:r>
        <w:rPr>
          <w:sz w:val="20"/>
          <w:szCs w:val="20"/>
          <w:color w:val="auto"/>
        </w:rPr>
        <w:tab/>
      </w:r>
      <w:r>
        <w:rPr>
          <w:rFonts w:ascii="Arial" w:cs="Arial" w:eastAsia="Arial" w:hAnsi="Arial"/>
          <w:sz w:val="18"/>
          <w:szCs w:val="18"/>
          <w:b w:val="1"/>
          <w:bCs w:val="1"/>
          <w:color w:val="auto"/>
        </w:rPr>
        <w:t>Capacity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100"/>
          </w:cols>
          <w:pgMar w:left="240" w:top="364" w:right="559" w:bottom="1440" w:gutter="0" w:footer="0" w:header="0"/>
        </w:sectPr>
      </w:pPr>
    </w:p>
    <w:p>
      <w:pPr>
        <w:spacing w:after="0" w:line="256"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/s/ L. Reade Fahs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2775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16"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L. Reade Fahs</w:t>
      </w:r>
    </w:p>
    <w:p>
      <w:pPr>
        <w:spacing w:after="0" w:line="225" w:lineRule="exact"/>
        <w:rPr>
          <w:sz w:val="20"/>
          <w:szCs w:val="20"/>
          <w:color w:val="auto"/>
        </w:rPr>
      </w:pPr>
    </w:p>
    <w:p>
      <w:pPr>
        <w:jc w:val="center"/>
        <w:ind w:right="440"/>
        <w:spacing w:after="0"/>
        <w:rPr>
          <w:sz w:val="20"/>
          <w:szCs w:val="20"/>
          <w:color w:val="auto"/>
        </w:rPr>
      </w:pPr>
      <w:r>
        <w:rPr>
          <w:rFonts w:ascii="Arial" w:cs="Arial" w:eastAsia="Arial" w:hAnsi="Arial"/>
          <w:sz w:val="16"/>
          <w:szCs w:val="16"/>
          <w:color w:val="auto"/>
        </w:rPr>
        <w:t>/s/ Patrick R. Moore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362775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3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Patrick R. Moore</w:t>
      </w:r>
    </w:p>
    <w:p>
      <w:pPr>
        <w:spacing w:after="0" w:line="225"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/s/ Chris Beasley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2775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16"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Chris Beasley</w:t>
      </w:r>
    </w:p>
    <w:p>
      <w:pPr>
        <w:spacing w:after="0" w:line="225"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2775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16"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Nathaniel H. Taylor</w:t>
      </w:r>
    </w:p>
    <w:p>
      <w:pPr>
        <w:spacing w:after="0" w:line="237"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2775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16"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Felix Gernburd</w:t>
      </w:r>
    </w:p>
    <w:p>
      <w:pPr>
        <w:spacing w:after="0" w:line="225"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2775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16" w:lineRule="exact"/>
        <w:rPr>
          <w:sz w:val="20"/>
          <w:szCs w:val="20"/>
          <w:color w:val="auto"/>
        </w:rPr>
      </w:pPr>
    </w:p>
    <w:p>
      <w:pPr>
        <w:jc w:val="center"/>
        <w:ind w:right="440"/>
        <w:spacing w:after="0"/>
        <w:rPr>
          <w:sz w:val="20"/>
          <w:szCs w:val="20"/>
          <w:color w:val="auto"/>
        </w:rPr>
      </w:pPr>
      <w:r>
        <w:rPr>
          <w:rFonts w:ascii="Arial" w:cs="Arial" w:eastAsia="Arial" w:hAnsi="Arial"/>
          <w:sz w:val="16"/>
          <w:szCs w:val="16"/>
          <w:color w:val="auto"/>
        </w:rPr>
        <w:t>D. Randolph Peeler</w:t>
      </w:r>
    </w:p>
    <w:p>
      <w:pPr>
        <w:spacing w:after="0" w:line="24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2775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16"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David M. Tehle</w:t>
      </w:r>
    </w:p>
    <w:p>
      <w:pPr>
        <w:spacing w:after="0" w:line="225"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2775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16"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Virginia A. Hepner</w:t>
      </w:r>
    </w:p>
    <w:p>
      <w:pPr>
        <w:spacing w:after="0" w:line="264"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tab/>
        <w:t>/s/ L. Reade Fahs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14605</wp:posOffset>
            </wp:positionV>
            <wp:extent cx="32588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L. Reade Fahs, Attorney-in-Fact</w:t>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jc w:val="center"/>
        <w:ind w:right="860"/>
        <w:spacing w:after="0"/>
        <w:rPr>
          <w:sz w:val="20"/>
          <w:szCs w:val="20"/>
          <w:color w:val="auto"/>
        </w:rPr>
      </w:pPr>
      <w:r>
        <w:rPr>
          <w:rFonts w:ascii="Arial" w:cs="Arial" w:eastAsia="Arial" w:hAnsi="Arial"/>
          <w:sz w:val="18"/>
          <w:szCs w:val="18"/>
          <w:color w:val="auto"/>
        </w:rPr>
        <w:t>Chief Executive Officer and Director</w:t>
      </w:r>
    </w:p>
    <w:p>
      <w:pPr>
        <w:spacing w:after="0" w:line="23" w:lineRule="exact"/>
        <w:rPr>
          <w:sz w:val="20"/>
          <w:szCs w:val="20"/>
          <w:color w:val="auto"/>
        </w:rPr>
      </w:pPr>
    </w:p>
    <w:p>
      <w:pPr>
        <w:jc w:val="center"/>
        <w:ind w:right="860"/>
        <w:spacing w:after="0"/>
        <w:rPr>
          <w:sz w:val="20"/>
          <w:szCs w:val="20"/>
          <w:color w:val="auto"/>
        </w:rPr>
      </w:pPr>
      <w:r>
        <w:rPr>
          <w:rFonts w:ascii="Arial" w:cs="Arial" w:eastAsia="Arial" w:hAnsi="Arial"/>
          <w:sz w:val="18"/>
          <w:szCs w:val="18"/>
          <w:color w:val="auto"/>
        </w:rPr>
        <w:t>(principal executive officer)</w:t>
      </w:r>
    </w:p>
    <w:p>
      <w:pPr>
        <w:spacing w:after="0" w:line="238" w:lineRule="exact"/>
        <w:rPr>
          <w:sz w:val="20"/>
          <w:szCs w:val="20"/>
          <w:color w:val="auto"/>
        </w:rPr>
      </w:pPr>
    </w:p>
    <w:p>
      <w:pPr>
        <w:jc w:val="center"/>
        <w:ind w:right="860"/>
        <w:spacing w:after="0"/>
        <w:rPr>
          <w:sz w:val="20"/>
          <w:szCs w:val="20"/>
          <w:color w:val="auto"/>
        </w:rPr>
      </w:pPr>
      <w:r>
        <w:rPr>
          <w:rFonts w:ascii="Arial" w:cs="Arial" w:eastAsia="Arial" w:hAnsi="Arial"/>
          <w:sz w:val="16"/>
          <w:szCs w:val="16"/>
          <w:color w:val="auto"/>
        </w:rPr>
        <w:t>Senior Vice President, Chief Financial Officer</w:t>
      </w:r>
    </w:p>
    <w:p>
      <w:pPr>
        <w:spacing w:after="0" w:line="46" w:lineRule="exact"/>
        <w:rPr>
          <w:sz w:val="20"/>
          <w:szCs w:val="20"/>
          <w:color w:val="auto"/>
        </w:rPr>
      </w:pPr>
    </w:p>
    <w:p>
      <w:pPr>
        <w:jc w:val="center"/>
        <w:ind w:right="860"/>
        <w:spacing w:after="0"/>
        <w:rPr>
          <w:sz w:val="20"/>
          <w:szCs w:val="20"/>
          <w:color w:val="auto"/>
        </w:rPr>
      </w:pPr>
      <w:r>
        <w:rPr>
          <w:rFonts w:ascii="Arial" w:cs="Arial" w:eastAsia="Arial" w:hAnsi="Arial"/>
          <w:sz w:val="18"/>
          <w:szCs w:val="18"/>
          <w:color w:val="auto"/>
        </w:rPr>
        <w:t>(principal financial officer)</w:t>
      </w:r>
    </w:p>
    <w:p>
      <w:pPr>
        <w:spacing w:after="0" w:line="238" w:lineRule="exact"/>
        <w:rPr>
          <w:sz w:val="20"/>
          <w:szCs w:val="20"/>
          <w:color w:val="auto"/>
        </w:rPr>
      </w:pPr>
    </w:p>
    <w:p>
      <w:pPr>
        <w:jc w:val="center"/>
        <w:ind w:right="860"/>
        <w:spacing w:after="0"/>
        <w:rPr>
          <w:sz w:val="20"/>
          <w:szCs w:val="20"/>
          <w:color w:val="auto"/>
        </w:rPr>
      </w:pPr>
      <w:r>
        <w:rPr>
          <w:rFonts w:ascii="Arial" w:cs="Arial" w:eastAsia="Arial" w:hAnsi="Arial"/>
          <w:sz w:val="18"/>
          <w:szCs w:val="18"/>
          <w:color w:val="auto"/>
        </w:rPr>
        <w:t>Senior Vice President, Accounting</w:t>
      </w:r>
    </w:p>
    <w:p>
      <w:pPr>
        <w:spacing w:after="0" w:line="23" w:lineRule="exact"/>
        <w:rPr>
          <w:sz w:val="20"/>
          <w:szCs w:val="20"/>
          <w:color w:val="auto"/>
        </w:rPr>
      </w:pPr>
    </w:p>
    <w:p>
      <w:pPr>
        <w:jc w:val="center"/>
        <w:ind w:right="860"/>
        <w:spacing w:after="0"/>
        <w:rPr>
          <w:sz w:val="20"/>
          <w:szCs w:val="20"/>
          <w:color w:val="auto"/>
        </w:rPr>
      </w:pPr>
      <w:r>
        <w:rPr>
          <w:rFonts w:ascii="Arial" w:cs="Arial" w:eastAsia="Arial" w:hAnsi="Arial"/>
          <w:sz w:val="18"/>
          <w:szCs w:val="18"/>
          <w:color w:val="auto"/>
        </w:rPr>
        <w:t>(principal accounting officer)</w:t>
      </w:r>
    </w:p>
    <w:p>
      <w:pPr>
        <w:spacing w:after="0" w:line="238"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-4375785</wp:posOffset>
            </wp:positionH>
            <wp:positionV relativeFrom="paragraph">
              <wp:posOffset>829310</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2">
            <w:col w:w="6180" w:space="720"/>
            <w:col w:w="4200"/>
          </w:cols>
          <w:pgMar w:left="240" w:top="364" w:right="559" w:bottom="1440" w:gutter="0" w:footer="0" w:header="0"/>
          <w:type w:val="continuous"/>
        </w:sectPr>
      </w:pPr>
    </w:p>
    <w:bookmarkStart w:id="5" w:name="page6"/>
    <w:bookmarkEnd w:id="5"/>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7">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23.2</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56"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We consent to the incorporation by reference in this Registration Statement on Form S-1, filed pursuant to Rule 462(b) of the Securities Act of 1933, as amended, of our report dated March 8, 2018, relating to the consolidated financial statements of National Vision Holdings, Inc. and subsidiaries appearing in the Annual Report on Form 10-K of National Vision Holdings, Inc. for the year ended December 30, 2017, and to the reference to us under the heading "Experts" in the Prospectus included in the Registration Statement No. 333-226287 which is part of this Registration Statement.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Atlanta, Georgia</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July 25,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png"/><Relationship Id="rId27" Type="http://schemas.openxmlformats.org/officeDocument/2006/relationships/image" Target="media/image18.png"/><Relationship Id="rId28"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33" Type="http://schemas.openxmlformats.org/officeDocument/2006/relationships/image" Target="media/image24.png"/><Relationship Id="rId34" Type="http://schemas.openxmlformats.org/officeDocument/2006/relationships/image" Target="media/image25.png"/><Relationship Id="rId35" Type="http://schemas.openxmlformats.org/officeDocument/2006/relationships/image" Target="media/image26.png"/><Relationship Id="rId36" Type="http://schemas.openxmlformats.org/officeDocument/2006/relationships/image" Target="media/image27.png"/><Relationship Id="rId37" Type="http://schemas.openxmlformats.org/officeDocument/2006/relationships/image" Target="media/image28.png"/><Relationship Id="rId38" Type="http://schemas.openxmlformats.org/officeDocument/2006/relationships/image" Target="media/image29.png"/><Relationship Id="rId23" Type="http://schemas.openxmlformats.org/officeDocument/2006/relationships/hyperlink" Target="http://www.sec.gov/Archives/edgar/data/1710155/000114036118033188/s002328x3_ex5-1.htm" TargetMode="External"/><Relationship Id="rId24" Type="http://schemas.openxmlformats.org/officeDocument/2006/relationships/hyperlink" Target="http://www.sec.gov/Archives/edgar/data/1710155/000114036118033188/s002328x3_s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2019-12-08T17:42:22Z</dcterms:created>
  <dcterms:modified xsi:type="dcterms:W3CDTF">2019-12-08T17:42:22Z</dcterms:modified>
</cp:coreProperties>
</file>