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3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August 12, 2021</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2160" w:type="dxa"/>
        <w:tblCellMar>
          <w:top w:w="0" w:type="dxa"/>
          <w:left w:w="0" w:type="dxa"/>
          <w:bottom w:w="0" w:type="dxa"/>
          <w:right w:w="0" w:type="dxa"/>
        </w:tblCellMar>
      </w:tblPr>
      <w:tr>
        <w:trPr>
          <w:trHeight w:val="210"/>
        </w:trPr>
        <w:tc>
          <w:tcPr>
            <w:tcW w:w="4760" w:type="dxa"/>
            <w:vAlign w:val="bottom"/>
          </w:tcPr>
          <w:p>
            <w:pPr>
              <w:jc w:val="center"/>
              <w:ind w:left="207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24"/>
        </w:trPr>
        <w:tc>
          <w:tcPr>
            <w:tcW w:w="4760" w:type="dxa"/>
            <w:vAlign w:val="bottom"/>
          </w:tcPr>
          <w:p>
            <w:pPr>
              <w:jc w:val="center"/>
              <w:ind w:right="209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4760" w:type="dxa"/>
            <w:vAlign w:val="bottom"/>
          </w:tcPr>
          <w:p>
            <w:pPr>
              <w:jc w:val="center"/>
              <w:ind w:right="207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4760" w:type="dxa"/>
            <w:vAlign w:val="bottom"/>
          </w:tcPr>
          <w:p>
            <w:pPr>
              <w:jc w:val="center"/>
              <w:ind w:right="209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270"/>
        </w:trPr>
        <w:tc>
          <w:tcPr>
            <w:tcW w:w="4760" w:type="dxa"/>
            <w:vAlign w:val="bottom"/>
          </w:tcPr>
          <w:p>
            <w:pPr>
              <w:jc w:val="center"/>
              <w:ind w:right="209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3"/>
                <w:szCs w:val="23"/>
                <w:color w:val="auto"/>
              </w:rPr>
            </w:pPr>
          </w:p>
        </w:tc>
      </w:tr>
      <w:tr>
        <w:trPr>
          <w:trHeight w:val="216"/>
        </w:trPr>
        <w:tc>
          <w:tcPr>
            <w:tcW w:w="4760" w:type="dxa"/>
            <w:vAlign w:val="bottom"/>
          </w:tcPr>
          <w:p>
            <w:pPr>
              <w:jc w:val="center"/>
              <w:ind w:right="207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36"/>
        </w:trPr>
        <w:tc>
          <w:tcPr>
            <w:tcW w:w="4760" w:type="dxa"/>
            <w:vAlign w:val="bottom"/>
          </w:tcPr>
          <w:p>
            <w:pPr>
              <w:ind w:left="86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7"/>
                <w:szCs w:val="17"/>
                <w:b w:val="1"/>
                <w:bCs w:val="1"/>
                <w:color w:val="auto"/>
              </w:rPr>
              <w:t>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10"/>
        </w:trPr>
        <w:tc>
          <w:tcPr>
            <w:tcW w:w="4760" w:type="dxa"/>
            <w:vAlign w:val="bottom"/>
          </w:tcPr>
          <w:p>
            <w:pPr>
              <w:jc w:val="center"/>
              <w:ind w:right="209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18"/>
                <w:szCs w:val="18"/>
                <w:color w:val="auto"/>
              </w:rPr>
            </w:pPr>
          </w:p>
        </w:tc>
      </w:tr>
      <w:tr>
        <w:trPr>
          <w:trHeight w:val="280"/>
        </w:trPr>
        <w:tc>
          <w:tcPr>
            <w:tcW w:w="4760" w:type="dxa"/>
            <w:vAlign w:val="bottom"/>
          </w:tcPr>
          <w:p>
            <w:pPr>
              <w:jc w:val="center"/>
              <w:ind w:left="209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4"/>
                <w:szCs w:val="24"/>
                <w:color w:val="auto"/>
              </w:rPr>
            </w:pPr>
          </w:p>
        </w:tc>
      </w:tr>
    </w:tbl>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95"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4"/>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12, 2021, National Vision Holdings, Inc. (“National Vision”) issued a press release announcing financial results for the quarter ended July 3, 2021. A copy of the release is furnished herewith as Exhibit 99.1 and incorporated by reference herein.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480" w:type="dxa"/>
            <w:vAlign w:val="bottom"/>
          </w:tcPr>
          <w:p>
            <w:pPr>
              <w:spacing w:after="0"/>
              <w:rPr>
                <w:sz w:val="24"/>
                <w:szCs w:val="24"/>
                <w:color w:val="auto"/>
              </w:rPr>
            </w:pPr>
          </w:p>
        </w:tc>
      </w:tr>
      <w:tr>
        <w:trPr>
          <w:trHeight w:val="209"/>
        </w:trPr>
        <w:tc>
          <w:tcPr>
            <w:tcW w:w="880" w:type="dxa"/>
            <w:vAlign w:val="bottom"/>
            <w:gridSpan w:val="3"/>
          </w:tcPr>
          <w:p>
            <w:pPr>
              <w:ind w:left="40"/>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August 12, 2021.</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0"/>
        </w:trPr>
        <w:tc>
          <w:tcPr>
            <w:tcW w:w="360" w:type="dxa"/>
            <w:vAlign w:val="bottom"/>
            <w:gridSpan w:val="2"/>
          </w:tcPr>
          <w:p>
            <w:pPr>
              <w:ind w:left="40"/>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08"/>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2880" w:type="dxa"/>
            <w:vAlign w:val="bottom"/>
          </w:tcPr>
          <w:p>
            <w:pPr>
              <w:spacing w:after="0"/>
              <w:rPr>
                <w:sz w:val="20"/>
                <w:szCs w:val="20"/>
                <w:color w:val="auto"/>
              </w:rPr>
            </w:pPr>
            <w:r>
              <w:rPr>
                <w:rFonts w:ascii="Arial" w:cs="Arial" w:eastAsia="Arial" w:hAnsi="Arial"/>
                <w:sz w:val="18"/>
                <w:szCs w:val="18"/>
                <w:color w:val="auto"/>
              </w:rPr>
              <w:t>Date: August 12, 2021</w:t>
            </w:r>
          </w:p>
        </w:tc>
        <w:tc>
          <w:tcPr>
            <w:tcW w:w="2580" w:type="dxa"/>
            <w:vAlign w:val="bottom"/>
          </w:tcPr>
          <w:p>
            <w:pPr>
              <w:ind w:left="12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2"/>
        </w:trPr>
        <w:tc>
          <w:tcPr>
            <w:tcW w:w="2880" w:type="dxa"/>
            <w:vAlign w:val="bottom"/>
          </w:tcPr>
          <w:p>
            <w:pPr>
              <w:spacing w:after="0"/>
              <w:rPr>
                <w:sz w:val="19"/>
                <w:szCs w:val="19"/>
                <w:color w:val="auto"/>
              </w:rPr>
            </w:pPr>
          </w:p>
        </w:tc>
        <w:tc>
          <w:tcPr>
            <w:tcW w:w="2580" w:type="dxa"/>
            <w:vAlign w:val="bottom"/>
          </w:tcPr>
          <w:p>
            <w:pPr>
              <w:ind w:left="124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0"/>
        </w:trPr>
        <w:tc>
          <w:tcPr>
            <w:tcW w:w="2880" w:type="dxa"/>
            <w:vAlign w:val="bottom"/>
          </w:tcPr>
          <w:p>
            <w:pPr>
              <w:spacing w:after="0"/>
              <w:rPr>
                <w:sz w:val="20"/>
                <w:szCs w:val="20"/>
                <w:color w:val="auto"/>
              </w:rPr>
            </w:pPr>
          </w:p>
        </w:tc>
        <w:tc>
          <w:tcPr>
            <w:tcW w:w="2580" w:type="dxa"/>
            <w:vAlign w:val="bottom"/>
          </w:tcPr>
          <w:p>
            <w:pPr>
              <w:ind w:left="124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0960"/>
          </w:cols>
          <w:pgMar w:left="320" w:top="891"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891540" cy="891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Second Quarter 2021 Financial Results;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Raises Fiscal 2021 Outlook</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highlights compared to second quarter 2019:</w:t>
      </w:r>
    </w:p>
    <w:p>
      <w:pPr>
        <w:spacing w:after="0" w:line="2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28.0% to $549.5 million</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22.5%; Adjusted Comparable Store Sales Growth of 23.5%</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increased 267% to $37.6 million; Diluted EPS increased 230% to $0.42</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increased 125% to $65.6 million</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increased 163% to $0.48</w:t>
      </w:r>
    </w:p>
    <w:p>
      <w:pPr>
        <w:spacing w:after="0" w:line="3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12, 2021 </w:t>
      </w:r>
      <w:r>
        <w:rPr>
          <w:rFonts w:ascii="Arial" w:cs="Arial" w:eastAsia="Arial" w:hAnsi="Arial"/>
          <w:sz w:val="18"/>
          <w:szCs w:val="18"/>
          <w:color w:val="auto"/>
        </w:rPr>
        <w:t>-- National Vision Holdings, Inc. (NASDAQ: EYE) (“National Vision” or the “Company”) today reported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second quarter ended July 3, 2021.</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lack of comparability to the second quarter of fiscal 2020 when the Company temporarily closed all of its retail locations to the public through early June due to COVID-19, this release includes a comparison of fiscal 2021 results to fiscal 2019 pre-COVID results, in addition to a condensed comparison to fiscal 2020. For a complete discussion of fiscal 2021 results as compared to fiscal 2020, please see our Quarterly Report on Form 10-Q for the quarter ended July 3, 2021 filed with the Securities and Exchange Commission.</w:t>
      </w:r>
    </w:p>
    <w:p>
      <w:pPr>
        <w:spacing w:after="0" w:line="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National Vision team delivered exceptionally strong results for the second quarter,” stated Reade Fahs, chief executive officer. “We believe our continued operating momentum further demonstrates the benefit from the hastening of industry trends that favor our low price model and strong store-level execution to meet heightened demand for affordable eyewear and eye care. I would like to thank the 2,000-plus optometrists and over 13,000 associates at National Vision for their continued resilience and commitment to serve our patients and customers.”</w:t>
      </w:r>
    </w:p>
    <w:p>
      <w:pPr>
        <w:spacing w:after="0" w:line="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Mr. Fahs continued, “During the quarter, we opened 20 stores and achieved another major milestone, as our trailing twelve month net revenue surpassed $2 billion. Also, we were pleased by the positive trend in customer transactions throughout the quarter, especially in June when we lapped record re-opening results last year. Looking ahead, we continue to be excited about our long-term opportunities for expansion and market share growth. Given our consistent performance since re-opening last year and our safety first approach, we are confident in our ability to navigate the challenging and dynamic environment and remain in a position of strength to drive long-term value for our stakeholders.”</w:t>
      </w:r>
    </w:p>
    <w:p>
      <w:pPr>
        <w:spacing w:after="0" w:line="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Adjusted Comparable Store Sales Growth, Adjusted Operating Income, Adjusted EBITDA, Adjusted Diluted EPS, Adjusted Operating Margin, Adjusted EBITDA Margin, and EBITDA are not measures recognized under generally accepted accounting principles (“GAAP”). Please see “Non-GAAP Financial Measures” and “Reconciliation of Non-GAAP to GAAP Financial Measures” below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Summary compared to Second Quarter 2019</w:t>
      </w:r>
    </w:p>
    <w:p>
      <w:pPr>
        <w:spacing w:after="0" w:line="121"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increased 28.0% to $549.5 million compared to the second quarter of 2019.</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from the timing of unearned revenue on net revenue and profitability was immaterial.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was 22.5% and Adjusted Comparable Store Sales Growth was 23.5%.</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second quarter of 2021, the Company opened 20 new stores, closed one store, and ended the quarter with 1,249 stores. Overall, store count grew 10.7% from June 29, 2019 to July 3, 2021.</w:t>
      </w:r>
    </w:p>
    <w:p>
      <w:pPr>
        <w:jc w:val="both"/>
        <w:ind w:left="340" w:hanging="332"/>
        <w:spacing w:after="0" w:line="277" w:lineRule="auto"/>
        <w:tabs>
          <w:tab w:leader="none" w:pos="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applicable to revenue increased 16.5% to $235.9 million compared to the second quarter of 2019. As a percentage of net revenue, costs applicable to revenue decreased 430 basis points to 42.9% compared to the second quarter of 2019. This decrease as a percentage of net revenue was primarily driven by lower growth in optometrist costs, increased eyeglass mix and higher eyeglass margin.</w:t>
      </w:r>
    </w:p>
    <w:p>
      <w:pPr>
        <w:sectPr>
          <w:pgSz w:w="11900" w:h="16838" w:orient="portrait"/>
          <w:cols w:equalWidth="0" w:num="1">
            <w:col w:w="11240"/>
          </w:cols>
          <w:pgMar w:left="320" w:top="121" w:right="339" w:bottom="1440" w:gutter="0" w:footer="0" w:header="0"/>
        </w:sectPr>
      </w:pPr>
    </w:p>
    <w:bookmarkStart w:id="5" w:name="page6"/>
    <w:bookmarkEnd w:id="5"/>
    <w:p>
      <w:pPr>
        <w:jc w:val="both"/>
        <w:ind w:left="340" w:hanging="332"/>
        <w:spacing w:after="0" w:line="254"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increased 28.5% to $234.2 million compared to the second quarter of 2019. As a percentage of net revenue, SG&amp;A increased 20 basis points to 42.6% compared to the second quarter of 2019. This increase as a percentage of net revenue was primarily driven by higher stock compensation expense, higher performance-based incentive compensation and higher advertising investment, partially offset by leverage of corporate overhead and occupancy expenses.</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Net income increased 267% to $37.6 million compared to the second quarter of 2019.</w:t>
      </w:r>
    </w:p>
    <w:p>
      <w:pPr>
        <w:spacing w:after="0" w:line="9" w:lineRule="exact"/>
        <w:rPr>
          <w:rFonts w:ascii="Arial" w:cs="Arial" w:eastAsia="Arial" w:hAnsi="Arial"/>
          <w:sz w:val="18"/>
          <w:szCs w:val="18"/>
          <w:i w:val="1"/>
          <w:iCs w:val="1"/>
          <w:color w:val="auto"/>
        </w:rPr>
      </w:pPr>
    </w:p>
    <w:p>
      <w:pPr>
        <w:ind w:left="340" w:hanging="332"/>
        <w:spacing w:after="0" w:line="250"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Diluted earnings per share increased 230% to $0.42 compared to the second quarter of 2019. Adjusted Diluted EPS increased 163% to $0.48 compared to the second quarter of 2019.</w:t>
      </w:r>
    </w:p>
    <w:p>
      <w:pPr>
        <w:ind w:left="340" w:hanging="332"/>
        <w:spacing w:after="0" w:line="26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Income increased 125% to $65.6 million compared to the second quarter of 2019. Adjusted Operating Margin increased 510 basis points to 11.9% compared to the second quarter of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Summary compared to Second Quarter 2020 (condensed)</w:t>
      </w:r>
    </w:p>
    <w:p>
      <w:pPr>
        <w:spacing w:after="0" w:line="12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increased 111% to $549.5 million compared to the second quarter of 2020.</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was positively impacted by 16.5% due to the timing of unearned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growth was 99.1% and Adjusted Comparable Store Sales Growth was 76.7%.</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opened 20 new stores, closed one store, and ended the quarter with 1,249 stores. Overall, store count grew 5.5% from June 27, 2020 to July 3, 2021.</w:t>
      </w: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increased 186% to $37.6 million compared to the second quarter of 2020.</w:t>
      </w:r>
    </w:p>
    <w:p>
      <w:pPr>
        <w:spacing w:after="0" w:line="9"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6"/>
        </w:numPr>
        <w:rPr>
          <w:rFonts w:ascii="Arial" w:cs="Arial" w:eastAsia="Arial" w:hAnsi="Arial"/>
          <w:sz w:val="16"/>
          <w:szCs w:val="16"/>
          <w:i w:val="1"/>
          <w:iCs w:val="1"/>
          <w:color w:val="auto"/>
        </w:rPr>
      </w:pPr>
      <w:r>
        <w:rPr>
          <w:rFonts w:ascii="Arial" w:cs="Arial" w:eastAsia="Arial" w:hAnsi="Arial"/>
          <w:sz w:val="16"/>
          <w:szCs w:val="16"/>
          <w:color w:val="auto"/>
        </w:rPr>
        <w:t>Diluted earnings (loss) per share increased 176% to $0.42 compared to the second quarter of 2020. Adjusted Diluted EPS (loss) increased 217% to $0.48 compared to the second quarter of 2020. The net change in margin on unearned revenue positively impacted Adjusted Diluted EPS by $0.29.</w:t>
      </w:r>
    </w:p>
    <w:p>
      <w:pPr>
        <w:spacing w:after="0" w:line="1" w:lineRule="exact"/>
        <w:rPr>
          <w:rFonts w:ascii="Arial" w:cs="Arial" w:eastAsia="Arial" w:hAnsi="Arial"/>
          <w:sz w:val="16"/>
          <w:szCs w:val="16"/>
          <w:i w:val="1"/>
          <w:iCs w:val="1"/>
          <w:color w:val="auto"/>
        </w:rPr>
      </w:pPr>
    </w:p>
    <w:p>
      <w:pPr>
        <w:jc w:val="both"/>
        <w:ind w:left="340" w:hanging="332"/>
        <w:spacing w:after="0" w:line="255"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Operating Income increased 290% to $65.6 million compared to the second quarter of 2020. Adjusted Operating Margin increased 2,510 basis points to 11.9% compared to the second quarter of 2020. The net change in margin on unearned revenue positively impacted Adjusted Operating Income by $32.5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Period 2021 Summary compared to Six-Month Period 2019</w:t>
      </w:r>
    </w:p>
    <w:p>
      <w:pPr>
        <w:spacing w:after="0" w:line="12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 increased 21.7% to $1.1 billion compared to the same period of 2019.</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 was negatively impacted by 0.8% due to the timing of unearned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Comparable store sales growth was 15.5% and Adjusted Comparable Store Sales Growth was 16.7%.</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opened 45 new stores, closed one store, and ended the period with 1,249 stores.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applicable to revenue increased 11.1% to $460.6 million compared to the same period of 2019. As a percentage of net revenue, costs applicable to revenue decreased 400 basis points to 42.5% compared to the same period of 2019. This decrease as a percentage of net revenue was primarily driven by higher eyeglass margin, a higher mix of exam sales, and a lower growth in optometrist costs.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increased 21.7% to $457.8 million compared to the same period of 2019. As a percentage of net revenue, SG&amp;A was unchanged at 42.2% compared to the same period of 2019. As a percentage of net revenue, the leverage of corporate overhead, occupancy and advertising expenses was offset by higher performance-based incentive compensation and higher stock compensation expense.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increased 193% to $81.0 million compared to the same period of 2019.</w:t>
      </w:r>
    </w:p>
    <w:p>
      <w:pPr>
        <w:spacing w:after="0" w:line="9" w:lineRule="exact"/>
        <w:rPr>
          <w:rFonts w:ascii="Arial" w:cs="Arial" w:eastAsia="Arial" w:hAnsi="Arial"/>
          <w:sz w:val="18"/>
          <w:szCs w:val="18"/>
          <w:color w:val="auto"/>
        </w:rPr>
      </w:pPr>
    </w:p>
    <w:p>
      <w:pPr>
        <w:ind w:left="340" w:hanging="332"/>
        <w:spacing w:after="0" w:line="265" w:lineRule="auto"/>
        <w:tabs>
          <w:tab w:leader="none" w:pos="335" w:val="left"/>
        </w:tabs>
        <w:numPr>
          <w:ilvl w:val="0"/>
          <w:numId w:val="7"/>
        </w:numPr>
        <w:rPr>
          <w:rFonts w:ascii="Arial" w:cs="Arial" w:eastAsia="Arial" w:hAnsi="Arial"/>
          <w:sz w:val="17"/>
          <w:szCs w:val="17"/>
          <w:i w:val="1"/>
          <w:iCs w:val="1"/>
          <w:color w:val="auto"/>
        </w:rPr>
      </w:pPr>
      <w:r>
        <w:rPr>
          <w:rFonts w:ascii="Arial" w:cs="Arial" w:eastAsia="Arial" w:hAnsi="Arial"/>
          <w:sz w:val="17"/>
          <w:szCs w:val="17"/>
          <w:color w:val="auto"/>
        </w:rPr>
        <w:t>Diluted earnings per share increased 163% to $0.89 compared to the same period of 2019. Adjusted Diluted EPS increased 96.3% to $0.97 compared to the same period of 2019. The net change in margin on unearned revenue negatively impacted Adjusted Diluted EPS by $0.04.</w:t>
      </w:r>
    </w:p>
    <w:p>
      <w:pPr>
        <w:jc w:val="both"/>
        <w:ind w:left="340" w:right="20" w:hanging="332"/>
        <w:spacing w:after="0" w:line="255"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Operating Income increased 85.7% to $133.2 million compared to the same period of 2019. Adjusted Operating Margin increased 420 basis points to 12.3% compared to the same period of 2019. The net change in margin on unearned revenue negatively impacted Adjusted Operating Income by $5.8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Period 2021 Summary compared to Six-Month Period 2020 (condensed)</w:t>
      </w:r>
    </w:p>
    <w:p>
      <w:pPr>
        <w:spacing w:after="0" w:line="12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 increased 48.5% to $1.1 billion compared to the same period of 2020.</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 was positively impacted by 1.1% due to the timing of unearned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Comparable store sales growth was 48.9% and Adjusted Comparable Store Sales Growth was 53.3%.</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increased 338% to $81.0 million compared to the same period of 2020.</w:t>
      </w:r>
    </w:p>
    <w:p>
      <w:pPr>
        <w:spacing w:after="0" w:line="9"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Diluted earnings (loss) per share increased 310% to $0.89 compared to the same period of 2020. Adjusted Diluted EPS (loss) increased 855% to $0.97 compared to the same period of 2020. The net change in margin on unearned revenue positively impacted Adjusted Diluted EPS by $0.07.</w:t>
      </w:r>
    </w:p>
    <w:p>
      <w:pPr>
        <w:spacing w:after="0" w:line="1" w:lineRule="exact"/>
        <w:rPr>
          <w:rFonts w:ascii="Arial" w:cs="Arial" w:eastAsia="Arial" w:hAnsi="Arial"/>
          <w:sz w:val="16"/>
          <w:szCs w:val="16"/>
          <w:color w:val="auto"/>
        </w:rPr>
      </w:pPr>
    </w:p>
    <w:p>
      <w:pPr>
        <w:jc w:val="both"/>
        <w:ind w:left="340" w:hanging="332"/>
        <w:spacing w:after="0" w:line="255"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Operating Income increased to $133.2 million compared to the same period of 2020. Adjusted Operating Margin increased 1,180 basis points to 12.3% compared to the same period of 2020. The net change in margin on unearned revenue positively impacted Adjusted Operating Income by $6.1 million.</w:t>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Balance Sheet and Cash Flow Highlights as of July 3, 2021</w:t>
      </w:r>
    </w:p>
    <w:p>
      <w:pPr>
        <w:spacing w:after="0" w:line="121" w:lineRule="exact"/>
        <w:rPr>
          <w:sz w:val="20"/>
          <w:szCs w:val="20"/>
          <w:color w:val="auto"/>
        </w:rPr>
      </w:pPr>
    </w:p>
    <w:p>
      <w:pPr>
        <w:ind w:left="340" w:hanging="332"/>
        <w:spacing w:after="0" w:line="258"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cash balance was $408.3 million as of July 3, 2021. The Company had no borrowings under its $300.0 million first lien revolving credit facility, exclusive of letters of credit of $6.4 million.</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debt was $620.4 million as of July 3, 2021, consisting of outstanding first lien term loans, convertible senior notes and finance lease obligations, net of unamortized discounts.</w:t>
      </w:r>
    </w:p>
    <w:p>
      <w:pPr>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June 2021, the Company voluntarily prepaid $117.4 million in existing Term A loans. In addition, the Company amended its credit agreement to reduce the applicable margin for interest rate calculations and modify certain financial covenants back to pre-COVID terms.</w:t>
      </w:r>
    </w:p>
    <w:p>
      <w:pPr>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flows from operating activities for the first six-months of 2021 were $189.8 million compared to $71.4 million for the same period of 2020 and $119.3 million for the same period of 2019.</w:t>
      </w:r>
    </w:p>
    <w:p>
      <w:pPr>
        <w:ind w:left="340" w:hanging="332"/>
        <w:spacing w:after="0" w:line="26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for the first six-months of 2021 totaled $38.8 million compared to $25.8 million for the same period of 2020 and $52.1 million for the same period of 2019.</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Outlook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updated fiscal 2021 outlook reflects the currently expected impacts related to COVID-19, however, the ultimate impacts of COVID-19 on the Company’s financial outlook remain uncertain. The outlook shown below assumes no material deterioration to the Company’s current business operations as a result of COVID-19 and its variants, governmental actions and regulations. Given the uncertainties, dynamic nature, variants, and unknown duration of the pandemic, the Company is continuing to evaluate additional measures that may be taken to respond to the impact of COVID-19 on its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updated outlook for the 52 weeks ending January 1, 2022:</w:t>
      </w:r>
    </w:p>
    <w:p>
      <w:pPr>
        <w:spacing w:after="0" w:line="15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68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Updated Fiscal 2021 Outlook</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1"/>
              </w:rPr>
              <w:t>Prior Fiscal 2021 Outlook</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1"/>
              </w:rPr>
              <w:t>~75</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~75</w:t>
            </w:r>
          </w:p>
        </w:tc>
      </w:tr>
      <w:tr>
        <w:trPr>
          <w:trHeight w:val="229"/>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3"/>
                <w:szCs w:val="23"/>
                <w:color w:val="auto"/>
                <w:vertAlign w:val="superscript"/>
              </w:rPr>
              <w:t>1</w:t>
            </w:r>
          </w:p>
        </w:tc>
        <w:tc>
          <w:tcPr>
            <w:tcW w:w="3680" w:type="dxa"/>
            <w:vAlign w:val="bottom"/>
          </w:tcPr>
          <w:p>
            <w:pPr>
              <w:jc w:val="center"/>
              <w:ind w:left="430"/>
              <w:spacing w:after="0"/>
              <w:rPr>
                <w:sz w:val="20"/>
                <w:szCs w:val="20"/>
                <w:color w:val="auto"/>
              </w:rPr>
            </w:pPr>
            <w:r>
              <w:rPr>
                <w:rFonts w:ascii="Arial" w:cs="Arial" w:eastAsia="Arial" w:hAnsi="Arial"/>
                <w:sz w:val="18"/>
                <w:szCs w:val="18"/>
                <w:color w:val="auto"/>
                <w:w w:val="90"/>
              </w:rPr>
              <w:t>19% - 22%</w:t>
            </w:r>
          </w:p>
        </w:tc>
        <w:tc>
          <w:tcPr>
            <w:tcW w:w="2940" w:type="dxa"/>
            <w:vAlign w:val="bottom"/>
          </w:tcPr>
          <w:p>
            <w:pPr>
              <w:jc w:val="center"/>
              <w:spacing w:after="0"/>
              <w:rPr>
                <w:sz w:val="20"/>
                <w:szCs w:val="20"/>
                <w:color w:val="auto"/>
              </w:rPr>
            </w:pPr>
            <w:r>
              <w:rPr>
                <w:rFonts w:ascii="Arial" w:cs="Arial" w:eastAsia="Arial" w:hAnsi="Arial"/>
                <w:sz w:val="18"/>
                <w:szCs w:val="18"/>
                <w:color w:val="auto"/>
                <w:w w:val="93"/>
              </w:rPr>
              <w:t>16% - 19%</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4"/>
              </w:rPr>
              <w:t>$2.01 - $2.06 billion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$1.975 - $2.025 billion</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680" w:type="dxa"/>
            <w:vAlign w:val="bottom"/>
          </w:tcPr>
          <w:p>
            <w:pPr>
              <w:jc w:val="center"/>
              <w:ind w:left="430"/>
              <w:spacing w:after="0"/>
              <w:rPr>
                <w:sz w:val="20"/>
                <w:szCs w:val="20"/>
                <w:color w:val="auto"/>
              </w:rPr>
            </w:pPr>
            <w:r>
              <w:rPr>
                <w:rFonts w:ascii="Arial" w:cs="Arial" w:eastAsia="Arial" w:hAnsi="Arial"/>
                <w:sz w:val="18"/>
                <w:szCs w:val="18"/>
                <w:color w:val="auto"/>
                <w:w w:val="94"/>
              </w:rPr>
              <w:t>$180 - $187 million</w:t>
            </w:r>
          </w:p>
        </w:tc>
        <w:tc>
          <w:tcPr>
            <w:tcW w:w="2940" w:type="dxa"/>
            <w:vAlign w:val="bottom"/>
          </w:tcPr>
          <w:p>
            <w:pPr>
              <w:jc w:val="center"/>
              <w:spacing w:after="0"/>
              <w:rPr>
                <w:sz w:val="20"/>
                <w:szCs w:val="20"/>
                <w:color w:val="auto"/>
              </w:rPr>
            </w:pPr>
            <w:r>
              <w:rPr>
                <w:rFonts w:ascii="Arial" w:cs="Arial" w:eastAsia="Arial" w:hAnsi="Arial"/>
                <w:sz w:val="18"/>
                <w:szCs w:val="18"/>
                <w:color w:val="auto"/>
                <w:w w:val="94"/>
              </w:rPr>
              <w:t>$155 - $162 million</w:t>
            </w: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3"/>
                <w:szCs w:val="23"/>
                <w:color w:val="auto"/>
                <w:vertAlign w:val="superscript"/>
              </w:rPr>
              <w:t>2</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0"/>
              </w:rPr>
              <w:t>$1.28 - $1.33</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$1.07 - $1.12</w:t>
            </w:r>
          </w:p>
        </w:tc>
      </w:tr>
      <w:tr>
        <w:trPr>
          <w:trHeight w:val="229"/>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3</w:t>
            </w:r>
          </w:p>
        </w:tc>
        <w:tc>
          <w:tcPr>
            <w:tcW w:w="3680" w:type="dxa"/>
            <w:vAlign w:val="bottom"/>
          </w:tcPr>
          <w:p>
            <w:pPr>
              <w:jc w:val="center"/>
              <w:ind w:left="430"/>
              <w:spacing w:after="0"/>
              <w:rPr>
                <w:sz w:val="20"/>
                <w:szCs w:val="20"/>
                <w:color w:val="auto"/>
              </w:rPr>
            </w:pPr>
            <w:r>
              <w:rPr>
                <w:rFonts w:ascii="Arial" w:cs="Arial" w:eastAsia="Arial" w:hAnsi="Arial"/>
                <w:sz w:val="18"/>
                <w:szCs w:val="18"/>
                <w:color w:val="auto"/>
                <w:w w:val="95"/>
              </w:rPr>
              <w:t>~$98 million</w:t>
            </w: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$97 - $98 million</w:t>
            </w: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w:t>
            </w:r>
            <w:r>
              <w:rPr>
                <w:rFonts w:ascii="Arial" w:cs="Arial" w:eastAsia="Arial" w:hAnsi="Arial"/>
                <w:sz w:val="23"/>
                <w:szCs w:val="23"/>
                <w:color w:val="auto"/>
                <w:vertAlign w:val="superscript"/>
              </w:rPr>
              <w:t>4</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~$25 million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~$28 million</w:t>
            </w:r>
          </w:p>
        </w:tc>
      </w:tr>
      <w:tr>
        <w:trPr>
          <w:trHeight w:val="230"/>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Tax Rate</w:t>
            </w:r>
            <w:r>
              <w:rPr>
                <w:rFonts w:ascii="Arial" w:cs="Arial" w:eastAsia="Arial" w:hAnsi="Arial"/>
                <w:sz w:val="23"/>
                <w:szCs w:val="23"/>
                <w:color w:val="auto"/>
                <w:vertAlign w:val="superscript"/>
              </w:rPr>
              <w:t>5</w:t>
            </w:r>
          </w:p>
        </w:tc>
        <w:tc>
          <w:tcPr>
            <w:tcW w:w="3680" w:type="dxa"/>
            <w:vAlign w:val="bottom"/>
          </w:tcPr>
          <w:p>
            <w:pPr>
              <w:jc w:val="center"/>
              <w:ind w:left="430"/>
              <w:spacing w:after="0"/>
              <w:rPr>
                <w:sz w:val="20"/>
                <w:szCs w:val="20"/>
                <w:color w:val="auto"/>
              </w:rPr>
            </w:pPr>
            <w:r>
              <w:rPr>
                <w:rFonts w:ascii="Arial" w:cs="Arial" w:eastAsia="Arial" w:hAnsi="Arial"/>
                <w:sz w:val="18"/>
                <w:szCs w:val="18"/>
                <w:color w:val="auto"/>
                <w:w w:val="94"/>
              </w:rPr>
              <w:t>~26%</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~26%</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4"/>
              </w:rPr>
              <w:t>$100 - $105 million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$100 - $105 million</w:t>
            </w:r>
          </w:p>
        </w:tc>
      </w:tr>
    </w:tbl>
    <w:p>
      <w:pPr>
        <w:spacing w:after="0" w:line="25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1 - For the 52 weeks ending January 1, 2022 compared to the 52 weeks ended January 2, 2021</w:t>
      </w:r>
    </w:p>
    <w:p>
      <w:pPr>
        <w:ind w:left="280"/>
        <w:spacing w:after="0" w:line="201" w:lineRule="auto"/>
        <w:rPr>
          <w:sz w:val="20"/>
          <w:szCs w:val="20"/>
          <w:color w:val="auto"/>
        </w:rPr>
      </w:pPr>
      <w:r>
        <w:rPr>
          <w:rFonts w:ascii="Arial" w:cs="Arial" w:eastAsia="Arial" w:hAnsi="Arial"/>
          <w:sz w:val="14"/>
          <w:szCs w:val="14"/>
          <w:i w:val="1"/>
          <w:iCs w:val="1"/>
          <w:color w:val="auto"/>
        </w:rPr>
        <w:t>2 - Assumes 96.3 million shares, including 12.9 million shares for the convertible notes calculated using the if-converted method</w:t>
      </w:r>
    </w:p>
    <w:p>
      <w:pPr>
        <w:ind w:left="280"/>
        <w:spacing w:after="0" w:line="201" w:lineRule="auto"/>
        <w:rPr>
          <w:sz w:val="20"/>
          <w:szCs w:val="20"/>
          <w:color w:val="auto"/>
        </w:rPr>
      </w:pPr>
      <w:r>
        <w:rPr>
          <w:rFonts w:ascii="Arial" w:cs="Arial" w:eastAsia="Arial" w:hAnsi="Arial"/>
          <w:sz w:val="14"/>
          <w:szCs w:val="14"/>
          <w:i w:val="1"/>
          <w:iCs w:val="1"/>
          <w:color w:val="auto"/>
        </w:rPr>
        <w:t>3 - Includes amortization of acquisition intangibles of approximately $7.5 million for the 52 weeks ending January 1, 2022</w:t>
      </w:r>
    </w:p>
    <w:p>
      <w:pPr>
        <w:ind w:left="280"/>
        <w:spacing w:after="0" w:line="201" w:lineRule="auto"/>
        <w:rPr>
          <w:sz w:val="20"/>
          <w:szCs w:val="20"/>
          <w:color w:val="auto"/>
        </w:rPr>
      </w:pPr>
      <w:r>
        <w:rPr>
          <w:rFonts w:ascii="Arial" w:cs="Arial" w:eastAsia="Arial" w:hAnsi="Arial"/>
          <w:sz w:val="14"/>
          <w:szCs w:val="14"/>
          <w:i w:val="1"/>
          <w:iCs w:val="1"/>
          <w:color w:val="auto"/>
        </w:rPr>
        <w:t>4 - Before the impact of gains or losses related to hedge ineffectiveness and charges related to amortization of debt discounts and deferred financing costs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5 - Excluding the impact of stock option exercises</w:t>
      </w:r>
    </w:p>
    <w:p>
      <w:pPr>
        <w:spacing w:after="0" w:line="200" w:lineRule="exact"/>
        <w:rPr>
          <w:sz w:val="20"/>
          <w:szCs w:val="20"/>
          <w:color w:val="auto"/>
        </w:rPr>
      </w:pPr>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fiscal 2021 outlook information provided above includes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The fiscal 2021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2021 outlook. The Company uses these forward looking measures internally to assess and benchmark its results and strategic plans.</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conference call to discuss the second quarter 2021 financial results is scheduled for today, August 12, 2021, at 10:00 a.m. Eastern Time. The U.S. toll free dial-in for the conference call is 866-754-6931 and the international dial-in is 636-812-6625. The conference passcode is 5298057. A live audio webcast of the conference call will be available on the “Investors” section of the Company’s website </w:t>
      </w:r>
      <w:r>
        <w:rPr>
          <w:rFonts w:ascii="Arial" w:cs="Arial" w:eastAsia="Arial" w:hAnsi="Arial"/>
          <w:sz w:val="18"/>
          <w:szCs w:val="18"/>
          <w:u w:val="single" w:color="auto"/>
          <w:color w:val="0E32E1"/>
        </w:rPr>
        <w:t>www.nationalvision.com/investors</w:t>
      </w:r>
      <w:r>
        <w:rPr>
          <w:rFonts w:ascii="Arial" w:cs="Arial" w:eastAsia="Arial" w:hAnsi="Arial"/>
          <w:sz w:val="18"/>
          <w:szCs w:val="18"/>
          <w:color w:val="auto"/>
        </w:rPr>
        <w:t>, where presentation materials will be posted prior to the conference call.</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telephone replay will be available shortly after the broadcast through Thursday, August 19, 2021, by dialing 855-859-2056 from the U.S. or 404-537-3406 from international locations, and entering conference passcode 5298057. A replay of the audio webcast will also be archived on the “Investors” section of the Company’s website.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National Vision Holdings, Inc. is the second largest optical retail company in the United States (by sales) with more than 1,200 retail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2021 Outlook” as well as other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COVID-19 pandemic and its resurgence and variants, and the impact of evolving federal, state, and local governmental actions in response thereto; customer behavior in response to the continuing pandemic and its more recent outbreaks of variants; our ability to keep our reopened stores open in a safe and cost-effective manner, or at all, in light of the continuing COVID-19 pandemic and its resurgence and variants; our ability to recruit and retain vision care professionals for our stores in general and in light of the pandemic; our ability to develop, maintain and extend relationships with managed vision care companies, vision insurance providers and other third-party payors; our ability to maintain the performance of our host and legacy brands and our current operating relationships with our host and legacy partners; our ability to adhere to extensive state, local and federal vision care and healthcare laws and regulations; our compliance with managed vision care laws and regulations; our ability to maintain sufficient levels of cash flow from our operations to execute or sustain our growth strategy or obtain additional financing at satisfactory terms or at all; the loss of, or disruption in the operations of, one or more of our distribution centers and/or optical laboratories, resulting in the inability to fulfill customer orders and deliver our products in a timely manner; risks associated with vendors from whom our products are sourced, including our dependence on a limited number of suppliers; our ability to compete successfully; our ability to effectively operate our information technology systems and prevent interruption or security breach; our growth strategy straining our existing resources and causing the performance of our existing stores to suffer; the impact of wage rate increases, inflation, cost increases and increases in raw material prices and energy prices; our ability to successfully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overall decline in the health of the economy and other factors impacting consumer spending; our ability to manage our inventory; seasonal fluctuations in our operating results and inventory levels; our reliance on third-party coverage and reimbursement, including government programs, for an increasing portion of our revenues; risks associated with our e-commerce and omni-channel business; product liability, product recall or personal injury issues; our failure to comply with, or changes in,</w:t>
      </w:r>
    </w:p>
    <w:p>
      <w:pPr>
        <w:sectPr>
          <w:pgSz w:w="11900" w:h="16838" w:orient="portrait"/>
          <w:cols w:equalWidth="0" w:num="1">
            <w:col w:w="11240"/>
          </w:cols>
          <w:pgMar w:left="320" w:top="891" w:right="339" w:bottom="1440" w:gutter="0" w:footer="0" w:header="0"/>
        </w:sectPr>
      </w:pPr>
    </w:p>
    <w:bookmarkStart w:id="8" w:name="page9"/>
    <w:bookmarkEnd w:id="8"/>
    <w:p>
      <w:pPr>
        <w:jc w:val="both"/>
        <w:spacing w:after="0" w:line="288" w:lineRule="auto"/>
        <w:rPr>
          <w:sz w:val="20"/>
          <w:szCs w:val="20"/>
          <w:color w:val="auto"/>
        </w:rPr>
      </w:pPr>
      <w:r>
        <w:rPr>
          <w:rFonts w:ascii="Arial" w:cs="Arial" w:eastAsia="Arial" w:hAnsi="Arial"/>
          <w:sz w:val="16"/>
          <w:szCs w:val="16"/>
          <w:color w:val="auto"/>
        </w:rPr>
        <w:t>laws, regulations, enforcement activities and other requirements; the impact of any adverse litigation judgments or settlements resulting from legal proceedings relating to our business operations; risk of losses arising from our investments in technological innovators in the optical retail industry; our ability to adequately protect our intellectual property;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subsequently filed reports,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(loss), plus interest expense, income tax provision (benefit) and 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Adjusted Operating Income: </w:t>
      </w:r>
      <w:r>
        <w:rPr>
          <w:rFonts w:ascii="Arial" w:cs="Arial" w:eastAsia="Arial" w:hAnsi="Arial"/>
          <w:sz w:val="18"/>
          <w:szCs w:val="18"/>
          <w:color w:val="auto"/>
        </w:rPr>
        <w:t>We define Adjusted Operating Income as net income (loss), plus interest expense and income tax provision (benefit),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to exclude stock compensation expense, asset impairment, litigation settlement, management realignment expenses, long-term incentive plan expense, amortization of acquisition intangibles, and other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net income, plus interest expense, income tax provision (benefit) and depreciation and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adjusted to exclude stock compensation expense, asset impairment, litigation settlement, management realignment expenses, long-term incentive plan expense, and other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Adjusted Diluted EPS: </w:t>
      </w:r>
      <w:r>
        <w:rPr>
          <w:rFonts w:ascii="Arial" w:cs="Arial" w:eastAsia="Arial" w:hAnsi="Arial"/>
          <w:sz w:val="18"/>
          <w:szCs w:val="18"/>
          <w:color w:val="auto"/>
        </w:rPr>
        <w:t>We define Adjusted Diluted EPS as diluted earnings (loss) per share, adjusted for the per share impact of stock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asset impairment, litigation settlement, management realignment expenses, long-term incentive plan expense, amortization of acquisition intangibles, amortization of debt discount and deferred financing costs of our term loan borrowings, amortization of costs related to our 2025 Notes, losses (gains) on change in fair value of derivatives,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Adjusted SG&amp;A: </w:t>
      </w:r>
      <w:r>
        <w:rPr>
          <w:rFonts w:ascii="Arial" w:cs="Arial" w:eastAsia="Arial" w:hAnsi="Arial"/>
          <w:sz w:val="18"/>
          <w:szCs w:val="18"/>
          <w:color w:val="auto"/>
        </w:rPr>
        <w:t>We define Adjusted SG&amp;A as SG&amp;A, adjusted to exclude stock compensation expense, management realignment expenses,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expense, and other expenses.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SG&amp;A Percent of Net Revenue: </w:t>
      </w:r>
      <w:r>
        <w:rPr>
          <w:rFonts w:ascii="Arial" w:cs="Arial" w:eastAsia="Arial" w:hAnsi="Arial"/>
          <w:sz w:val="17"/>
          <w:szCs w:val="17"/>
          <w:color w:val="auto"/>
        </w:rPr>
        <w:t>We define Adjusted SG&amp;A Percent of Net Revenue as Adjusted SG&amp;A as a percentage of net revenue.</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Adjusted Comparable Store Sales Growth: </w:t>
      </w:r>
      <w:r>
        <w:rPr>
          <w:rFonts w:ascii="Arial" w:cs="Arial" w:eastAsia="Arial" w:hAnsi="Arial"/>
          <w:sz w:val="17"/>
          <w:szCs w:val="17"/>
          <w:color w:val="auto"/>
        </w:rPr>
        <w:t>We measure Adjusted Comparable Store Sales Growth as the increase or decrease in sales recorded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our stores to the public in 2020 as a result of the COVID-19 pandemic.</w:t>
      </w:r>
    </w:p>
    <w:p>
      <w:pPr>
        <w:spacing w:after="0" w:line="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EBITDA, Adjusted Operating Income, Adjusted Operating Margin, Adjusted EBITDA, Adjusted EBITDA Margin, Adjusted Diluted EPS, Adjusted SG&amp;A, Adjusted SG&amp;A Percent of Net Revenue, and Adjusted Comparable Store Sales Growth are not recognized terms under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July 3, 2021 and January 2,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7"/>
                <w:szCs w:val="17"/>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260" w:type="dxa"/>
            <w:vAlign w:val="bottom"/>
          </w:tcPr>
          <w:p>
            <w:pPr>
              <w:spacing w:after="0"/>
              <w:rPr>
                <w:sz w:val="17"/>
                <w:szCs w:val="17"/>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7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July 3, 2021</w:t>
            </w:r>
          </w:p>
        </w:tc>
        <w:tc>
          <w:tcPr>
            <w:tcW w:w="260" w:type="dxa"/>
            <w:vAlign w:val="bottom"/>
          </w:tcPr>
          <w:p>
            <w:pPr>
              <w:spacing w:after="0"/>
              <w:rPr>
                <w:sz w:val="19"/>
                <w:szCs w:val="19"/>
                <w:color w:val="auto"/>
              </w:rPr>
            </w:pPr>
          </w:p>
        </w:tc>
        <w:tc>
          <w:tcPr>
            <w:tcW w:w="1720" w:type="dxa"/>
            <w:vAlign w:val="bottom"/>
          </w:tcPr>
          <w:p>
            <w:pPr>
              <w:jc w:val="right"/>
              <w:ind w:right="330"/>
              <w:spacing w:after="0"/>
              <w:rPr>
                <w:sz w:val="20"/>
                <w:szCs w:val="20"/>
                <w:color w:val="auto"/>
              </w:rPr>
            </w:pPr>
            <w:r>
              <w:rPr>
                <w:rFonts w:ascii="Arial" w:cs="Arial" w:eastAsia="Arial" w:hAnsi="Arial"/>
                <w:sz w:val="18"/>
                <w:szCs w:val="18"/>
                <w:color w:val="auto"/>
                <w:w w:val="99"/>
              </w:rPr>
              <w:t>January 2, 2021</w:t>
            </w:r>
          </w:p>
        </w:tc>
        <w:tc>
          <w:tcPr>
            <w:tcW w:w="0" w:type="dxa"/>
            <w:vAlign w:val="bottom"/>
          </w:tcPr>
          <w:p>
            <w:pPr>
              <w:spacing w:after="0"/>
              <w:rPr>
                <w:sz w:val="1"/>
                <w:szCs w:val="1"/>
                <w:color w:val="auto"/>
              </w:rPr>
            </w:pPr>
          </w:p>
        </w:tc>
      </w:tr>
      <w:tr>
        <w:trPr>
          <w:trHeight w:val="20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408,301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373,903</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120,863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111,274</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w:t>
            </w:r>
          </w:p>
        </w:tc>
        <w:tc>
          <w:tcPr>
            <w:tcW w:w="0" w:type="dxa"/>
            <w:vAlign w:val="bottom"/>
          </w:tcPr>
          <w:p>
            <w:pPr>
              <w:spacing w:after="0"/>
              <w:rPr>
                <w:sz w:val="1"/>
                <w:szCs w:val="1"/>
                <w:color w:val="auto"/>
              </w:rPr>
            </w:pPr>
          </w:p>
        </w:tc>
      </w:tr>
      <w:tr>
        <w:trPr>
          <w:trHeight w:val="223"/>
        </w:trPr>
        <w:tc>
          <w:tcPr>
            <w:tcW w:w="71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608,363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566,650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335,504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341,293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777,613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45,766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340,141</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1,760,853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1,766,848</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2,369,216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64,861</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116,508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110,309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32,657</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68,612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58,899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58,356</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Long-term debt and finance lease obligations, less current portion and debt discount</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651,763</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Non-current operating lease obligations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326,478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327,371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23,483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20,828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80,939</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non-current liabilities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119,182</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89"/>
              </w:rPr>
              <w:t>Common stock, $0.01 par value; 200,000 shares authorized; 82,828 and 82,183 shares issued as</w:t>
            </w: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92"/>
              </w:rPr>
              <w:t>of July 3, 2021 and January 2, 2021, respectively; 81,855 and 81,239 shares outstanding as of</w:t>
            </w:r>
          </w:p>
        </w:tc>
        <w:tc>
          <w:tcPr>
            <w:tcW w:w="34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July 3, 2021 and January 2, 2021, respectively</w:t>
            </w:r>
          </w:p>
        </w:tc>
        <w:tc>
          <w:tcPr>
            <w:tcW w:w="34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0"/>
              </w:rPr>
              <w:t>Treasury stock, at cost; 973 and 944 shares as of July 3, 2021 and January 2, 2021, respectively</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(28,496)</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2,369,216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left="340" w:right="2420"/>
        <w:spacing w:after="0" w:line="250" w:lineRule="auto"/>
        <w:rPr>
          <w:sz w:val="20"/>
          <w:szCs w:val="20"/>
          <w:color w:val="auto"/>
        </w:rPr>
      </w:pPr>
      <w:r>
        <w:rPr>
          <w:rFonts w:ascii="Arial" w:cs="Arial" w:eastAsia="Arial" w:hAnsi="Arial"/>
          <w:sz w:val="18"/>
          <w:szCs w:val="18"/>
          <w:b w:val="1"/>
          <w:bCs w:val="1"/>
          <w:color w:val="auto"/>
        </w:rPr>
        <w:t xml:space="preserve">Condensed Consolidated Statements of Operations and Comprehensive Income For the Three and Six Months Ended July 3, 2021, June 27, 2020 and June 29, 2019 </w:t>
      </w:r>
      <w:r>
        <w:rPr>
          <w:rFonts w:ascii="Arial" w:cs="Arial" w:eastAsia="Arial" w:hAnsi="Arial"/>
          <w:sz w:val="18"/>
          <w:szCs w:val="18"/>
          <w:i w:val="1"/>
          <w:iCs w:val="1"/>
          <w:color w:val="auto"/>
        </w:rPr>
        <w:t>In Thousands, Except Earnings Per Share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color w:val="auto"/>
                <w:w w:val="89"/>
              </w:rPr>
              <w:t>Three Months Ended</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w w:val="93"/>
              </w:rPr>
              <w:t>Six Months Ended</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w w:val="92"/>
              </w:rPr>
              <w:t>July 3, 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color w:val="auto"/>
              </w:rPr>
              <w:t>June 27, 2020</w:t>
            </w:r>
          </w:p>
        </w:tc>
        <w:tc>
          <w:tcPr>
            <w:tcW w:w="1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June 29, 2019</w:t>
            </w:r>
          </w:p>
        </w:tc>
        <w:tc>
          <w:tcPr>
            <w:tcW w:w="12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color w:val="auto"/>
              </w:rPr>
              <w:t>July 3, 2021</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color w:val="auto"/>
              </w:rPr>
              <w:t>June 27, 2020</w:t>
            </w:r>
          </w:p>
        </w:tc>
        <w:tc>
          <w:tcPr>
            <w:tcW w:w="14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w w:val="90"/>
              </w:rPr>
              <w:t>June 29, 2019</w:t>
            </w:r>
          </w:p>
        </w:tc>
        <w:tc>
          <w:tcPr>
            <w:tcW w:w="0" w:type="dxa"/>
            <w:vAlign w:val="bottom"/>
          </w:tcPr>
          <w:p>
            <w:pPr>
              <w:spacing w:after="0"/>
              <w:rPr>
                <w:sz w:val="1"/>
                <w:szCs w:val="1"/>
                <w:color w:val="auto"/>
              </w:rPr>
            </w:pPr>
          </w:p>
        </w:tc>
      </w:tr>
      <w:tr>
        <w:trPr>
          <w:trHeight w:val="199"/>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20"/>
              <w:spacing w:after="0"/>
              <w:rPr>
                <w:sz w:val="20"/>
                <w:szCs w:val="20"/>
                <w:color w:val="auto"/>
              </w:rPr>
            </w:pPr>
            <w:r>
              <w:rPr>
                <w:rFonts w:ascii="Arial" w:cs="Arial" w:eastAsia="Arial" w:hAnsi="Arial"/>
                <w:sz w:val="16"/>
                <w:szCs w:val="16"/>
                <w:color w:val="auto"/>
              </w:rPr>
              <w:t>Net product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458,206</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209,707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357,533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901,273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602,548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740,693</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 of services and plans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71,918</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149,973</w:t>
            </w:r>
          </w:p>
        </w:tc>
        <w:tc>
          <w:tcPr>
            <w:tcW w:w="0" w:type="dxa"/>
            <w:vAlign w:val="bottom"/>
          </w:tcPr>
          <w:p>
            <w:pPr>
              <w:spacing w:after="0"/>
              <w:rPr>
                <w:sz w:val="1"/>
                <w:szCs w:val="1"/>
                <w:color w:val="auto"/>
              </w:rPr>
            </w:pPr>
          </w:p>
        </w:tc>
      </w:tr>
      <w:tr>
        <w:trPr>
          <w:trHeight w:val="207"/>
        </w:trPr>
        <w:tc>
          <w:tcPr>
            <w:tcW w:w="3460" w:type="dxa"/>
            <w:vAlign w:val="bottom"/>
          </w:tcPr>
          <w:p>
            <w:pPr>
              <w:ind w:left="360"/>
              <w:spacing w:after="0"/>
              <w:rPr>
                <w:sz w:val="20"/>
                <w:szCs w:val="20"/>
                <w:color w:val="auto"/>
              </w:rPr>
            </w:pPr>
            <w:r>
              <w:rPr>
                <w:rFonts w:ascii="Arial" w:cs="Arial" w:eastAsia="Arial" w:hAnsi="Arial"/>
                <w:sz w:val="16"/>
                <w:szCs w:val="16"/>
                <w:color w:val="auto"/>
              </w:rPr>
              <w:t>Total net revenue</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549,489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260,007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429,451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1,083,669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729,711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890,666</w:t>
            </w:r>
          </w:p>
        </w:tc>
        <w:tc>
          <w:tcPr>
            <w:tcW w:w="0" w:type="dxa"/>
            <w:vAlign w:val="bottom"/>
          </w:tcPr>
          <w:p>
            <w:pPr>
              <w:spacing w:after="0"/>
              <w:rPr>
                <w:sz w:val="1"/>
                <w:szCs w:val="1"/>
                <w:color w:val="auto"/>
              </w:rPr>
            </w:pPr>
          </w:p>
        </w:tc>
      </w:tr>
      <w:tr>
        <w:trPr>
          <w:trHeight w:val="165"/>
        </w:trPr>
        <w:tc>
          <w:tcPr>
            <w:tcW w:w="34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Costs applicable to revenue (exclusive of</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20"/>
              <w:spacing w:after="0"/>
              <w:rPr>
                <w:sz w:val="20"/>
                <w:szCs w:val="20"/>
                <w:color w:val="auto"/>
              </w:rPr>
            </w:pPr>
            <w:r>
              <w:rPr>
                <w:rFonts w:ascii="Arial" w:cs="Arial" w:eastAsia="Arial" w:hAnsi="Arial"/>
                <w:sz w:val="16"/>
                <w:szCs w:val="16"/>
                <w:color w:val="auto"/>
              </w:rPr>
              <w:t>Products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97,635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145,654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326,719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254,005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299,658</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 and plans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43,145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56,852</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114,817</w:t>
            </w:r>
          </w:p>
        </w:tc>
        <w:tc>
          <w:tcPr>
            <w:tcW w:w="0" w:type="dxa"/>
            <w:vAlign w:val="bottom"/>
          </w:tcPr>
          <w:p>
            <w:pPr>
              <w:spacing w:after="0"/>
              <w:rPr>
                <w:sz w:val="1"/>
                <w:szCs w:val="1"/>
                <w:color w:val="auto"/>
              </w:rPr>
            </w:pPr>
          </w:p>
        </w:tc>
      </w:tr>
      <w:tr>
        <w:trPr>
          <w:trHeight w:val="207"/>
        </w:trPr>
        <w:tc>
          <w:tcPr>
            <w:tcW w:w="3460" w:type="dxa"/>
            <w:vAlign w:val="bottom"/>
          </w:tcPr>
          <w:p>
            <w:pPr>
              <w:ind w:left="360"/>
              <w:spacing w:after="0"/>
              <w:rPr>
                <w:sz w:val="20"/>
                <w:szCs w:val="20"/>
                <w:color w:val="auto"/>
              </w:rPr>
            </w:pPr>
            <w:r>
              <w:rPr>
                <w:rFonts w:ascii="Arial" w:cs="Arial" w:eastAsia="Arial" w:hAnsi="Arial"/>
                <w:sz w:val="16"/>
                <w:szCs w:val="16"/>
                <w:color w:val="auto"/>
              </w:rPr>
              <w:t>Total costs applicable to revenue</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235,946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140,780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202,506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460,636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359,334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414,475</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234,235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136,582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182,278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457,828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330,323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376,154</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41,234</w:t>
            </w:r>
          </w:p>
        </w:tc>
        <w:tc>
          <w:tcPr>
            <w:tcW w:w="0" w:type="dxa"/>
            <w:vAlign w:val="bottom"/>
          </w:tcPr>
          <w:p>
            <w:pPr>
              <w:spacing w:after="0"/>
              <w:rPr>
                <w:sz w:val="1"/>
                <w:szCs w:val="1"/>
                <w:color w:val="auto"/>
              </w:rPr>
            </w:pPr>
          </w:p>
        </w:tc>
      </w:tr>
      <w:tr>
        <w:trPr>
          <w:trHeight w:val="213"/>
        </w:trPr>
        <w:tc>
          <w:tcPr>
            <w:tcW w:w="346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3,872</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expense (income), net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258,714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160,825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205,243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506,756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395,060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422,089</w:t>
            </w:r>
          </w:p>
        </w:tc>
        <w:tc>
          <w:tcPr>
            <w:tcW w:w="0" w:type="dxa"/>
            <w:vAlign w:val="bottom"/>
          </w:tcPr>
          <w:p>
            <w:pPr>
              <w:spacing w:after="0"/>
              <w:rPr>
                <w:sz w:val="1"/>
                <w:szCs w:val="1"/>
                <w:color w:val="auto"/>
              </w:rPr>
            </w:pPr>
          </w:p>
        </w:tc>
      </w:tr>
      <w:tr>
        <w:trPr>
          <w:trHeight w:val="207"/>
        </w:trPr>
        <w:tc>
          <w:tcPr>
            <w:tcW w:w="346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54,829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(41,598)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116,277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(24,683)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54,102</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18,029</w:t>
            </w:r>
          </w:p>
        </w:tc>
        <w:tc>
          <w:tcPr>
            <w:tcW w:w="0" w:type="dxa"/>
            <w:vAlign w:val="bottom"/>
          </w:tcPr>
          <w:p>
            <w:pPr>
              <w:spacing w:after="0"/>
              <w:rPr>
                <w:sz w:val="1"/>
                <w:szCs w:val="1"/>
                <w:color w:val="auto"/>
              </w:rPr>
            </w:pPr>
          </w:p>
        </w:tc>
      </w:tr>
      <w:tr>
        <w:trPr>
          <w:trHeight w:val="213"/>
        </w:trPr>
        <w:tc>
          <w:tcPr>
            <w:tcW w:w="3460" w:type="dxa"/>
            <w:vAlign w:val="bottom"/>
          </w:tcPr>
          <w:p>
            <w:pPr>
              <w:ind w:left="220"/>
              <w:spacing w:after="0"/>
              <w:rPr>
                <w:sz w:val="20"/>
                <w:szCs w:val="20"/>
                <w:color w:val="auto"/>
              </w:rPr>
            </w:pPr>
            <w:r>
              <w:rPr>
                <w:rFonts w:ascii="Arial" w:cs="Arial" w:eastAsia="Arial" w:hAnsi="Arial"/>
                <w:sz w:val="16"/>
                <w:szCs w:val="16"/>
                <w:color w:val="auto"/>
              </w:rPr>
              <w:t>Debt issuance costs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(57,236)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36,073</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8,387</w:t>
            </w:r>
          </w:p>
        </w:tc>
        <w:tc>
          <w:tcPr>
            <w:tcW w:w="0" w:type="dxa"/>
            <w:vAlign w:val="bottom"/>
          </w:tcPr>
          <w:p>
            <w:pPr>
              <w:spacing w:after="0"/>
              <w:rPr>
                <w:sz w:val="1"/>
                <w:szCs w:val="1"/>
                <w:color w:val="auto"/>
              </w:rPr>
            </w:pPr>
          </w:p>
        </w:tc>
      </w:tr>
      <w:tr>
        <w:trPr>
          <w:trHeight w:val="233"/>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0.46</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78,262</w:t>
            </w:r>
          </w:p>
        </w:tc>
        <w:tc>
          <w:tcPr>
            <w:tcW w:w="0" w:type="dxa"/>
            <w:vAlign w:val="bottom"/>
          </w:tcPr>
          <w:p>
            <w:pPr>
              <w:spacing w:after="0"/>
              <w:rPr>
                <w:sz w:val="1"/>
                <w:szCs w:val="1"/>
                <w:color w:val="auto"/>
              </w:rPr>
            </w:pPr>
          </w:p>
        </w:tc>
      </w:tr>
      <w:tr>
        <w:trPr>
          <w:trHeight w:val="213"/>
        </w:trPr>
        <w:tc>
          <w:tcPr>
            <w:tcW w:w="3460" w:type="dxa"/>
            <w:vAlign w:val="bottom"/>
          </w:tcPr>
          <w:p>
            <w:pPr>
              <w:ind w:left="22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96,082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80,325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81,424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96,044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81,437</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27,686</w:t>
            </w:r>
          </w:p>
        </w:tc>
        <w:tc>
          <w:tcPr>
            <w:tcW w:w="0" w:type="dxa"/>
            <w:vAlign w:val="bottom"/>
          </w:tcPr>
          <w:p>
            <w:pPr>
              <w:spacing w:after="0"/>
              <w:rPr>
                <w:sz w:val="1"/>
                <w:szCs w:val="1"/>
                <w:color w:val="auto"/>
              </w:rPr>
            </w:pPr>
          </w:p>
        </w:tc>
      </w:tr>
      <w:tr>
        <w:trPr>
          <w:trHeight w:val="213"/>
        </w:trPr>
        <w:tc>
          <w:tcPr>
            <w:tcW w:w="3460" w:type="dxa"/>
            <w:vAlign w:val="bottom"/>
          </w:tcPr>
          <w:p>
            <w:pPr>
              <w:ind w:left="220"/>
              <w:spacing w:after="0"/>
              <w:rPr>
                <w:sz w:val="20"/>
                <w:szCs w:val="20"/>
                <w:color w:val="auto"/>
              </w:rPr>
            </w:pPr>
            <w:r>
              <w:rPr>
                <w:rFonts w:ascii="Arial" w:cs="Arial" w:eastAsia="Arial" w:hAnsi="Arial"/>
                <w:sz w:val="16"/>
                <w:szCs w:val="16"/>
                <w:color w:val="auto"/>
              </w:rPr>
              <w:t>Unrealized gain (loss) on hedge instruments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(3,519)</w:t>
            </w:r>
          </w:p>
        </w:tc>
        <w:tc>
          <w:tcPr>
            <w:tcW w:w="0" w:type="dxa"/>
            <w:vAlign w:val="bottom"/>
          </w:tcPr>
          <w:p>
            <w:pPr>
              <w:spacing w:after="0"/>
              <w:rPr>
                <w:sz w:val="1"/>
                <w:szCs w:val="1"/>
                <w:color w:val="auto"/>
              </w:rPr>
            </w:pPr>
          </w:p>
        </w:tc>
      </w:tr>
      <w:tr>
        <w:trPr>
          <w:trHeight w:val="169"/>
        </w:trPr>
        <w:tc>
          <w:tcPr>
            <w:tcW w:w="34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6"/>
              </w:rPr>
              <w:t>Tax provision (benefit) of unrealized gain (loss)</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on hedge instruments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39,804</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(40,772)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8,587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82,340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(37,632)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25,069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i w:val="1"/>
          <w:iCs w:val="1"/>
          <w:color w:val="auto"/>
        </w:rPr>
        <w:t>Note: The three and six-months ended July 3, 2021 diluted EPS is calculated using the if-converted method for the 2025 Notes adding back $2.4 million and $4.7 million of interest expense (after tax) related to the 2025 Notes, respectively, and assuming conversion of the 2025 Notes at the beginning of 2021.</w:t>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3, 2021, June 27, 2020 and June 29,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3"/>
              </w:rPr>
              <w:t>Six Months Ended</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09"/>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color w:val="auto"/>
              </w:rPr>
              <w:t>July 3, 2021</w:t>
            </w: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June 27, 2020</w:t>
            </w:r>
          </w:p>
        </w:tc>
        <w:tc>
          <w:tcPr>
            <w:tcW w:w="20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color w:val="auto"/>
                <w:w w:val="98"/>
              </w:rPr>
              <w:t>June 29, 2019</w:t>
            </w:r>
          </w:p>
        </w:tc>
      </w:tr>
      <w:tr>
        <w:trPr>
          <w:trHeight w:val="199"/>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81,033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(34,091)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27,686</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47,580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46,734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41,234</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13,766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3,872</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8,239</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4,717</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2,043</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6,759</w:t>
            </w: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(8,662)</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8,319</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 and lease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6,137</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3,458</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Deferred and unearned revenue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18,782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5,006</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7,631</w:t>
            </w:r>
          </w:p>
        </w:tc>
      </w:tr>
      <w:tr>
        <w:trPr>
          <w:trHeight w:val="20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189,808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119,279</w:t>
            </w:r>
          </w:p>
        </w:tc>
      </w:tr>
      <w:tr>
        <w:trPr>
          <w:trHeight w:val="19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(38,812)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(25,796)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(52,103)</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0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(38,790)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(51,788)</w:t>
            </w:r>
          </w:p>
        </w:tc>
      </w:tr>
      <w:tr>
        <w:trPr>
          <w:trHeight w:val="19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548,769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on long-term debt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2,066</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6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r>
      <w:tr>
        <w:trPr>
          <w:trHeight w:val="20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(116,529)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w:t>
            </w:r>
          </w:p>
        </w:tc>
      </w:tr>
      <w:tr>
        <w:trPr>
          <w:trHeight w:val="213"/>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65,867</w:t>
            </w:r>
          </w:p>
        </w:tc>
      </w:tr>
      <w:tr>
        <w:trPr>
          <w:trHeight w:val="21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375,159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17,998</w:t>
            </w:r>
          </w:p>
        </w:tc>
      </w:tr>
      <w:tr>
        <w:trPr>
          <w:trHeight w:val="23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409,648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257,633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83,865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14,640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13,810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17,438</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(received) for taxes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r>
      <w:tr>
        <w:trPr>
          <w:trHeight w:val="210"/>
        </w:trPr>
        <w:tc>
          <w:tcPr>
            <w:tcW w:w="6460" w:type="dxa"/>
            <w:vAlign w:val="bottom"/>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8,827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11,265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22,033</w:t>
            </w:r>
          </w:p>
        </w:tc>
      </w:tr>
    </w:tbl>
    <w:p>
      <w:pPr>
        <w:sectPr>
          <w:pgSz w:w="11900" w:h="16838" w:orient="portrait"/>
          <w:cols w:equalWidth="0" w:num="1">
            <w:col w:w="11240"/>
          </w:cols>
          <w:pgMar w:left="320" w:top="877" w:right="339" w:bottom="1440" w:gutter="0" w:footer="0" w:header="0"/>
        </w:sectPr>
      </w:pPr>
    </w:p>
    <w:bookmarkStart w:id="13" w:name="page14"/>
    <w:bookmarkEnd w:id="13"/>
    <w:p>
      <w:pPr>
        <w:jc w:val="center"/>
        <w:ind w:left="340" w:right="2420"/>
        <w:spacing w:after="0" w:line="259" w:lineRule="auto"/>
        <w:rPr>
          <w:sz w:val="20"/>
          <w:szCs w:val="20"/>
          <w:color w:val="auto"/>
        </w:rPr>
      </w:pPr>
      <w:r>
        <w:rPr>
          <w:rFonts w:ascii="Arial" w:cs="Arial" w:eastAsia="Arial" w:hAnsi="Arial"/>
          <w:sz w:val="18"/>
          <w:szCs w:val="18"/>
          <w:b w:val="1"/>
          <w:bCs w:val="1"/>
          <w:color w:val="auto"/>
        </w:rPr>
        <w:t xml:space="preserve">National Vision Holdings, Inc. and Subsidiaries Reconciliation of Non-GAAP to GAAP Financial Measures For the Three and Six Months Ended July 3, 2021, June 27, 2020 and June 29, 2019 </w:t>
      </w:r>
      <w:r>
        <w:rPr>
          <w:rFonts w:ascii="Arial" w:cs="Arial" w:eastAsia="Arial" w:hAnsi="Arial"/>
          <w:sz w:val="18"/>
          <w:szCs w:val="18"/>
          <w:i w:val="1"/>
          <w:iCs w:val="1"/>
          <w:color w:val="auto"/>
        </w:rPr>
        <w:t xml:space="preserve">In Thousands, Except Per Share Information </w:t>
      </w: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gridSpan w:val="3"/>
          </w:tcPr>
          <w:p>
            <w:pPr>
              <w:ind w:left="20"/>
              <w:spacing w:after="0"/>
              <w:rPr>
                <w:sz w:val="20"/>
                <w:szCs w:val="20"/>
                <w:color w:val="auto"/>
              </w:rPr>
            </w:pPr>
            <w:r>
              <w:rPr>
                <w:rFonts w:ascii="Arial" w:cs="Arial" w:eastAsia="Arial" w:hAnsi="Arial"/>
                <w:sz w:val="16"/>
                <w:szCs w:val="16"/>
                <w:b w:val="1"/>
                <w:bCs w:val="1"/>
                <w:color w:val="auto"/>
                <w:w w:val="93"/>
              </w:rPr>
              <w:t>Reconciliation of Adjusted Operating Income to Net Income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0"/>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color w:val="auto"/>
                <w:w w:val="93"/>
              </w:rPr>
              <w:t>Six Months Ended</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2"/>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9"/>
              </w:rPr>
              <w:t>July 3, 2021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June 27, 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2"/>
              </w:rPr>
              <w:t>June 29, 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7"/>
              </w:rPr>
              <w:t>July 3, 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8"/>
              </w:rPr>
              <w:t>June 27, 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2"/>
              </w:rPr>
              <w:t>June 29, 2019</w:t>
            </w:r>
          </w:p>
        </w:tc>
      </w:tr>
      <w:tr>
        <w:trPr>
          <w:trHeight w:val="213"/>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37,601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(43,833)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81,033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(34,091)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27,686</w:t>
            </w: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10,096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15,502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8,968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16,426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22,957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18,029</w:t>
            </w: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8,387</w:t>
            </w:r>
          </w:p>
        </w:tc>
      </w:tr>
      <w:tr>
        <w:trPr>
          <w:trHeight w:val="216"/>
        </w:trPr>
        <w:tc>
          <w:tcPr>
            <w:tcW w:w="3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7,213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3,352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10,201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5,445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4,717</w:t>
            </w: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(b)</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3,872</w:t>
            </w:r>
          </w:p>
        </w:tc>
      </w:tr>
      <w:tr>
        <w:trPr>
          <w:trHeight w:val="216"/>
        </w:trPr>
        <w:tc>
          <w:tcPr>
            <w:tcW w:w="3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Litigation settlement </w:t>
            </w:r>
            <w:r>
              <w:rPr>
                <w:rFonts w:ascii="Arial" w:cs="Arial" w:eastAsia="Arial" w:hAnsi="Arial"/>
                <w:sz w:val="21"/>
                <w:szCs w:val="21"/>
                <w:color w:val="auto"/>
                <w:vertAlign w:val="superscript"/>
              </w:rPr>
              <w:t>(c)</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Management realignment expenses </w:t>
            </w:r>
            <w:r>
              <w:rPr>
                <w:rFonts w:ascii="Arial" w:cs="Arial" w:eastAsia="Arial" w:hAnsi="Arial"/>
                <w:sz w:val="21"/>
                <w:szCs w:val="21"/>
                <w:color w:val="auto"/>
                <w:vertAlign w:val="superscript"/>
              </w:rPr>
              <w:t>(d)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2,155</w:t>
            </w:r>
          </w:p>
        </w:tc>
      </w:tr>
      <w:tr>
        <w:trPr>
          <w:trHeight w:val="216"/>
        </w:trPr>
        <w:tc>
          <w:tcPr>
            <w:tcW w:w="3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Long-term incentive plan </w:t>
            </w:r>
            <w:r>
              <w:rPr>
                <w:rFonts w:ascii="Arial" w:cs="Arial" w:eastAsia="Arial" w:hAnsi="Arial"/>
                <w:sz w:val="21"/>
                <w:szCs w:val="21"/>
                <w:color w:val="auto"/>
                <w:vertAlign w:val="superscript"/>
              </w:rPr>
              <w:t>(e)</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722</w:t>
            </w: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acquisition intangibles </w:t>
            </w:r>
            <w:r>
              <w:rPr>
                <w:rFonts w:ascii="Arial" w:cs="Arial" w:eastAsia="Arial" w:hAnsi="Arial"/>
                <w:sz w:val="21"/>
                <w:szCs w:val="21"/>
                <w:color w:val="auto"/>
                <w:vertAlign w:val="superscript"/>
              </w:rPr>
              <w:t>(f)</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3,702</w:t>
            </w:r>
          </w:p>
        </w:tc>
      </w:tr>
      <w:tr>
        <w:trPr>
          <w:trHeight w:val="216"/>
        </w:trPr>
        <w:tc>
          <w:tcPr>
            <w:tcW w:w="30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(i)</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1,241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2,467</w:t>
            </w:r>
          </w:p>
        </w:tc>
      </w:tr>
      <w:tr>
        <w:trPr>
          <w:trHeight w:val="22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Adjusted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65,581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(34,427)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71,737</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3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income (loss) margin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0"/>
        </w:trPr>
        <w:tc>
          <w:tcPr>
            <w:tcW w:w="3000" w:type="dxa"/>
            <w:vAlign w:val="bottom"/>
          </w:tcPr>
          <w:p>
            <w:pPr>
              <w:ind w:left="140"/>
              <w:spacing w:after="0"/>
              <w:rPr>
                <w:sz w:val="20"/>
                <w:szCs w:val="20"/>
                <w:color w:val="auto"/>
              </w:rPr>
            </w:pPr>
            <w:r>
              <w:rPr>
                <w:rFonts w:ascii="Arial" w:cs="Arial" w:eastAsia="Arial" w:hAnsi="Arial"/>
                <w:sz w:val="16"/>
                <w:szCs w:val="16"/>
                <w:b w:val="1"/>
                <w:bCs w:val="1"/>
                <w:color w:val="auto"/>
              </w:rPr>
              <w:t>Adjusted Operating Margin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183"/>
        </w:trPr>
        <w:tc>
          <w:tcPr>
            <w:tcW w:w="5760" w:type="dxa"/>
            <w:vAlign w:val="bottom"/>
            <w:gridSpan w:val="7"/>
          </w:tcPr>
          <w:p>
            <w:pPr>
              <w:ind w:left="180"/>
              <w:spacing w:after="0"/>
              <w:rPr>
                <w:sz w:val="20"/>
                <w:szCs w:val="20"/>
                <w:color w:val="auto"/>
              </w:rPr>
            </w:pPr>
            <w:r>
              <w:rPr>
                <w:rFonts w:ascii="Arial" w:cs="Arial" w:eastAsia="Arial" w:hAnsi="Arial"/>
                <w:sz w:val="14"/>
                <w:szCs w:val="14"/>
                <w:color w:val="auto"/>
              </w:rPr>
              <w:t>Note: Percentages reflect line item as a percentage of net revenue, adjusted for rounding</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87"/>
        </w:trPr>
        <w:tc>
          <w:tcPr>
            <w:tcW w:w="4540" w:type="dxa"/>
            <w:vAlign w:val="bottom"/>
            <w:gridSpan w:val="5"/>
          </w:tcPr>
          <w:p>
            <w:pPr>
              <w:ind w:left="20"/>
              <w:spacing w:after="0"/>
              <w:rPr>
                <w:sz w:val="20"/>
                <w:szCs w:val="20"/>
                <w:color w:val="auto"/>
              </w:rPr>
            </w:pPr>
            <w:r>
              <w:rPr>
                <w:rFonts w:ascii="Arial" w:cs="Arial" w:eastAsia="Arial" w:hAnsi="Arial"/>
                <w:sz w:val="16"/>
                <w:szCs w:val="16"/>
                <w:b w:val="1"/>
                <w:bCs w:val="1"/>
                <w:color w:val="auto"/>
                <w:w w:val="95"/>
              </w:rPr>
              <w:t>Reconciliation of EBITDA and Adjusted EBITDA to Net Income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0"/>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color w:val="auto"/>
                <w:w w:val="93"/>
              </w:rPr>
              <w:t>Six Months Ended</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9"/>
              </w:rPr>
              <w:t>July 3, 2021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June 27, 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2"/>
              </w:rPr>
              <w:t>June 29, 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7"/>
              </w:rPr>
              <w:t>July 3, 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8"/>
              </w:rPr>
              <w:t>June 27, 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2"/>
              </w:rPr>
              <w:t>June 29, 2019</w:t>
            </w:r>
          </w:p>
        </w:tc>
      </w:tr>
      <w:tr>
        <w:trPr>
          <w:trHeight w:val="213"/>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37,601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(43,833)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81,033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(34,091)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27,686</w:t>
            </w: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10,096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15,502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8,968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16,426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22,957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18,029</w:t>
            </w: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8,387</w:t>
            </w:r>
          </w:p>
        </w:tc>
      </w:tr>
      <w:tr>
        <w:trPr>
          <w:trHeight w:val="21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24,025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21,924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20,819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47,580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46,734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41,234</w:t>
            </w:r>
          </w:p>
        </w:tc>
      </w:tr>
      <w:tr>
        <w:trPr>
          <w:trHeight w:val="212"/>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EBITDA</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78,762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(19,810)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42,521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163,765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21,915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95,336</w:t>
            </w:r>
          </w:p>
        </w:tc>
      </w:tr>
      <w:tr>
        <w:trPr>
          <w:trHeight w:val="162"/>
        </w:trPr>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4,717</w:t>
            </w:r>
          </w:p>
        </w:tc>
      </w:tr>
      <w:tr>
        <w:trPr>
          <w:trHeight w:val="216"/>
        </w:trPr>
        <w:tc>
          <w:tcPr>
            <w:tcW w:w="3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(b)</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3,872</w:t>
            </w: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Litigation settlement </w:t>
            </w:r>
            <w:r>
              <w:rPr>
                <w:rFonts w:ascii="Arial" w:cs="Arial" w:eastAsia="Arial" w:hAnsi="Arial"/>
                <w:sz w:val="21"/>
                <w:szCs w:val="21"/>
                <w:color w:val="auto"/>
                <w:vertAlign w:val="superscript"/>
              </w:rPr>
              <w:t>(c)</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3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Management realignment expenses </w:t>
            </w:r>
            <w:r>
              <w:rPr>
                <w:rFonts w:ascii="Arial" w:cs="Arial" w:eastAsia="Arial" w:hAnsi="Arial"/>
                <w:sz w:val="21"/>
                <w:szCs w:val="21"/>
                <w:color w:val="auto"/>
                <w:vertAlign w:val="superscript"/>
              </w:rPr>
              <w:t>(d)</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2,155</w:t>
            </w:r>
          </w:p>
        </w:tc>
      </w:tr>
      <w:tr>
        <w:trPr>
          <w:trHeight w:val="216"/>
        </w:trPr>
        <w:tc>
          <w:tcPr>
            <w:tcW w:w="3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Long-term incentive plan </w:t>
            </w:r>
            <w:r>
              <w:rPr>
                <w:rFonts w:ascii="Arial" w:cs="Arial" w:eastAsia="Arial" w:hAnsi="Arial"/>
                <w:sz w:val="21"/>
                <w:szCs w:val="21"/>
                <w:color w:val="auto"/>
                <w:vertAlign w:val="superscript"/>
              </w:rPr>
              <w:t>(e)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722</w:t>
            </w:r>
          </w:p>
        </w:tc>
      </w:tr>
      <w:tr>
        <w:trPr>
          <w:trHeight w:val="216"/>
        </w:trPr>
        <w:tc>
          <w:tcPr>
            <w:tcW w:w="30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(i)</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1,241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2,467</w:t>
            </w:r>
          </w:p>
        </w:tc>
      </w:tr>
      <w:tr>
        <w:trPr>
          <w:trHeight w:val="230"/>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87,735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(14,354)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177,085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46,670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109,269</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3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income (loss) margin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0"/>
        </w:trPr>
        <w:tc>
          <w:tcPr>
            <w:tcW w:w="3000" w:type="dxa"/>
            <w:vAlign w:val="bottom"/>
          </w:tcPr>
          <w:p>
            <w:pPr>
              <w:ind w:left="140"/>
              <w:spacing w:after="0"/>
              <w:rPr>
                <w:sz w:val="20"/>
                <w:szCs w:val="20"/>
                <w:color w:val="auto"/>
              </w:rPr>
            </w:pPr>
            <w:r>
              <w:rPr>
                <w:rFonts w:ascii="Arial" w:cs="Arial" w:eastAsia="Arial" w:hAnsi="Arial"/>
                <w:sz w:val="16"/>
                <w:szCs w:val="16"/>
                <w:b w:val="1"/>
                <w:bCs w:val="1"/>
                <w:color w:val="auto"/>
              </w:rPr>
              <w:t>Adjusted EBITDA Margin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12.3 %</w:t>
            </w:r>
          </w:p>
        </w:tc>
      </w:tr>
    </w:tbl>
    <w:p>
      <w:pPr>
        <w:ind w:left="140"/>
        <w:spacing w:after="0"/>
        <w:rPr>
          <w:sz w:val="20"/>
          <w:szCs w:val="20"/>
          <w:color w:val="auto"/>
        </w:rPr>
      </w:pPr>
      <w:r>
        <w:rPr>
          <w:rFonts w:ascii="Arial" w:cs="Arial" w:eastAsia="Arial" w:hAnsi="Arial"/>
          <w:sz w:val="14"/>
          <w:szCs w:val="14"/>
          <w:color w:val="auto"/>
        </w:rPr>
        <w:t>Note: Percentages reflect line item as a percentage of net revenue, adjusted for rounding</w:t>
      </w:r>
    </w:p>
    <w:p>
      <w:pPr>
        <w:sectPr>
          <w:pgSz w:w="11900" w:h="16838" w:orient="portrait"/>
          <w:cols w:equalWidth="0" w:num="1">
            <w:col w:w="11240"/>
          </w:cols>
          <w:pgMar w:left="320" w:top="76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0"/>
        </w:trPr>
        <w:tc>
          <w:tcPr>
            <w:tcW w:w="4140" w:type="dxa"/>
            <w:vAlign w:val="bottom"/>
            <w:gridSpan w:val="4"/>
          </w:tcPr>
          <w:p>
            <w:pPr>
              <w:ind w:left="20"/>
              <w:spacing w:after="0"/>
              <w:rPr>
                <w:sz w:val="20"/>
                <w:szCs w:val="20"/>
                <w:color w:val="auto"/>
              </w:rPr>
            </w:pPr>
            <w:r>
              <w:rPr>
                <w:rFonts w:ascii="Arial" w:cs="Arial" w:eastAsia="Arial" w:hAnsi="Arial"/>
                <w:sz w:val="16"/>
                <w:szCs w:val="16"/>
                <w:b w:val="1"/>
                <w:bCs w:val="1"/>
                <w:color w:val="auto"/>
                <w:w w:val="99"/>
              </w:rPr>
              <w:t>Reconciliation of Adjusted Diluted EPS to Diluted EPS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jc w:val="right"/>
              <w:ind w:right="779"/>
              <w:spacing w:after="0"/>
              <w:rPr>
                <w:sz w:val="20"/>
                <w:szCs w:val="20"/>
                <w:color w:val="auto"/>
              </w:rPr>
            </w:pPr>
            <w:r>
              <w:rPr>
                <w:rFonts w:ascii="Arial" w:cs="Arial" w:eastAsia="Arial" w:hAnsi="Arial"/>
                <w:sz w:val="16"/>
                <w:szCs w:val="16"/>
                <w:color w:val="auto"/>
                <w:w w:val="96"/>
              </w:rPr>
              <w:t>Three Months Ended</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w w:val="92"/>
              </w:rPr>
              <w:t>Six Months Ended</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except per share amounts</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color w:val="auto"/>
              </w:rPr>
              <w:t>July 3, 2021</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color w:val="auto"/>
              </w:rPr>
              <w:t>June 27, 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color w:val="auto"/>
              </w:rPr>
              <w:t>June 29, 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July 3, 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90"/>
              </w:rPr>
              <w:t>June 27, 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2"/>
              </w:rPr>
              <w:t>June 29, 2019</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0.42</w:t>
            </w:r>
          </w:p>
        </w:tc>
        <w:tc>
          <w:tcPr>
            <w:tcW w:w="920" w:type="dxa"/>
            <w:vAlign w:val="bottom"/>
            <w:gridSpan w:val="2"/>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0"/>
              </w:rPr>
              <w:t>(0.55)</w:t>
            </w:r>
          </w:p>
        </w:tc>
        <w:tc>
          <w:tcPr>
            <w:tcW w:w="98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3"/>
              </w:rPr>
              <w:t>0.13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0.89</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(0.42)</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w w:val="83"/>
              </w:rPr>
              <w:t>0.02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0.11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(b)</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3"/>
              </w:rPr>
              <w:t>0.02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Litigation settlement </w:t>
            </w:r>
            <w:r>
              <w:rPr>
                <w:rFonts w:ascii="Arial" w:cs="Arial" w:eastAsia="Arial" w:hAnsi="Arial"/>
                <w:sz w:val="21"/>
                <w:szCs w:val="21"/>
                <w:color w:val="auto"/>
                <w:vertAlign w:val="superscript"/>
              </w:rPr>
              <w:t>(c)</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Management realignment expenses </w:t>
            </w:r>
            <w:r>
              <w:rPr>
                <w:rFonts w:ascii="Arial" w:cs="Arial" w:eastAsia="Arial" w:hAnsi="Arial"/>
                <w:sz w:val="21"/>
                <w:szCs w:val="21"/>
                <w:color w:val="auto"/>
                <w:vertAlign w:val="superscript"/>
              </w:rPr>
              <w:t>(d)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Long-term incentive plan </w:t>
            </w:r>
            <w:r>
              <w:rPr>
                <w:rFonts w:ascii="Arial" w:cs="Arial" w:eastAsia="Arial" w:hAnsi="Arial"/>
                <w:sz w:val="21"/>
                <w:szCs w:val="21"/>
                <w:color w:val="auto"/>
                <w:vertAlign w:val="superscript"/>
              </w:rPr>
              <w: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w w:val="83"/>
              </w:rPr>
              <w:t>0.01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acquisition intangibles </w:t>
            </w:r>
            <w:r>
              <w:rPr>
                <w:rFonts w:ascii="Arial" w:cs="Arial" w:eastAsia="Arial" w:hAnsi="Arial"/>
                <w:sz w:val="21"/>
                <w:szCs w:val="21"/>
                <w:color w:val="auto"/>
                <w:vertAlign w:val="superscript"/>
              </w:rPr>
              <w:t>(f)</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3"/>
              </w:rPr>
              <w:t>0.02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line="166" w:lineRule="exact"/>
              <w:rPr>
                <w:sz w:val="20"/>
                <w:szCs w:val="20"/>
                <w:color w:val="auto"/>
              </w:rPr>
            </w:pPr>
            <w:r>
              <w:rPr>
                <w:rFonts w:ascii="Arial" w:cs="Arial" w:eastAsia="Arial" w:hAnsi="Arial"/>
                <w:sz w:val="16"/>
                <w:szCs w:val="16"/>
                <w:color w:val="auto"/>
                <w:w w:val="99"/>
              </w:rPr>
              <w:t>Amortization of debt discount and deferred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w w:val="83"/>
              </w:rPr>
              <w:t>0.01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0.01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financing costs </w:t>
            </w:r>
            <w:r>
              <w:rPr>
                <w:rFonts w:ascii="Arial" w:cs="Arial" w:eastAsia="Arial" w:hAnsi="Arial"/>
                <w:sz w:val="21"/>
                <w:szCs w:val="21"/>
                <w:color w:val="auto"/>
                <w:vertAlign w:val="superscript"/>
              </w:rPr>
              <w:t>(g)</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40" w:type="dxa"/>
            <w:vAlign w:val="bottom"/>
            <w:gridSpan w:val="4"/>
            <w:shd w:val="clear" w:color="auto" w:fill="CCEEFF"/>
          </w:tcPr>
          <w:p>
            <w:pPr>
              <w:ind w:left="20"/>
              <w:spacing w:after="0" w:line="162" w:lineRule="exact"/>
              <w:rPr>
                <w:sz w:val="20"/>
                <w:szCs w:val="20"/>
                <w:color w:val="auto"/>
              </w:rPr>
            </w:pPr>
            <w:r>
              <w:rPr>
                <w:rFonts w:ascii="Arial" w:cs="Arial" w:eastAsia="Arial" w:hAnsi="Arial"/>
                <w:sz w:val="16"/>
                <w:szCs w:val="16"/>
                <w:color w:val="auto"/>
              </w:rPr>
              <w:t>Losses (gains) on change in fair value of derivatives</w:t>
            </w:r>
          </w:p>
        </w:tc>
        <w:tc>
          <w:tcPr>
            <w:tcW w:w="4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(h)</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gridSpan w:val="3"/>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gridSpan w:val="4"/>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(m)</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w w:val="83"/>
              </w:rPr>
              <w:t>0.02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benefit of stock option exercises </w:t>
            </w:r>
            <w:r>
              <w:rPr>
                <w:rFonts w:ascii="Arial" w:cs="Arial" w:eastAsia="Arial" w:hAnsi="Arial"/>
                <w:sz w:val="21"/>
                <w:szCs w:val="21"/>
                <w:color w:val="auto"/>
                <w:vertAlign w:val="superscript"/>
              </w:rPr>
              <w:t>(j)</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5"/>
              </w:rPr>
              <w:t>(0.04)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total adjustments </w:t>
            </w:r>
            <w:r>
              <w:rPr>
                <w:rFonts w:ascii="Arial" w:cs="Arial" w:eastAsia="Arial" w:hAnsi="Arial"/>
                <w:sz w:val="21"/>
                <w:szCs w:val="21"/>
                <w:color w:val="auto"/>
                <w:vertAlign w:val="superscript"/>
              </w:rPr>
              <w:t>(k)</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w w:val="95"/>
              </w:rPr>
              <w:t>(0.04)</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w w:val="90"/>
              </w:rPr>
              <w:t>(0.05)</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(0.05)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Adjusted Diluted EPS</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0.48</w:t>
            </w:r>
          </w:p>
        </w:tc>
        <w:tc>
          <w:tcPr>
            <w:tcW w:w="920" w:type="dxa"/>
            <w:vAlign w:val="bottom"/>
            <w:gridSpan w:val="2"/>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0"/>
              </w:rPr>
              <w:t>(0.41)</w:t>
            </w:r>
          </w:p>
        </w:tc>
        <w:tc>
          <w:tcPr>
            <w:tcW w:w="98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3"/>
              </w:rPr>
              <w:t>0.18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0.97</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(0.13)</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w w:val="91"/>
              </w:rPr>
              <w:t>Weighted average diluted shares outstanding</w:t>
            </w: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3220" w:type="dxa"/>
            <w:vAlign w:val="bottom"/>
            <w:gridSpan w:val="2"/>
            <w:vMerge w:val="continue"/>
          </w:tcPr>
          <w:p>
            <w:pPr>
              <w:spacing w:after="0"/>
              <w:rPr>
                <w:sz w:val="24"/>
                <w:szCs w:val="24"/>
                <w:color w:val="auto"/>
              </w:rPr>
            </w:pPr>
          </w:p>
        </w:tc>
        <w:tc>
          <w:tcPr>
            <w:tcW w:w="1360" w:type="dxa"/>
            <w:vAlign w:val="bottom"/>
            <w:gridSpan w:val="5"/>
          </w:tcPr>
          <w:p>
            <w:pPr>
              <w:jc w:val="right"/>
              <w:ind w:right="60"/>
              <w:spacing w:after="0"/>
              <w:rPr>
                <w:sz w:val="20"/>
                <w:szCs w:val="20"/>
                <w:color w:val="auto"/>
              </w:rPr>
            </w:pPr>
            <w:r>
              <w:rPr>
                <w:rFonts w:ascii="Arial" w:cs="Arial" w:eastAsia="Arial" w:hAnsi="Arial"/>
                <w:sz w:val="16"/>
                <w:szCs w:val="16"/>
                <w:color w:val="auto"/>
              </w:rPr>
              <w:t>96,082</w:t>
            </w:r>
          </w:p>
        </w:tc>
        <w:tc>
          <w:tcPr>
            <w:tcW w:w="1340" w:type="dxa"/>
            <w:vAlign w:val="bottom"/>
            <w:gridSpan w:val="5"/>
          </w:tcPr>
          <w:p>
            <w:pPr>
              <w:jc w:val="right"/>
              <w:ind w:right="60"/>
              <w:spacing w:after="0"/>
              <w:rPr>
                <w:sz w:val="20"/>
                <w:szCs w:val="20"/>
                <w:color w:val="auto"/>
              </w:rPr>
            </w:pPr>
            <w:r>
              <w:rPr>
                <w:rFonts w:ascii="Arial" w:cs="Arial" w:eastAsia="Arial" w:hAnsi="Arial"/>
                <w:sz w:val="16"/>
                <w:szCs w:val="16"/>
                <w:color w:val="auto"/>
              </w:rPr>
              <w:t>80,325</w:t>
            </w:r>
          </w:p>
        </w:tc>
        <w:tc>
          <w:tcPr>
            <w:tcW w:w="1260" w:type="dxa"/>
            <w:vAlign w:val="bottom"/>
            <w:gridSpan w:val="4"/>
          </w:tcPr>
          <w:p>
            <w:pPr>
              <w:jc w:val="right"/>
              <w:spacing w:after="0"/>
              <w:rPr>
                <w:sz w:val="20"/>
                <w:szCs w:val="20"/>
                <w:color w:val="auto"/>
              </w:rPr>
            </w:pPr>
            <w:r>
              <w:rPr>
                <w:rFonts w:ascii="Arial" w:cs="Arial" w:eastAsia="Arial" w:hAnsi="Arial"/>
                <w:sz w:val="16"/>
                <w:szCs w:val="16"/>
                <w:color w:val="auto"/>
              </w:rPr>
              <w:t>81,424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96,044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80,226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81,437</w:t>
            </w:r>
          </w:p>
        </w:tc>
        <w:tc>
          <w:tcPr>
            <w:tcW w:w="0" w:type="dxa"/>
            <w:vAlign w:val="bottom"/>
          </w:tcPr>
          <w:p>
            <w:pPr>
              <w:spacing w:after="0"/>
              <w:rPr>
                <w:sz w:val="1"/>
                <w:szCs w:val="1"/>
                <w:color w:val="auto"/>
              </w:rPr>
            </w:pPr>
          </w:p>
        </w:tc>
      </w:tr>
      <w:tr>
        <w:trPr>
          <w:trHeight w:val="183"/>
        </w:trPr>
        <w:tc>
          <w:tcPr>
            <w:tcW w:w="5500" w:type="dxa"/>
            <w:vAlign w:val="bottom"/>
            <w:gridSpan w:val="9"/>
          </w:tcPr>
          <w:p>
            <w:pPr>
              <w:ind w:left="140"/>
              <w:spacing w:after="0"/>
              <w:rPr>
                <w:sz w:val="20"/>
                <w:szCs w:val="20"/>
                <w:color w:val="auto"/>
              </w:rPr>
            </w:pPr>
            <w:r>
              <w:rPr>
                <w:rFonts w:ascii="Arial" w:cs="Arial" w:eastAsia="Arial" w:hAnsi="Arial"/>
                <w:sz w:val="14"/>
                <w:szCs w:val="14"/>
                <w:color w:val="auto"/>
              </w:rPr>
              <w:t>Note: Some of the totals in the table above do not foot due to rounding differences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6900" w:type="dxa"/>
            <w:vAlign w:val="bottom"/>
            <w:gridSpan w:val="14"/>
          </w:tcPr>
          <w:p>
            <w:pPr>
              <w:ind w:left="20"/>
              <w:spacing w:after="0"/>
              <w:rPr>
                <w:sz w:val="20"/>
                <w:szCs w:val="20"/>
                <w:color w:val="auto"/>
              </w:rPr>
            </w:pPr>
            <w:r>
              <w:rPr>
                <w:rFonts w:ascii="Arial" w:cs="Arial" w:eastAsia="Arial" w:hAnsi="Arial"/>
                <w:sz w:val="16"/>
                <w:szCs w:val="16"/>
                <w:b w:val="1"/>
                <w:bCs w:val="1"/>
                <w:color w:val="auto"/>
              </w:rPr>
              <w:t>Reconciliation of Adjusted SG&amp;A and Adjusted SG&amp;A Percent of Net Revenue to SG&amp;A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6"/>
                <w:szCs w:val="16"/>
                <w:color w:val="auto"/>
                <w:w w:val="93"/>
              </w:rPr>
              <w:t>Three Months Ended</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Six Months Ended</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7"/>
              </w:rPr>
              <w:t>July 3, 2021</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color w:val="auto"/>
                <w:w w:val="90"/>
              </w:rPr>
              <w:t>June 27, 2020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4"/>
              </w:rPr>
              <w:t>June 29, 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w w:val="97"/>
              </w:rPr>
              <w:t>July 3, 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w w:val="94"/>
              </w:rPr>
              <w:t>June 27, 2020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8"/>
              </w:rPr>
              <w:t>June 29, 2019</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SG&amp;A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234,235</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136,582</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182,278</w:t>
            </w:r>
          </w:p>
        </w:tc>
        <w:tc>
          <w:tcPr>
            <w:tcW w:w="4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457,828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330,323</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376,154</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7,213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3,352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10,201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5,445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4,717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Management realignment expenses </w:t>
            </w:r>
            <w:r>
              <w:rPr>
                <w:rFonts w:ascii="Arial" w:cs="Arial" w:eastAsia="Arial" w:hAnsi="Arial"/>
                <w:sz w:val="21"/>
                <w:szCs w:val="21"/>
                <w:color w:val="auto"/>
                <w:vertAlign w:val="superscript"/>
              </w:rPr>
              <w:t>(d)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Long-term incentive plan </w:t>
            </w:r>
            <w:r>
              <w:rPr>
                <w:rFonts w:ascii="Arial" w:cs="Arial" w:eastAsia="Arial" w:hAnsi="Arial"/>
                <w:sz w:val="21"/>
                <w:szCs w:val="21"/>
                <w:color w:val="auto"/>
                <w:vertAlign w:val="superscript"/>
              </w:rPr>
              <w: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(l)</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1,641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10"/>
        </w:trPr>
        <w:tc>
          <w:tcPr>
            <w:tcW w:w="3040" w:type="dxa"/>
            <w:vAlign w:val="bottom"/>
          </w:tcPr>
          <w:p>
            <w:pPr>
              <w:ind w:left="140"/>
              <w:spacing w:after="0"/>
              <w:rPr>
                <w:sz w:val="20"/>
                <w:szCs w:val="20"/>
                <w:color w:val="auto"/>
              </w:rPr>
            </w:pPr>
            <w:r>
              <w:rPr>
                <w:rFonts w:ascii="Arial" w:cs="Arial" w:eastAsia="Arial" w:hAnsi="Arial"/>
                <w:sz w:val="16"/>
                <w:szCs w:val="16"/>
                <w:b w:val="1"/>
                <w:bCs w:val="1"/>
                <w:color w:val="auto"/>
              </w:rPr>
              <w:t>Adjusted SG&amp;A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225,781</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133,537</w:t>
            </w:r>
          </w:p>
        </w:tc>
        <w:tc>
          <w:tcPr>
            <w:tcW w:w="4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178,980</w:t>
            </w:r>
          </w:p>
        </w:tc>
        <w:tc>
          <w:tcPr>
            <w:tcW w:w="4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445,986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323,729</w:t>
            </w:r>
          </w:p>
        </w:tc>
        <w:tc>
          <w:tcPr>
            <w:tcW w:w="80" w:type="dxa"/>
            <w:vAlign w:val="bottom"/>
          </w:tcPr>
          <w:p>
            <w:pPr>
              <w:spacing w:after="0"/>
              <w:rPr>
                <w:sz w:val="18"/>
                <w:szCs w:val="18"/>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367,100</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b w:val="1"/>
                <w:bCs w:val="1"/>
                <w:color w:val="auto"/>
              </w:rPr>
              <w:t>SG&amp;A Percent of Net Revenue</w:t>
            </w:r>
          </w:p>
        </w:tc>
        <w:tc>
          <w:tcPr>
            <w:tcW w:w="1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42.6 %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52.5 %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42.4 %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42.2 %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45.3 %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42.2 %</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w w:val="94"/>
              </w:rPr>
              <w:t>Adjusted SG&amp;A Percent of Net Revenue</w:t>
            </w:r>
          </w:p>
        </w:tc>
        <w:tc>
          <w:tcPr>
            <w:tcW w:w="1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51.4 %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41.7 %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4"/>
          <w:szCs w:val="14"/>
          <w:color w:val="auto"/>
        </w:rPr>
        <w:t>Note: Percentages reflect line item as a percentage of net revenue</w:t>
      </w:r>
    </w:p>
    <w:p>
      <w:pPr>
        <w:spacing w:after="0" w:line="33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40" w:hanging="30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write-off of property, equipment and lease related assets on closed or underperforming stores.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Expenses associated with settlement of litigation.</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in the Current Report on Form 8-K filed with the SEC on January 10, 2019.</w:t>
      </w:r>
    </w:p>
    <w:p>
      <w:pPr>
        <w:spacing w:after="0" w:line="1" w:lineRule="exact"/>
        <w:rPr>
          <w:rFonts w:ascii="Arial" w:cs="Arial" w:eastAsia="Arial" w:hAnsi="Arial"/>
          <w:sz w:val="14"/>
          <w:szCs w:val="14"/>
          <w:color w:val="auto"/>
        </w:rPr>
      </w:pPr>
    </w:p>
    <w:p>
      <w:pPr>
        <w:ind w:left="660" w:right="640" w:hanging="328"/>
        <w:spacing w:after="0" w:line="241" w:lineRule="auto"/>
        <w:tabs>
          <w:tab w:leader="none" w:pos="657"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employees who were not participants in the management equity plan for fiscal year 2019. This plan was effective in 2014 following the acquisition of the Company by affiliates of KKR &amp; Co. Inc. (the "KKR Acquisition").</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w:t>
      </w:r>
    </w:p>
    <w:p>
      <w:pPr>
        <w:spacing w:after="0" w:line="1" w:lineRule="exact"/>
        <w:rPr>
          <w:rFonts w:ascii="Arial" w:cs="Arial" w:eastAsia="Arial" w:hAnsi="Arial"/>
          <w:sz w:val="14"/>
          <w:szCs w:val="14"/>
          <w:color w:val="auto"/>
        </w:rPr>
      </w:pPr>
    </w:p>
    <w:p>
      <w:pPr>
        <w:jc w:val="both"/>
        <w:ind w:left="660" w:right="640" w:hanging="328"/>
        <w:spacing w:after="0" w:line="241" w:lineRule="auto"/>
        <w:tabs>
          <w:tab w:leader="none" w:pos="6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costs related to the 2025 Notes only when adjustment for these costs is not required in the calculation of diluted earnings per share according to U.S. GAAP. Amortization of debt discount and deferred financing costs in aggregate total $1.0 million, $2.5 million and $0.5 million for the three months ended July 3, 2021, June 27, 2020 and June 29, 2019, respectively, and $1.2 million, $2.7 million and $0.9 million for the six months ended July 3, 2021, June 27, 2020 and June 29, 2019, respectively.</w:t>
      </w:r>
    </w:p>
    <w:p>
      <w:pPr>
        <w:spacing w:after="0" w:line="1" w:lineRule="exact"/>
        <w:rPr>
          <w:rFonts w:ascii="Arial" w:cs="Arial" w:eastAsia="Arial" w:hAnsi="Arial"/>
          <w:sz w:val="14"/>
          <w:szCs w:val="14"/>
          <w:color w:val="auto"/>
        </w:rPr>
      </w:pPr>
    </w:p>
    <w:p>
      <w:pPr>
        <w:ind w:left="660" w:right="660" w:hanging="328"/>
        <w:spacing w:after="0" w:line="255" w:lineRule="auto"/>
        <w:tabs>
          <w:tab w:leader="none" w:pos="6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on change in fair value of de-designated hedges of $2.4 million and $4.9 million for the three months ended July 3, 2021 and June 27, 2020, respectively, and $0.1 million and $4.9 million for the six months ended July 3, 2021 and June 27, 2020, respectively.</w:t>
      </w:r>
    </w:p>
    <w:p>
      <w:pPr>
        <w:sectPr>
          <w:pgSz w:w="11900" w:h="16838" w:orient="portrait"/>
          <w:cols w:equalWidth="0" w:num="1">
            <w:col w:w="11240"/>
          </w:cols>
          <w:pgMar w:left="320" w:top="814" w:right="339" w:bottom="1440" w:gutter="0" w:footer="0" w:header="0"/>
        </w:sectPr>
      </w:pPr>
    </w:p>
    <w:bookmarkStart w:id="15" w:name="page16"/>
    <w:bookmarkEnd w:id="15"/>
    <w:p>
      <w:pPr>
        <w:jc w:val="both"/>
        <w:ind w:left="660" w:right="640" w:hanging="328"/>
        <w:spacing w:after="0" w:line="261" w:lineRule="auto"/>
        <w:tabs>
          <w:tab w:leader="none" w:pos="647" w:val="left"/>
        </w:tabs>
        <w:numPr>
          <w:ilvl w:val="0"/>
          <w:numId w:val="11"/>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including our share of losses on equity method investments of $0.4 million for the three months ended June 29, 2019 and $1.0 million for the six months ended June 29, 2019; the amortization impact of adjustments related to the KKR Acquisition, (e.g., fair value of leasehold interests) of $0.1 million for each of the three months ended July 3, 2021, June 27, 2020 and June 29, 2019, respectively, and $0.2 million for each of the six months ended July 3, 2021, June 27, 2020 and June 29, 2019, respectively; costs of severance and relocation of $0.7 million, $0.2 million and $0.6 million for the three months ended July 3, 2021, June 27, 2020 and June 29, 2019, respectively, and $0.8 million, $0.5 million and $0.8 million for the six months ended July 3, 2021, June 27, 2020 and June 29, 2019, respectively; excess payroll taxes related to stock option exercises of $0.2 million and $0.1 million for the three months ended July 3, 2021 and June 29, 2019, respectively, and $0.3 million, $0.3 million and $0.1 million for the six months ended July 3, 2021, June 27, 2020 and June 29, 2019, respectively; incremental costs directly related to adapting the Company’s operations during the COVID-19 pandemic of $0.6 million for the six months ended June 27, 2020; and other expenses and adjustments totaling $0.2 million and $(0.7) million for the three months ended July 3, 2021 and June 27, 2020, respectively, and $0.3 million, $(0.5) million and $0.3 million for the six months ended July 3, 2021, June 27, 2020 and June 29, 2019, respectively.</w:t>
      </w:r>
    </w:p>
    <w:p>
      <w:pPr>
        <w:spacing w:after="0" w:line="5" w:lineRule="exact"/>
        <w:rPr>
          <w:rFonts w:ascii="Arial" w:cs="Arial" w:eastAsia="Arial" w:hAnsi="Arial"/>
          <w:sz w:val="13"/>
          <w:szCs w:val="13"/>
          <w:color w:val="auto"/>
        </w:rPr>
      </w:pPr>
    </w:p>
    <w:p>
      <w:pPr>
        <w:ind w:left="660" w:right="660" w:hanging="328"/>
        <w:spacing w:after="0" w:line="241" w:lineRule="auto"/>
        <w:tabs>
          <w:tab w:leader="none" w:pos="64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ind w:left="660" w:right="660" w:hanging="328"/>
        <w:spacing w:after="0" w:line="241" w:lineRule="auto"/>
        <w:tabs>
          <w:tab w:leader="none" w:pos="64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other expenses in (i) above, except for our share of losses on equity method investments of $0.4 million for the three months ended June 29, 2019 and $1.0 million for the six months ended June 29, 2019.</w:t>
      </w:r>
    </w:p>
    <w:p>
      <w:pPr>
        <w:ind w:left="660" w:right="660" w:hanging="328"/>
        <w:spacing w:after="0" w:line="255" w:lineRule="auto"/>
        <w:tabs>
          <w:tab w:leader="none" w:pos="652"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other expenses in (i) above, including the impact of stranded tax effect of $(2.1) million for the six months ended July 3, 2021 associated with our interest rate swaps that matured in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60" w:type="dxa"/>
            <w:vAlign w:val="bottom"/>
            <w:gridSpan w:val="5"/>
          </w:tcPr>
          <w:p>
            <w:pPr>
              <w:ind w:left="20"/>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6"/>
        </w:trPr>
        <w:tc>
          <w:tcPr>
            <w:tcW w:w="49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5"/>
          </w:tcPr>
          <w:p>
            <w:pPr>
              <w:ind w:left="680"/>
              <w:spacing w:after="0" w:line="235" w:lineRule="exact"/>
              <w:rPr>
                <w:sz w:val="20"/>
                <w:szCs w:val="20"/>
                <w:color w:val="auto"/>
              </w:rPr>
            </w:pPr>
            <w:r>
              <w:rPr>
                <w:rFonts w:ascii="Arial" w:cs="Arial" w:eastAsia="Arial" w:hAnsi="Arial"/>
                <w:sz w:val="18"/>
                <w:szCs w:val="18"/>
                <w:color w:val="auto"/>
              </w:rPr>
              <w:t>Comparable store sales growth</w:t>
            </w:r>
            <w:r>
              <w:rPr>
                <w:rFonts w:ascii="Arial" w:cs="Arial" w:eastAsia="Arial" w:hAnsi="Arial"/>
                <w:sz w:val="23"/>
                <w:szCs w:val="23"/>
                <w:color w:val="auto"/>
                <w:vertAlign w:val="superscript"/>
              </w:rPr>
              <w:t>(a)</w:t>
            </w:r>
          </w:p>
        </w:tc>
        <w:tc>
          <w:tcPr>
            <w:tcW w:w="1080" w:type="dxa"/>
            <w:vAlign w:val="bottom"/>
            <w:tcBorders>
              <w:bottom w:val="single" w:sz="8" w:color="auto"/>
            </w:tcBorders>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2580" w:type="dxa"/>
            <w:vAlign w:val="bottom"/>
            <w:gridSpan w:val="3"/>
          </w:tcPr>
          <w:p>
            <w:pPr>
              <w:ind w:left="680"/>
              <w:spacing w:after="0"/>
              <w:rPr>
                <w:sz w:val="20"/>
                <w:szCs w:val="20"/>
                <w:color w:val="auto"/>
              </w:rPr>
            </w:pPr>
            <w:r>
              <w:rPr>
                <w:rFonts w:ascii="Arial" w:cs="Arial" w:eastAsia="Arial" w:hAnsi="Arial"/>
                <w:sz w:val="18"/>
                <w:szCs w:val="18"/>
                <w:color w:val="auto"/>
              </w:rPr>
              <w:t>Second Quarter</w:t>
            </w:r>
          </w:p>
        </w:tc>
        <w:tc>
          <w:tcPr>
            <w:tcW w:w="2600" w:type="dxa"/>
            <w:vAlign w:val="bottom"/>
            <w:gridSpan w:val="3"/>
          </w:tcPr>
          <w:p>
            <w:pPr>
              <w:ind w:left="800"/>
              <w:spacing w:after="0"/>
              <w:rPr>
                <w:sz w:val="20"/>
                <w:szCs w:val="20"/>
                <w:color w:val="auto"/>
              </w:rPr>
            </w:pPr>
            <w:r>
              <w:rPr>
                <w:rFonts w:ascii="Arial" w:cs="Arial" w:eastAsia="Arial" w:hAnsi="Arial"/>
                <w:sz w:val="18"/>
                <w:szCs w:val="18"/>
                <w:color w:val="auto"/>
              </w:rPr>
              <w:t>Year to Date</w:t>
            </w:r>
          </w:p>
        </w:tc>
        <w:tc>
          <w:tcPr>
            <w:tcW w:w="1080" w:type="dxa"/>
            <w:vAlign w:val="bottom"/>
          </w:tcPr>
          <w:p>
            <w:pPr>
              <w:spacing w:after="0"/>
              <w:rPr>
                <w:sz w:val="19"/>
                <w:szCs w:val="19"/>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2021 vs. 2019</w:t>
            </w:r>
          </w:p>
        </w:tc>
        <w:tc>
          <w:tcPr>
            <w:tcW w:w="12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7"/>
              </w:rPr>
              <w:t>2021 vs. 2020</w:t>
            </w:r>
          </w:p>
        </w:tc>
        <w:tc>
          <w:tcPr>
            <w:tcW w:w="8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2021 vs. 2019</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2021 vs. 2020</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2021 Outlook</w:t>
            </w:r>
          </w:p>
        </w:tc>
      </w:tr>
      <w:tr>
        <w:trPr>
          <w:trHeight w:val="20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America’s Best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26.1 %</w:t>
            </w:r>
          </w:p>
        </w:tc>
        <w:tc>
          <w:tcPr>
            <w:tcW w:w="1220" w:type="dxa"/>
            <w:vAlign w:val="bottom"/>
          </w:tcPr>
          <w:p>
            <w:pPr>
              <w:ind w:left="680"/>
              <w:spacing w:after="0"/>
              <w:rPr>
                <w:sz w:val="20"/>
                <w:szCs w:val="20"/>
                <w:color w:val="auto"/>
              </w:rPr>
            </w:pPr>
            <w:r>
              <w:rPr>
                <w:rFonts w:ascii="Arial" w:cs="Arial" w:eastAsia="Arial" w:hAnsi="Arial"/>
                <w:sz w:val="18"/>
                <w:szCs w:val="18"/>
                <w:color w:val="auto"/>
                <w:w w:val="92"/>
              </w:rPr>
              <w:t>81.8 %</w:t>
            </w:r>
          </w:p>
        </w:tc>
        <w:tc>
          <w:tcPr>
            <w:tcW w:w="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18.4 %</w:t>
            </w:r>
          </w:p>
        </w:tc>
        <w:tc>
          <w:tcPr>
            <w:tcW w:w="1200" w:type="dxa"/>
            <w:vAlign w:val="bottom"/>
          </w:tcPr>
          <w:p>
            <w:pPr>
              <w:jc w:val="right"/>
              <w:spacing w:after="0"/>
              <w:rPr>
                <w:sz w:val="20"/>
                <w:szCs w:val="20"/>
                <w:color w:val="auto"/>
              </w:rPr>
            </w:pPr>
            <w:r>
              <w:rPr>
                <w:rFonts w:ascii="Arial" w:cs="Arial" w:eastAsia="Arial" w:hAnsi="Arial"/>
                <w:sz w:val="18"/>
                <w:szCs w:val="18"/>
                <w:color w:val="auto"/>
              </w:rPr>
              <w:t>54.9 %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27.1 %</w:t>
            </w:r>
          </w:p>
        </w:tc>
        <w:tc>
          <w:tcPr>
            <w:tcW w:w="12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67.6 %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Military</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20" w:type="dxa"/>
            <w:vAlign w:val="bottom"/>
          </w:tcPr>
          <w:p>
            <w:pPr>
              <w:ind w:left="680"/>
              <w:spacing w:after="0"/>
              <w:rPr>
                <w:sz w:val="20"/>
                <w:szCs w:val="20"/>
                <w:color w:val="auto"/>
              </w:rPr>
            </w:pPr>
            <w:r>
              <w:rPr>
                <w:rFonts w:ascii="Arial" w:cs="Arial" w:eastAsia="Arial" w:hAnsi="Arial"/>
                <w:sz w:val="18"/>
                <w:szCs w:val="18"/>
                <w:color w:val="auto"/>
                <w:w w:val="92"/>
              </w:rPr>
              <w:t>65.0 %</w:t>
            </w:r>
          </w:p>
        </w:tc>
        <w:tc>
          <w:tcPr>
            <w:tcW w:w="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0" w:type="dxa"/>
            <w:vAlign w:val="bottom"/>
          </w:tcPr>
          <w:p>
            <w:pPr>
              <w:jc w:val="right"/>
              <w:spacing w:after="0"/>
              <w:rPr>
                <w:sz w:val="20"/>
                <w:szCs w:val="20"/>
                <w:color w:val="auto"/>
              </w:rPr>
            </w:pPr>
            <w:r>
              <w:rPr>
                <w:rFonts w:ascii="Arial" w:cs="Arial" w:eastAsia="Arial" w:hAnsi="Arial"/>
                <w:sz w:val="18"/>
                <w:szCs w:val="18"/>
                <w:color w:val="auto"/>
              </w:rPr>
              <w:t>38.1 %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61.1 %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Legacy segment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11.4 %</w:t>
            </w:r>
          </w:p>
        </w:tc>
        <w:tc>
          <w:tcPr>
            <w:tcW w:w="1220" w:type="dxa"/>
            <w:vAlign w:val="bottom"/>
          </w:tcPr>
          <w:p>
            <w:pPr>
              <w:ind w:left="680"/>
              <w:spacing w:after="0"/>
              <w:rPr>
                <w:sz w:val="20"/>
                <w:szCs w:val="20"/>
                <w:color w:val="auto"/>
              </w:rPr>
            </w:pPr>
            <w:r>
              <w:rPr>
                <w:rFonts w:ascii="Arial" w:cs="Arial" w:eastAsia="Arial" w:hAnsi="Arial"/>
                <w:sz w:val="18"/>
                <w:szCs w:val="18"/>
                <w:color w:val="auto"/>
                <w:w w:val="92"/>
              </w:rPr>
              <w:t>58.2 %</w:t>
            </w:r>
          </w:p>
        </w:tc>
        <w:tc>
          <w:tcPr>
            <w:tcW w:w="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6.1 %</w:t>
            </w:r>
          </w:p>
        </w:tc>
        <w:tc>
          <w:tcPr>
            <w:tcW w:w="1200" w:type="dxa"/>
            <w:vAlign w:val="bottom"/>
          </w:tcPr>
          <w:p>
            <w:pPr>
              <w:jc w:val="right"/>
              <w:spacing w:after="0"/>
              <w:rPr>
                <w:sz w:val="20"/>
                <w:szCs w:val="20"/>
                <w:color w:val="auto"/>
              </w:rPr>
            </w:pPr>
            <w:r>
              <w:rPr>
                <w:rFonts w:ascii="Arial" w:cs="Arial" w:eastAsia="Arial" w:hAnsi="Arial"/>
                <w:sz w:val="18"/>
                <w:szCs w:val="18"/>
                <w:color w:val="auto"/>
              </w:rPr>
              <w:t>42.6 %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Total comparable store sales growth</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22.5 %</w:t>
            </w:r>
          </w:p>
        </w:tc>
        <w:tc>
          <w:tcPr>
            <w:tcW w:w="1220" w:type="dxa"/>
            <w:vAlign w:val="bottom"/>
          </w:tcPr>
          <w:p>
            <w:pPr>
              <w:ind w:left="680"/>
              <w:spacing w:after="0"/>
              <w:rPr>
                <w:sz w:val="20"/>
                <w:szCs w:val="20"/>
                <w:color w:val="auto"/>
              </w:rPr>
            </w:pPr>
            <w:r>
              <w:rPr>
                <w:rFonts w:ascii="Arial" w:cs="Arial" w:eastAsia="Arial" w:hAnsi="Arial"/>
                <w:sz w:val="18"/>
                <w:szCs w:val="18"/>
                <w:color w:val="auto"/>
                <w:w w:val="92"/>
              </w:rPr>
              <w:t>99.1 %</w:t>
            </w:r>
          </w:p>
        </w:tc>
        <w:tc>
          <w:tcPr>
            <w:tcW w:w="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15.5 %</w:t>
            </w:r>
          </w:p>
        </w:tc>
        <w:tc>
          <w:tcPr>
            <w:tcW w:w="2380" w:type="dxa"/>
            <w:vAlign w:val="bottom"/>
            <w:gridSpan w:val="3"/>
          </w:tcPr>
          <w:p>
            <w:pPr>
              <w:jc w:val="right"/>
              <w:ind w:right="50"/>
              <w:spacing w:after="0"/>
              <w:rPr>
                <w:sz w:val="20"/>
                <w:szCs w:val="20"/>
                <w:color w:val="auto"/>
              </w:rPr>
            </w:pPr>
            <w:r>
              <w:rPr>
                <w:rFonts w:ascii="Arial" w:cs="Arial" w:eastAsia="Arial" w:hAnsi="Arial"/>
                <w:sz w:val="18"/>
                <w:szCs w:val="18"/>
                <w:color w:val="auto"/>
              </w:rPr>
              <w:t>48.9 %   18% - 21%</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Comparable Store Sales Growth </w:t>
            </w:r>
            <w:r>
              <w:rPr>
                <w:rFonts w:ascii="Arial" w:cs="Arial" w:eastAsia="Arial" w:hAnsi="Arial"/>
                <w:sz w:val="23"/>
                <w:szCs w:val="23"/>
                <w:color w:val="auto"/>
                <w:vertAlign w:val="superscript"/>
              </w:rPr>
              <w:t>(b)</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23.5 %</w:t>
            </w:r>
          </w:p>
        </w:tc>
        <w:tc>
          <w:tcPr>
            <w:tcW w:w="12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76.7 %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 - 22%</w:t>
            </w:r>
          </w:p>
        </w:tc>
      </w:tr>
    </w:tbl>
    <w:p>
      <w:pPr>
        <w:spacing w:after="0" w:line="184" w:lineRule="exact"/>
        <w:rPr>
          <w:sz w:val="20"/>
          <w:szCs w:val="20"/>
          <w:color w:val="auto"/>
        </w:rPr>
      </w:pPr>
    </w:p>
    <w:p>
      <w:pPr>
        <w:jc w:val="both"/>
        <w:ind w:left="660" w:right="660" w:hanging="328"/>
        <w:spacing w:after="0" w:line="273" w:lineRule="auto"/>
        <w:tabs>
          <w:tab w:leader="none" w:pos="657" w:val="left"/>
        </w:tabs>
        <w:numPr>
          <w:ilvl w:val="0"/>
          <w:numId w:val="12"/>
        </w:numPr>
        <w:rPr>
          <w:rFonts w:ascii="Arial" w:cs="Arial" w:eastAsia="Arial" w:hAnsi="Arial"/>
          <w:sz w:val="13"/>
          <w:szCs w:val="13"/>
          <w:color w:val="auto"/>
        </w:rPr>
      </w:pPr>
      <w:r>
        <w:rPr>
          <w:rFonts w:ascii="Arial" w:cs="Arial" w:eastAsia="Arial" w:hAnsi="Arial"/>
          <w:sz w:val="13"/>
          <w:szCs w:val="13"/>
          <w:color w:val="auto"/>
        </w:rPr>
        <w:t>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in our Quarterly Report on Form 10-Q, with the exception of the Legacy segment, which is adjusted as noted in clause (b) (ii) below.</w:t>
      </w:r>
    </w:p>
    <w:p>
      <w:pPr>
        <w:spacing w:after="0" w:line="67" w:lineRule="exact"/>
        <w:rPr>
          <w:rFonts w:ascii="Arial" w:cs="Arial" w:eastAsia="Arial" w:hAnsi="Arial"/>
          <w:sz w:val="13"/>
          <w:szCs w:val="13"/>
          <w:color w:val="auto"/>
        </w:rPr>
      </w:pPr>
    </w:p>
    <w:p>
      <w:pPr>
        <w:jc w:val="both"/>
        <w:ind w:left="660" w:right="660" w:hanging="328"/>
        <w:spacing w:after="0" w:line="246" w:lineRule="auto"/>
        <w:tabs>
          <w:tab w:leader="none" w:pos="652"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an increase of 1.2% for second quarter 2021 vs. 2019, a decrease of 21.6% for second quarter 2021 vs. 2020, an increase of 1.2% for year to date 2021 vs. 2019 and an increase of 4.4% for year to date 2021 vs. 2020; and (ii) Adjusted Comparable Store Sales Growth includes retail sales to the Legacy partner’s customers (rather than the revenues recognized consistent with the management &amp; services agreement with the Legacy partner), resulting in the following changes from total comparable store sales growth based on consolidated net revenue: a decrease of 0.2% for second quarter 2021 vs. 2019 and a decrease of 0.8% for second quarter 2021 vs. 2020.</w:t>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Investors: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David Mann, CFA, Vice President of Investor Relations</w:t>
      </w:r>
    </w:p>
    <w:p>
      <w:pPr>
        <w:spacing w:after="0" w:line="32" w:lineRule="exact"/>
        <w:rPr>
          <w:sz w:val="20"/>
          <w:szCs w:val="20"/>
          <w:color w:val="auto"/>
        </w:rPr>
      </w:pPr>
    </w:p>
    <w:p>
      <w:pPr>
        <w:ind w:right="7359" w:firstLine="8"/>
        <w:spacing w:after="0" w:line="323" w:lineRule="auto"/>
        <w:tabs>
          <w:tab w:leader="none" w:pos="4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Racheal Peters, Manager of External Communications</w:t>
      </w:r>
    </w:p>
    <w:p>
      <w:pPr>
        <w:spacing w:after="0" w:line="32" w:lineRule="exact"/>
        <w:rPr>
          <w:sz w:val="20"/>
          <w:szCs w:val="20"/>
          <w:color w:val="auto"/>
        </w:rPr>
      </w:pPr>
    </w:p>
    <w:p>
      <w:pPr>
        <w:ind w:right="8159" w:firstLine="8"/>
        <w:spacing w:after="0" w:line="323" w:lineRule="auto"/>
        <w:tabs>
          <w:tab w:leader="none" w:pos="4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448-2303 media@nationalvision.com</w:t>
      </w:r>
    </w:p>
    <w:sectPr>
      <w:pgSz w:w="11900" w:h="16838" w:orient="portrait"/>
      <w:cols w:equalWidth="0" w:num="1">
        <w:col w:w="10139"/>
      </w:cols>
      <w:pgMar w:left="320" w:top="8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9"/>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470"/>
    </w:lvl>
  </w:abstractNum>
  <w:abstractNum w:abstractNumId="13">
    <w:nsid w:val="DED7263"/>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2021-08-12T07:54:09Z</dcterms:created>
  <dcterms:modified xsi:type="dcterms:W3CDTF">2021-08-12T07:54:09Z</dcterms:modified>
</cp:coreProperties>
</file>