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Francis Roger F.</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50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SVP, Chief Stores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05/03/2022</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05/03/2022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2,239</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4,478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05/03/2022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0000FF"/>
              </w:rPr>
              <w:t>674</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3,804</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2,239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05/03/2022</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2,239</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10,307</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3, 2022, 2,239 restricted stock units vested and 674 shares of the Company's common stock were withheld to satisfy tax withholding obligations. The closing price on May 3, 2022 of the Company's common stock on NASDAQ was $37.71 per share.</w:t>
      </w:r>
    </w:p>
    <w:p>
      <w:pPr>
        <w:spacing w:after="0" w:line="24"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3, 2021, the reporting person was granted 3,359 restricted stock units, which will vest in two installments, with 2,239 shares vesting on the first anniversary of the grant date and 1,120 shares vesting on the second anniversary of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05/05/2022</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010"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2022-05-07T16:07:35Z</dcterms:created>
  <dcterms:modified xsi:type="dcterms:W3CDTF">2022-05-07T16:07:35Z</dcterms:modified>
</cp:coreProperties>
</file>