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Clearbridge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2435 Commerce Ave., Building 2200, Duluth, GA, 30096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ClearBridge Investments,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620 8th Ave. New York, NY 10018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Clearbridge Investments, LLC: 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Clearbridge Investments, LLC: 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20"/>
        <w:spacing w:after="0" w:line="244" w:lineRule="auto"/>
        <w:rPr>
          <w:sz w:val="20"/>
          <w:szCs w:val="20"/>
          <w:color w:val="auto"/>
        </w:rPr>
      </w:pPr>
      <w:r>
        <w:rPr>
          <w:rFonts w:ascii="Times New Roman" w:cs="Times New Roman" w:eastAsia="Times New Roman" w:hAnsi="Times New Roman"/>
          <w:sz w:val="22"/>
          <w:szCs w:val="22"/>
          <w:color w:val="auto"/>
        </w:rPr>
        <w:t>The clients of ClearBridge Investments, LLC,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8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Clearbridge Investments,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R. Murphy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Compliance Officer of ClearBridge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10/31/2024</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Exhibit A: Item 4 Ownership The securities reported herein are beneficially owned by one or more open end investment companies or other managed accounts that are investment management clients of ClearBridge Investments, LLC ("CIL"), an indirect wholly owned subsidiary of Franklin Resources, Inc. ("FRI"). When an investment management contract (including a sub advisory agreement) delegates to CIL investment discretion or voting power over the securities held in the investment advisory accounts that are subject to that agreement, FRI treats CIL as having sole investment discretion or voting authority, as the case may be, unless the agreement specifies otherwise. Accordingly, CIL reports on Schedule 13G that it has sole investment discretion and voting authority over the securities covered by any such investment management agreement, unless otherwise noted in this Item 4. As a result, for purposes of Rule 13d-3 under the Act, CIL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CIL are exercised independently from FRI (CIL's parent holding company) and from all other investment management subsidiaries of FRI (FRI, its affiliates and investment management subsidiaries other than CIL are, collectively, "FRI affiliates"). Furthermore, internal policies and procedures of CIL and FRI affiliates establish informational barriers that prevent the flow between CIL and the FRI affiliates of information that relates to the voting and investment powers over the securities owned by their respective investment management clients. Consequently, CIL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CIL exercises voting and investment powers on behalf of its investment management clients independently of FRI affiliates, beneficial ownership of the securities reported by CIL is not attributed to the Principal Shareholders. CIL disclaims any pecuniary interest in any of the securities reported in this Schedule 13G. In addition, the filing of this Schedule 13G on behalf of CIL should not be construed as an admission that it is, and it disclaims that it is, the beneficial owner, as defined in Rule 13d-3, of any of such securities. Furthermore, CIL believes that it is not a "group" with FRI affiliates, the Principal Shareholders, or their respective affiliates within the meaning of Rule 13d-5 under the Act and that none of them is otherwise required to attribute to any other the beneficial ownership of the securities held by such person or by any persons or entities for whom or for which CIL or the FRI affiliates provide investment management services.</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2024-10-31T16:29:42Z</dcterms:created>
  <dcterms:modified xsi:type="dcterms:W3CDTF">2024-10-31T16:29:42Z</dcterms:modified>
</cp:coreProperties>
</file>