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-611505</wp:posOffset>
            </wp:positionV>
            <wp:extent cx="8255" cy="6121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2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4020820</wp:posOffset>
            </wp:positionH>
            <wp:positionV relativeFrom="paragraph">
              <wp:posOffset>-619760</wp:posOffset>
            </wp:positionV>
            <wp:extent cx="8255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4045585</wp:posOffset>
            </wp:positionH>
            <wp:positionV relativeFrom="paragraph">
              <wp:posOffset>-594995</wp:posOffset>
            </wp:positionV>
            <wp:extent cx="1266190" cy="570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570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29845</wp:posOffset>
            </wp:positionV>
            <wp:extent cx="6967220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3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-2435225</wp:posOffset>
            </wp:positionH>
            <wp:positionV relativeFrom="paragraph">
              <wp:posOffset>211455</wp:posOffset>
            </wp:positionV>
            <wp:extent cx="6967220" cy="13157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896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270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45.65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8. Price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3,710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-2066925</wp:posOffset>
            </wp:positionV>
            <wp:extent cx="7033260" cy="211010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10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16, 2020, the reporting person was granted 2,689 restricted stock units, vesting in three equal annual installments beginning on the first anniversary of the grant date.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04913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2021-03-18T15:36:00Z</dcterms:created>
  <dcterms:modified xsi:type="dcterms:W3CDTF">2021-03-18T15:36:00Z</dcterms:modified>
</cp:coreProperties>
</file>