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December 12, 2023 (December 7, 2023)</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001-38257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w:t>
      </w:r>
    </w:p>
    <w:p>
      <w:pPr>
        <w:spacing w:after="0" w:line="120"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incorporation)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6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9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4"/>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66" w:lineRule="exact"/>
        <w:rPr>
          <w:sz w:val="24"/>
          <w:szCs w:val="24"/>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0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190" w:right="399" w:bottom="1440" w:gutter="0" w:footer="0" w:header="0"/>
        </w:sectPr>
      </w:pPr>
    </w:p>
    <w:bookmarkStart w:id="1" w:name="page2"/>
    <w:bookmarkEnd w:id="1"/>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December 7, 2023,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National Vision Holdings, Inc. (“</w:t>
      </w:r>
      <w:r>
        <w:rPr>
          <w:rFonts w:ascii="Times New Roman" w:cs="Times New Roman" w:eastAsia="Times New Roman" w:hAnsi="Times New Roman"/>
          <w:sz w:val="18"/>
          <w:szCs w:val="18"/>
          <w:u w:val="single" w:color="auto"/>
          <w:color w:val="auto"/>
        </w:rPr>
        <w:t>National Vision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accepted the resignation of Heather Cianfrocco as director of the Company, effective as of December 7, 2023. Ms. Cianfrocco had tendered her resignation due to a recent change in her role at UnitedHealth Group. There were no disagreements between Ms. Cianfrocco and the Company, or between the Company and Ms. Cianfrocco, on any matter relating to the Company’s operations, policies or practices.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Cianfrocco served as a director of the Company since 2019 and was a member of the Board’s Compensation Committee. The Board thanks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Cianfrocco for her loyal and dedicated service to the Company.</w:t>
      </w:r>
    </w:p>
    <w:p>
      <w:pPr>
        <w:spacing w:after="0" w:line="1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connection with the acceptance of Ms. Cianfrocco’s resignation, the Board decreased the size of the Board from nine members to eight members, effective immediately.</w:t>
      </w:r>
    </w:p>
    <w:p>
      <w:pPr>
        <w:spacing w:after="0" w:line="3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5.03</w:t>
        <w:tab/>
        <w:t>Amendments to Articles of Incorporation or Bylaws.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December 7, 2023, in connection with a periodic review of the bylaws of National Vision Holdings, Inc. (the “Company”), including with respect to the effectiveness of the U.S. Securities and Exchange Commission rules regarding universal proxy cards and certain changes to the Delaware General Corporation Law (the “DGCL”), the Board of Directors of the Company adopted amendments to the Company’s Third Amended and Restated Bylaws (as amended, the “Fourth Amended and Restated Bylaws”), effective immediately. Among other things, the amendments effected by the Fourth Amended and Restated Bylaws: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Enhance corporate governance in accordance with best practices, including by:</w:t>
      </w:r>
    </w:p>
    <w:p>
      <w:pPr>
        <w:spacing w:after="0" w:line="26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voting standard to a majority of the votes cast for uncontested elections and plurality voting for contested elections;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special meetings of the Board to be called on less than 24 hours’ advanced notice;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procedures for the Board’s review of transactions with interested directors and officers;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Clarifying certain Board organizational matters;</w:t>
      </w:r>
    </w:p>
    <w:p>
      <w:pPr>
        <w:spacing w:after="0" w:line="27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8"/>
          <w:szCs w:val="18"/>
          <w:color w:val="auto"/>
        </w:rPr>
        <w:t>Supplement the existing procedural mechanics and disclosure requirements for stockholder nominations of directors and submissions of stockholder proposals (other than proposals to be included in the Company’s proxy statement pursuant to Rule 14a-8 under the Securities Exchange Act of 1934, as amended) at stockholder meetings, including to require additional disclosures and representations from stockholders providing notice, other persons associated with such stockholders and proposed director nominees, and additional matters, including:</w:t>
      </w:r>
    </w:p>
    <w:p>
      <w:pPr>
        <w:spacing w:after="0" w:line="20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certain issues created by the universal proxy rules;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provisions relating to stockholder lists and adjournments to reflect recent amendments to the DGCL;</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stockholder providing notice must be a stockholder of record through the date of the applicable meeting;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stockholder nominees to complete a director questionnaire, a form of which may be requested from the Company;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stockholder nominees to make themselves available for and submit to interviews by the Board within ten days of any request;</w:t>
      </w:r>
    </w:p>
    <w:p>
      <w:pPr>
        <w:spacing w:after="0" w:line="31"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Clarifying that the number of candidates a stockholder may nominate for election at a meeting may not exceed the number of directors to be elected at such meeting and that substitute nominations are prohibited;</w:t>
      </w:r>
    </w:p>
    <w:p>
      <w:pPr>
        <w:spacing w:after="0" w:line="1"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stockholder providing notice must update such notice (i) as of the record date and as of the date that is ten business days prior to the meeting and (ii) within two days of any change to the information provided;</w:t>
      </w:r>
    </w:p>
    <w:p>
      <w:pPr>
        <w:spacing w:after="0" w:line="1" w:lineRule="exact"/>
        <w:rPr>
          <w:rFonts w:ascii="Times New Roman" w:cs="Times New Roman" w:eastAsia="Times New Roman" w:hAnsi="Times New Roman"/>
          <w:sz w:val="18"/>
          <w:szCs w:val="18"/>
          <w:color w:val="auto"/>
        </w:rPr>
      </w:pPr>
    </w:p>
    <w:p>
      <w:pPr>
        <w:ind w:left="660" w:hanging="328"/>
        <w:spacing w:after="0" w:line="29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Clarifying the types of rules, regulations and procedures that a chair of a stockholder meeting can prescribe in connection with a stockholder meeting;</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Adopt emergency bylaws to be operative during an emergency;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left="340"/>
        <w:spacing w:after="0"/>
        <w:rPr>
          <w:sz w:val="20"/>
          <w:szCs w:val="20"/>
          <w:color w:val="auto"/>
        </w:rPr>
      </w:pPr>
      <w:r>
        <w:rPr>
          <w:rFonts w:ascii="Times New Roman" w:cs="Times New Roman" w:eastAsia="Times New Roman" w:hAnsi="Times New Roman"/>
          <w:sz w:val="18"/>
          <w:szCs w:val="18"/>
          <w:color w:val="auto"/>
        </w:rPr>
        <w:t>Make various other updates, including ministerial and conforming changes, and changes in furtherance of gender neutrality.</w:t>
      </w:r>
    </w:p>
    <w:p>
      <w:pPr>
        <w:spacing w:after="0" w:line="26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foregoing summary of the amendments does not purport to be complete and is qualified in its entirety by reference to the complete text of the Fourth Amended and Restated Bylaws, attached hereto as Exhibit 3.1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70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Amended and Restated Bylaws of National Vision Holdings, Inc.</w:t>
            </w:r>
          </w:p>
        </w:tc>
      </w:tr>
      <w:tr>
        <w:trPr>
          <w:trHeight w:val="1027"/>
        </w:trPr>
        <w:tc>
          <w:tcPr>
            <w:tcW w:w="2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12, 2023</w:t>
            </w:r>
          </w:p>
        </w:tc>
        <w:tc>
          <w:tcPr>
            <w:tcW w:w="25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3020" w:type="dxa"/>
            <w:vAlign w:val="bottom"/>
          </w:tcPr>
          <w:p>
            <w:pPr>
              <w:spacing w:after="0"/>
              <w:rPr>
                <w:sz w:val="18"/>
                <w:szCs w:val="18"/>
                <w:color w:val="auto"/>
              </w:rPr>
            </w:pPr>
          </w:p>
        </w:tc>
        <w:tc>
          <w:tcPr>
            <w:tcW w:w="25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3020" w:type="dxa"/>
            <w:vAlign w:val="bottom"/>
          </w:tcPr>
          <w:p>
            <w:pPr>
              <w:spacing w:after="0"/>
              <w:rPr>
                <w:sz w:val="20"/>
                <w:szCs w:val="20"/>
                <w:color w:val="auto"/>
              </w:rPr>
            </w:pPr>
          </w:p>
        </w:tc>
        <w:tc>
          <w:tcPr>
            <w:tcW w:w="25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88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FOURTH AMENDED AND RESTATED BYLAWS</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OF</w:t>
      </w: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NATIONAL VISION HOLDINGS, INC.</w:t>
      </w:r>
    </w:p>
    <w:p>
      <w:pPr>
        <w:spacing w:after="0" w:line="2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Offices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Registered Office</w:t>
      </w:r>
      <w:r>
        <w:rPr>
          <w:rFonts w:ascii="Times New Roman" w:cs="Times New Roman" w:eastAsia="Times New Roman" w:hAnsi="Times New Roman"/>
          <w:sz w:val="20"/>
          <w:szCs w:val="20"/>
          <w:color w:val="auto"/>
        </w:rPr>
        <w:t>. The registered office and registered agent of National Vision Holdings, Inc. (the</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 in the State of Delaware shall be as set forth in the Amended and Restated Certificate of Incorporation (as defined below).</w:t>
      </w:r>
    </w:p>
    <w:p>
      <w:pPr>
        <w:ind w:left="20"/>
        <w:spacing w:after="0"/>
        <w:rPr>
          <w:sz w:val="20"/>
          <w:szCs w:val="20"/>
          <w:color w:val="auto"/>
        </w:rPr>
      </w:pPr>
      <w:r>
        <w:rPr>
          <w:rFonts w:ascii="Times New Roman" w:cs="Times New Roman" w:eastAsia="Times New Roman" w:hAnsi="Times New Roman"/>
          <w:sz w:val="20"/>
          <w:szCs w:val="20"/>
          <w:color w:val="auto"/>
        </w:rPr>
        <w:t>The Corporation may also have offices in such other places in the United States or elsewhere (and may change the Corporation’s</w:t>
      </w:r>
    </w:p>
    <w:p>
      <w:pPr>
        <w:ind w:left="20"/>
        <w:spacing w:after="0"/>
        <w:rPr>
          <w:sz w:val="20"/>
          <w:szCs w:val="20"/>
          <w:color w:val="auto"/>
        </w:rPr>
      </w:pPr>
      <w:r>
        <w:rPr>
          <w:rFonts w:ascii="Times New Roman" w:cs="Times New Roman" w:eastAsia="Times New Roman" w:hAnsi="Times New Roman"/>
          <w:sz w:val="20"/>
          <w:szCs w:val="20"/>
          <w:color w:val="auto"/>
        </w:rPr>
        <w:t>registered agent) as the Board of Directors of the Corporation (the “</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may, from time to time, determine or as the</w:t>
      </w:r>
    </w:p>
    <w:p>
      <w:pPr>
        <w:ind w:left="20"/>
        <w:spacing w:after="0"/>
        <w:rPr>
          <w:sz w:val="20"/>
          <w:szCs w:val="20"/>
          <w:color w:val="auto"/>
        </w:rPr>
      </w:pPr>
      <w:r>
        <w:rPr>
          <w:rFonts w:ascii="Times New Roman" w:cs="Times New Roman" w:eastAsia="Times New Roman" w:hAnsi="Times New Roman"/>
          <w:sz w:val="20"/>
          <w:szCs w:val="20"/>
          <w:color w:val="auto"/>
        </w:rPr>
        <w:t>business of the Corporation may require.</w:t>
      </w:r>
    </w:p>
    <w:p>
      <w:pPr>
        <w:spacing w:after="0" w:line="2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Meetings of Stockholders</w:t>
      </w:r>
    </w:p>
    <w:p>
      <w:pPr>
        <w:spacing w:after="0" w:line="221" w:lineRule="exact"/>
        <w:rPr>
          <w:sz w:val="20"/>
          <w:szCs w:val="20"/>
          <w:color w:val="auto"/>
        </w:rPr>
      </w:pPr>
    </w:p>
    <w:p>
      <w:pPr>
        <w:ind w:left="20" w:right="160" w:firstLine="1296"/>
        <w:spacing w:after="0" w:line="242"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Annual Meetings</w:t>
      </w:r>
      <w:r>
        <w:rPr>
          <w:rFonts w:ascii="Times New Roman" w:cs="Times New Roman" w:eastAsia="Times New Roman" w:hAnsi="Times New Roman"/>
          <w:sz w:val="20"/>
          <w:szCs w:val="20"/>
          <w:color w:val="auto"/>
        </w:rPr>
        <w:t>.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meetings of stockholders shall not be held at any place, but may instead be held solely by means of remote communication as described in Section 2.11 of these amended and restated bylaws of the Corporation (as the same may be amended and/or restated from time to time, these “</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in accordance with Section 211(a)(2) of the General Corporation Law of the State of Delaware (the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 The Board of Directors may postpone, reschedule or cancel any annual meeting of stockholders previously scheduled by the Board of Directors.</w:t>
      </w:r>
    </w:p>
    <w:p>
      <w:pPr>
        <w:spacing w:after="0" w:line="213" w:lineRule="exact"/>
        <w:rPr>
          <w:sz w:val="20"/>
          <w:szCs w:val="20"/>
          <w:color w:val="auto"/>
        </w:rPr>
      </w:pPr>
    </w:p>
    <w:p>
      <w:pPr>
        <w:ind w:left="20" w:right="200" w:firstLine="1296"/>
        <w:spacing w:after="0" w:line="242" w:lineRule="auto"/>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Special meetings of the stockholders may only be called in the manner provided in the Corporation’s amended and restated certificate of incorporation as then in effect (as the same may be amended and/or restated from time to time, the “</w:t>
      </w:r>
      <w:r>
        <w:rPr>
          <w:rFonts w:ascii="Times New Roman" w:cs="Times New Roman" w:eastAsia="Times New Roman" w:hAnsi="Times New Roman"/>
          <w:sz w:val="20"/>
          <w:szCs w:val="20"/>
          <w:u w:val="single" w:color="auto"/>
          <w:color w:val="auto"/>
        </w:rPr>
        <w:t>Amended and Restated Certificate of Incorporation</w:t>
      </w:r>
      <w:r>
        <w:rPr>
          <w:rFonts w:ascii="Times New Roman" w:cs="Times New Roman" w:eastAsia="Times New Roman" w:hAnsi="Times New Roman"/>
          <w:sz w:val="20"/>
          <w:szCs w:val="20"/>
          <w:color w:val="auto"/>
        </w:rPr>
        <w:t>”) and may be held, for any purpose or purposes, at such place, if any, either within or without the State of Delaware, and at such time and date as the Board of Directors or the Chair of the Board of Directors shall determine and state in the notice of meeting. The Board of Directors may postpone, reschedule or cancel any special meeting of stockholders previously scheduled by the Board of Directors or the Chair of the Board of Directors.</w:t>
      </w:r>
    </w:p>
    <w:p>
      <w:pPr>
        <w:spacing w:after="0" w:line="2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Notice of Stockholder Business and Nominations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1920" w:hanging="632"/>
        <w:spacing w:after="0"/>
        <w:tabs>
          <w:tab w:leader="none" w:pos="1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Annual Meetings of Stockholders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right="120" w:firstLine="1289"/>
        <w:spacing w:after="0"/>
        <w:tabs>
          <w:tab w:leader="none" w:pos="18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Nominations of persons for election to the Board of Directors and the proposal of other business to be considered by the stockholders may be made at an annual meeting of stockholders only (a) pursuant to the Corporation’s notice of meeting (or any supplement thereto) with respect to such annual meeting given by or at the direction of the Board of Directors (or any duly authorized committee thereof), (b) as otherwise properly brought before such annual meeting by or at the direction of the Board of Directors (or any duly authorized committee thereof) or (c) by any stockholder of the Corporation who (i) is a stockholder of record at the time of the giving of the notice provided for in this Section 2.03 through the date of such annual meeting, (ii) is entitled to vote at such annual meeting on such business or nomination and (iii) complies with the notice procedures set forth in this Section 2.03. For the avoidance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00"/>
          </w:cols>
          <w:pgMar w:left="460" w:top="342" w:right="339" w:bottom="1440" w:gutter="0" w:footer="0" w:header="0"/>
        </w:sectPr>
      </w:pPr>
    </w:p>
    <w:bookmarkStart w:id="5" w:name="page6"/>
    <w:bookmarkEnd w:id="5"/>
    <w:p>
      <w:pPr>
        <w:ind w:right="40"/>
        <w:spacing w:after="0" w:line="249" w:lineRule="auto"/>
        <w:rPr>
          <w:sz w:val="20"/>
          <w:szCs w:val="20"/>
          <w:color w:val="auto"/>
        </w:rPr>
      </w:pPr>
      <w:r>
        <w:rPr>
          <w:rFonts w:ascii="Times New Roman" w:cs="Times New Roman" w:eastAsia="Times New Roman" w:hAnsi="Times New Roman"/>
          <w:sz w:val="20"/>
          <w:szCs w:val="20"/>
          <w:color w:val="auto"/>
        </w:rPr>
        <w:t>of doubt, compliance with the foregoing clause (iii) shall be the exclusive means for a stockholder to make nominations, or to propose any other business (other than a proposal included in the Corporation’s proxy materials pursuant to and in compliance with Rule 14a-8 under the Securities Exchange Act of 1934, as amended (such act, and the rules and regulations promulgated thereunder,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at an annual meeting of stockholders.</w:t>
      </w:r>
    </w:p>
    <w:p>
      <w:pPr>
        <w:spacing w:after="0" w:line="220" w:lineRule="exact"/>
        <w:rPr>
          <w:sz w:val="20"/>
          <w:szCs w:val="20"/>
          <w:color w:val="auto"/>
        </w:rPr>
      </w:pPr>
    </w:p>
    <w:p>
      <w:pPr>
        <w:ind w:firstLine="1289"/>
        <w:spacing w:after="0" w:line="237" w:lineRule="auto"/>
        <w:tabs>
          <w:tab w:leader="none" w:pos="18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In addition to any other applicable requirements, for nominations or other business to be properly brought before an annual meeting by a stockholder pursuant to Section 2.03(A)(1)(c), the stockholder must have given timely notice thereof in proper written form to the Secretary of the Corporation, and, in the case of business other than nominations of persons for election to the Board of Directors, such other business must constitute a proper matter for stockholder action. To be timely, a stockholder’s notice must be received by the Secretary of the Corporation at the principal executive offices of the Corporation not later than the close of business on the ninetieth (90th) day or earlier than the close of business on the one hundred and twentieth (120th) day prior to the first anniversary of the preceding year’s annual meeting of stockholders;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event that the date of the annual meeting is more than thirty (30) days prior to or more than seventy (70) days after the anniversary date of the previous year’s annual meeting, or if no annual meeting was held in the preceding year, notice by the stockholder to be timely must be so received not earlier than the close of business on the one hundred and twentieth (120th) day prior to such annual meeting and not later than the close of business on the later of the ninetieth (90th) day prior to such annual meeting or the tenth (10th) day following the day on which public announcement (as defined below) of the date of such meeting is first made. In no event shall the adjournment, recess, postponement, judicial stay or rescheduling of an annual meeting (or the public announcement thereof) commence a new time period (or extend any time period) for the giving of a stockholder’s notice as described above.</w:t>
      </w:r>
    </w:p>
    <w:p>
      <w:pPr>
        <w:spacing w:after="0" w:line="240" w:lineRule="exact"/>
        <w:rPr>
          <w:rFonts w:ascii="Times New Roman" w:cs="Times New Roman" w:eastAsia="Times New Roman" w:hAnsi="Times New Roman"/>
          <w:sz w:val="22"/>
          <w:szCs w:val="22"/>
          <w:color w:val="auto"/>
        </w:rPr>
      </w:pPr>
    </w:p>
    <w:p>
      <w:pPr>
        <w:ind w:right="120" w:firstLine="1303"/>
        <w:spacing w:after="0" w:line="259" w:lineRule="auto"/>
        <w:tabs>
          <w:tab w:leader="none" w:pos="180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be in proper written form, the notice of any stockholder of record giving notice under this Section 2.03 (each, a “</w:t>
      </w:r>
      <w:r>
        <w:rPr>
          <w:rFonts w:ascii="Times New Roman" w:cs="Times New Roman" w:eastAsia="Times New Roman" w:hAnsi="Times New Roman"/>
          <w:sz w:val="20"/>
          <w:szCs w:val="20"/>
          <w:u w:val="single" w:color="auto"/>
          <w:color w:val="auto"/>
        </w:rPr>
        <w:t>Noticing Party</w:t>
      </w:r>
      <w:r>
        <w:rPr>
          <w:rFonts w:ascii="Times New Roman" w:cs="Times New Roman" w:eastAsia="Times New Roman" w:hAnsi="Times New Roman"/>
          <w:sz w:val="20"/>
          <w:szCs w:val="20"/>
          <w:color w:val="auto"/>
        </w:rPr>
        <w:t>”) shall set forth:</w:t>
      </w:r>
    </w:p>
    <w:p>
      <w:pPr>
        <w:spacing w:after="0" w:line="194" w:lineRule="exact"/>
        <w:rPr>
          <w:sz w:val="20"/>
          <w:szCs w:val="20"/>
          <w:color w:val="auto"/>
        </w:rPr>
      </w:pPr>
    </w:p>
    <w:p>
      <w:pPr>
        <w:ind w:left="20" w:right="200" w:firstLine="1286"/>
        <w:spacing w:after="0" w:line="255" w:lineRule="auto"/>
        <w:tabs>
          <w:tab w:leader="none" w:pos="178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such Noticing Party proposes to nominate for election or re-election as a director (each, a “</w:t>
      </w:r>
      <w:r>
        <w:rPr>
          <w:rFonts w:ascii="Times New Roman" w:cs="Times New Roman" w:eastAsia="Times New Roman" w:hAnsi="Times New Roman"/>
          <w:sz w:val="20"/>
          <w:szCs w:val="20"/>
          <w:u w:val="single" w:color="auto"/>
          <w:color w:val="auto"/>
        </w:rPr>
        <w:t>Proposed Nominee</w:t>
      </w:r>
      <w:r>
        <w:rPr>
          <w:rFonts w:ascii="Times New Roman" w:cs="Times New Roman" w:eastAsia="Times New Roman" w:hAnsi="Times New Roman"/>
          <w:sz w:val="20"/>
          <w:szCs w:val="20"/>
          <w:color w:val="auto"/>
        </w:rPr>
        <w:t>”), if any:</w:t>
      </w:r>
    </w:p>
    <w:p>
      <w:pPr>
        <w:spacing w:after="0" w:line="200" w:lineRule="exact"/>
        <w:rPr>
          <w:sz w:val="20"/>
          <w:szCs w:val="20"/>
          <w:color w:val="auto"/>
        </w:rPr>
      </w:pPr>
    </w:p>
    <w:p>
      <w:pPr>
        <w:ind w:left="1960" w:hanging="654"/>
        <w:spacing w:after="0"/>
        <w:tabs>
          <w:tab w:leader="none" w:pos="1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age, business address and residential address of such Proposed Nominee;</w:t>
      </w:r>
    </w:p>
    <w:p>
      <w:pPr>
        <w:spacing w:after="0" w:line="242" w:lineRule="exact"/>
        <w:rPr>
          <w:rFonts w:ascii="Times New Roman" w:cs="Times New Roman" w:eastAsia="Times New Roman" w:hAnsi="Times New Roman"/>
          <w:sz w:val="20"/>
          <w:szCs w:val="20"/>
          <w:color w:val="auto"/>
        </w:rPr>
      </w:pPr>
    </w:p>
    <w:p>
      <w:pPr>
        <w:ind w:left="1960" w:hanging="654"/>
        <w:spacing w:after="0"/>
        <w:tabs>
          <w:tab w:leader="none" w:pos="1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occupation and employment of such Proposed Nominee;</w:t>
      </w:r>
    </w:p>
    <w:p>
      <w:pPr>
        <w:spacing w:after="0" w:line="242" w:lineRule="exact"/>
        <w:rPr>
          <w:rFonts w:ascii="Times New Roman" w:cs="Times New Roman" w:eastAsia="Times New Roman" w:hAnsi="Times New Roman"/>
          <w:sz w:val="20"/>
          <w:szCs w:val="20"/>
          <w:color w:val="auto"/>
        </w:rPr>
      </w:pPr>
    </w:p>
    <w:p>
      <w:pPr>
        <w:ind w:left="1960" w:right="620" w:hanging="654"/>
        <w:spacing w:after="0" w:line="249" w:lineRule="auto"/>
        <w:tabs>
          <w:tab w:leader="none" w:pos="1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questionnaire with respect to the background and qualifications of such Proposed Nominee, completed by such Proposed Nominee in the form required by the Corporation (which form such Noticing Party shall request in writing from the Secretary and which the Secretary shall provide to such Noticing Party within ten (10) days after receiving such request);</w:t>
      </w:r>
    </w:p>
    <w:p>
      <w:pPr>
        <w:spacing w:after="0" w:line="193" w:lineRule="exact"/>
        <w:rPr>
          <w:rFonts w:ascii="Times New Roman" w:cs="Times New Roman" w:eastAsia="Times New Roman" w:hAnsi="Times New Roman"/>
          <w:sz w:val="20"/>
          <w:szCs w:val="20"/>
          <w:color w:val="auto"/>
        </w:rPr>
      </w:pPr>
    </w:p>
    <w:p>
      <w:pPr>
        <w:ind w:left="1960" w:right="620" w:hanging="654"/>
        <w:spacing w:after="0" w:line="246" w:lineRule="auto"/>
        <w:tabs>
          <w:tab w:leader="none" w:pos="194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agreement completed by such Proposed Nominee in the form required by the Corporation (which form such Noticing Party shall request in writing from the Secretary and which the Secretary shall provide to such Noticing Party within ten (10) days after receiving such request) providing that such Proposed Nominee: (I) is not and will not become a party to any agreement, arrangement or understanding with, and has not given any commitment or assurance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80"/>
          </w:cols>
          <w:pgMar w:left="460" w:top="1305" w:right="459" w:bottom="1440" w:gutter="0" w:footer="0" w:header="0"/>
        </w:sectPr>
      </w:pPr>
    </w:p>
    <w:bookmarkStart w:id="6" w:name="page7"/>
    <w:bookmarkEnd w:id="6"/>
    <w:p>
      <w:pPr>
        <w:ind w:left="980" w:right="560"/>
        <w:spacing w:after="0" w:line="239" w:lineRule="auto"/>
        <w:rPr>
          <w:sz w:val="20"/>
          <w:szCs w:val="20"/>
          <w:color w:val="auto"/>
        </w:rPr>
      </w:pPr>
      <w:r>
        <w:rPr>
          <w:rFonts w:ascii="Times New Roman" w:cs="Times New Roman" w:eastAsia="Times New Roman" w:hAnsi="Times New Roman"/>
          <w:sz w:val="20"/>
          <w:szCs w:val="20"/>
          <w:color w:val="auto"/>
        </w:rPr>
        <w:t>any person or entity as to how such Proposed Nominee, if elected as a director of the Corporation, will act or vote on any issue or question (a “</w:t>
      </w:r>
      <w:r>
        <w:rPr>
          <w:rFonts w:ascii="Times New Roman" w:cs="Times New Roman" w:eastAsia="Times New Roman" w:hAnsi="Times New Roman"/>
          <w:sz w:val="20"/>
          <w:szCs w:val="20"/>
          <w:u w:val="single" w:color="auto"/>
          <w:color w:val="auto"/>
        </w:rPr>
        <w:t>Voting Commitment</w:t>
      </w:r>
      <w:r>
        <w:rPr>
          <w:rFonts w:ascii="Times New Roman" w:cs="Times New Roman" w:eastAsia="Times New Roman" w:hAnsi="Times New Roman"/>
          <w:sz w:val="20"/>
          <w:szCs w:val="20"/>
          <w:color w:val="auto"/>
        </w:rPr>
        <w:t>”) that has not been disclosed to the Corporation or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(III) will, if elected as a director of the Corporation, comply with all applicable rules of any securities exchanges upon which the Corporation’s securities are listed, the Amended &amp; Restated Certificate of Incorporation, these Bylaws, all applicable publicly disclosed corporate governance, ethics, conflict of interest, confidentiality, stock ownership and trading policies and all other guidelines and policies of the Corporation generally applicable to directors (which other guidelines and policies will be provided to such Proposed Nominee within five (5) business days after the Secretary receives any written request therefor from such Proposed Nominee), and all applicable fiduciary duties under state law; (IV) consents to being named as a nominee in the Corporation’s proxy statement and form of proxy for the meeting; (V) intends to serve a full term as a director of the Corporation, if elected; and (VI) will provide facts, statements and other information in all communications with the Corporation and its stockholders that are or will be true and correct and that do not and will not omit to state any fact necessary in order to make the statements made, in light of the circumstances under which they are made, not misleading;</w:t>
      </w:r>
    </w:p>
    <w:p>
      <w:pPr>
        <w:spacing w:after="0" w:line="226" w:lineRule="exact"/>
        <w:rPr>
          <w:sz w:val="20"/>
          <w:szCs w:val="20"/>
          <w:color w:val="auto"/>
        </w:rPr>
      </w:pPr>
    </w:p>
    <w:p>
      <w:pPr>
        <w:ind w:left="980" w:right="540" w:hanging="654"/>
        <w:spacing w:after="0" w:line="241" w:lineRule="auto"/>
        <w:tabs>
          <w:tab w:leader="none" w:pos="96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all direct and indirect compensation and other material monetary agreements, arrangements or understandings, written or oral, during the past three (3) years, and any other material relationships, between or among such Proposed Nominee or any of such Proposed Nominee’s affiliates or associates (each as defined below), on the one hand, and any Noticing Party or any Stockholder Associated Person (as defined below), on the other hand, including all information that would be required to be disclosed pursuant to Item 404 promulgated under Regulation S-K as if such Noticing Party and any Stockholder Associated Person were the “registrant” for purposes of such rule and the Proposed Nominee were a director or executive officer of such registrant;</w:t>
      </w:r>
    </w:p>
    <w:p>
      <w:pPr>
        <w:spacing w:after="0" w:line="204" w:lineRule="exact"/>
        <w:rPr>
          <w:rFonts w:ascii="Times New Roman" w:cs="Times New Roman" w:eastAsia="Times New Roman" w:hAnsi="Times New Roman"/>
          <w:sz w:val="20"/>
          <w:szCs w:val="20"/>
          <w:color w:val="auto"/>
        </w:rPr>
      </w:pPr>
    </w:p>
    <w:p>
      <w:pPr>
        <w:ind w:left="980" w:right="860" w:hanging="654"/>
        <w:spacing w:after="0" w:line="295" w:lineRule="auto"/>
        <w:tabs>
          <w:tab w:leader="none" w:pos="96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description of any business or personal interests that could reasonably be expected to place such Proposed Nominee in a potential conflict of interest with the Corporation or any of its subsidiaries; and</w:t>
      </w:r>
    </w:p>
    <w:p>
      <w:pPr>
        <w:spacing w:after="0" w:line="164" w:lineRule="exact"/>
        <w:rPr>
          <w:rFonts w:ascii="Times New Roman" w:cs="Times New Roman" w:eastAsia="Times New Roman" w:hAnsi="Times New Roman"/>
          <w:sz w:val="19"/>
          <w:szCs w:val="19"/>
          <w:color w:val="auto"/>
        </w:rPr>
      </w:pPr>
    </w:p>
    <w:p>
      <w:pPr>
        <w:ind w:left="980" w:hanging="654"/>
        <w:spacing w:after="0" w:line="249" w:lineRule="auto"/>
        <w:tabs>
          <w:tab w:leader="none" w:pos="96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information relating to such Proposed Nominee or such Proposed Nominee’s associates that is required to be disclosed in a proxy statement or other filing required to be made by such Noticing Party or any Stockholder Associated Person in connection with the solicitation of proxies for election of directors in an election contest, or is otherwise required, in each case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000"/>
          </w:cols>
          <w:pgMar w:left="1440" w:top="1305" w:right="459" w:bottom="1440" w:gutter="0" w:footer="0" w:header="0"/>
        </w:sectPr>
      </w:pPr>
    </w:p>
    <w:bookmarkStart w:id="7" w:name="page8"/>
    <w:bookmarkEnd w:id="7"/>
    <w:p>
      <w:pPr>
        <w:ind w:left="980" w:right="260"/>
        <w:spacing w:after="0" w:line="269" w:lineRule="auto"/>
        <w:rPr>
          <w:sz w:val="20"/>
          <w:szCs w:val="20"/>
          <w:color w:val="auto"/>
        </w:rPr>
      </w:pPr>
      <w:r>
        <w:rPr>
          <w:rFonts w:ascii="Times New Roman" w:cs="Times New Roman" w:eastAsia="Times New Roman" w:hAnsi="Times New Roman"/>
          <w:sz w:val="20"/>
          <w:szCs w:val="20"/>
          <w:color w:val="auto"/>
        </w:rPr>
        <w:t>Section 14 of the Exchange Act and the rules and regulations promulgated thereunder (collectively, the “</w:t>
      </w:r>
      <w:r>
        <w:rPr>
          <w:rFonts w:ascii="Times New Roman" w:cs="Times New Roman" w:eastAsia="Times New Roman" w:hAnsi="Times New Roman"/>
          <w:sz w:val="20"/>
          <w:szCs w:val="20"/>
          <w:u w:val="single" w:color="auto"/>
          <w:color w:val="auto"/>
        </w:rPr>
        <w:t>Proxy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Rules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800" w:hanging="474"/>
        <w:spacing w:after="0"/>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other business that the Noticing Party proposes to bring before the meeting:</w:t>
      </w:r>
    </w:p>
    <w:p>
      <w:pPr>
        <w:spacing w:after="0" w:line="243" w:lineRule="exact"/>
        <w:rPr>
          <w:sz w:val="20"/>
          <w:szCs w:val="20"/>
          <w:color w:val="auto"/>
        </w:rPr>
      </w:pPr>
    </w:p>
    <w:p>
      <w:pPr>
        <w:ind w:left="980" w:right="640" w:hanging="654"/>
        <w:spacing w:after="0" w:line="269" w:lineRule="auto"/>
        <w:tabs>
          <w:tab w:leader="none" w:pos="97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reasonably brief description of the business desired to be brought before the meeting and the reasons for conducting such business at the meeting;</w:t>
      </w:r>
    </w:p>
    <w:p>
      <w:pPr>
        <w:spacing w:after="0" w:line="186" w:lineRule="exact"/>
        <w:rPr>
          <w:rFonts w:ascii="Times New Roman" w:cs="Times New Roman" w:eastAsia="Times New Roman" w:hAnsi="Times New Roman"/>
          <w:sz w:val="20"/>
          <w:szCs w:val="20"/>
          <w:color w:val="auto"/>
        </w:rPr>
      </w:pPr>
    </w:p>
    <w:p>
      <w:pPr>
        <w:ind w:left="980" w:right="360" w:hanging="654"/>
        <w:spacing w:after="0" w:line="247" w:lineRule="auto"/>
        <w:tabs>
          <w:tab w:leader="none" w:pos="97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text of the proposal or business (including the complete text of any resolutions proposed for consideration and, in the event that such business includes a proposal to amend the Amended &amp; Restated Certificate of Incorporation or these Bylaws, the text of the proposed amendment); and</w:t>
      </w:r>
    </w:p>
    <w:p>
      <w:pPr>
        <w:spacing w:after="0" w:line="207" w:lineRule="exact"/>
        <w:rPr>
          <w:rFonts w:ascii="Times New Roman" w:cs="Times New Roman" w:eastAsia="Times New Roman" w:hAnsi="Times New Roman"/>
          <w:sz w:val="20"/>
          <w:szCs w:val="20"/>
          <w:color w:val="auto"/>
        </w:rPr>
      </w:pPr>
    </w:p>
    <w:p>
      <w:pPr>
        <w:ind w:left="980" w:hanging="654"/>
        <w:spacing w:after="0" w:line="249" w:lineRule="auto"/>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information relating to such business that would be required to be disclosed in a proxy statement or other filing required to be made by such Noticing Party or any Stockholder Associated Person in connection with the solicitation of proxies in support of such proposed business by such Noticing Party or any Stockholder Associated Person pursuant to the Proxy Rules;</w:t>
      </w:r>
    </w:p>
    <w:p>
      <w:pPr>
        <w:spacing w:after="0" w:line="207" w:lineRule="exact"/>
        <w:rPr>
          <w:sz w:val="20"/>
          <w:szCs w:val="20"/>
          <w:color w:val="auto"/>
        </w:rPr>
      </w:pPr>
    </w:p>
    <w:p>
      <w:pPr>
        <w:ind w:left="800" w:hanging="474"/>
        <w:spacing w:after="0"/>
        <w:tabs>
          <w:tab w:leader="none" w:pos="8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such Noticing Party and each Stockholder Associated Person:</w:t>
      </w:r>
    </w:p>
    <w:p>
      <w:pPr>
        <w:spacing w:after="0" w:line="229" w:lineRule="exact"/>
        <w:rPr>
          <w:sz w:val="20"/>
          <w:szCs w:val="20"/>
          <w:color w:val="auto"/>
        </w:rPr>
      </w:pPr>
    </w:p>
    <w:p>
      <w:pPr>
        <w:ind w:left="980" w:right="1120" w:hanging="654"/>
        <w:spacing w:after="0" w:line="269" w:lineRule="auto"/>
        <w:tabs>
          <w:tab w:leader="none" w:pos="97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Noticing Party and each Stockholder Associated Person (including, as applicable, as they appear on the Corporation’s books and records);</w:t>
      </w:r>
    </w:p>
    <w:p>
      <w:pPr>
        <w:spacing w:after="0" w:line="186" w:lineRule="exact"/>
        <w:rPr>
          <w:rFonts w:ascii="Times New Roman" w:cs="Times New Roman" w:eastAsia="Times New Roman" w:hAnsi="Times New Roman"/>
          <w:sz w:val="20"/>
          <w:szCs w:val="20"/>
          <w:color w:val="auto"/>
        </w:rPr>
      </w:pPr>
    </w:p>
    <w:p>
      <w:pPr>
        <w:ind w:left="980" w:right="1060" w:hanging="654"/>
        <w:spacing w:after="0" w:line="245" w:lineRule="auto"/>
        <w:tabs>
          <w:tab w:leader="none" w:pos="97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series and number of shares of each class or series of capital stock (if any) of the Corporation that are owned, directly or indirectly, beneficially or of record (specifying the type of ownership) by such Noticing Party or any Stockholder Associated Person (including any right to acquire beneficial ownership at any time in the future, whether such right is exercisable immediately or only after the passage of time or the fulfillment of a condition); the date or dates on which such shares were acquired; and the investment intent of such acquisition;</w:t>
      </w:r>
    </w:p>
    <w:p>
      <w:pPr>
        <w:spacing w:after="0" w:line="197" w:lineRule="exact"/>
        <w:rPr>
          <w:rFonts w:ascii="Times New Roman" w:cs="Times New Roman" w:eastAsia="Times New Roman" w:hAnsi="Times New Roman"/>
          <w:sz w:val="20"/>
          <w:szCs w:val="20"/>
          <w:color w:val="auto"/>
        </w:rPr>
      </w:pPr>
    </w:p>
    <w:p>
      <w:pPr>
        <w:ind w:left="980" w:right="1120" w:hanging="654"/>
        <w:spacing w:after="0" w:line="249" w:lineRule="auto"/>
        <w:tabs>
          <w:tab w:leader="none" w:pos="9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each nominee holder for, and number of, any securities of the Corporation owned beneficially but not of record by such Noticing Party or any Stockholder Associated Person and any pledge by such Noticing Party or any Stockholder Associated Person with respect to any of such securities;</w:t>
      </w:r>
    </w:p>
    <w:p>
      <w:pPr>
        <w:spacing w:after="0" w:line="206" w:lineRule="exact"/>
        <w:rPr>
          <w:rFonts w:ascii="Times New Roman" w:cs="Times New Roman" w:eastAsia="Times New Roman" w:hAnsi="Times New Roman"/>
          <w:sz w:val="20"/>
          <w:szCs w:val="20"/>
          <w:color w:val="auto"/>
        </w:rPr>
      </w:pPr>
    </w:p>
    <w:p>
      <w:pPr>
        <w:ind w:left="980" w:right="1080" w:hanging="654"/>
        <w:spacing w:after="0" w:line="256" w:lineRule="auto"/>
        <w:tabs>
          <w:tab w:leader="none" w:pos="96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complete and accurate description of all agreements, arrangements or understandings, written or oral, (including any derivative or short positions, profit interests, hedging transactions, forwards, futures, swaps, options, warrants, convertible securities, stock appreciation or similar rights, repurchase agreements or arrangements, borrowed or loaned shares and so-called “stock borrowing” agreements or arrangements) that have been entered into by, or on behalf of, such Noticing Party or any Stockholder Associated Person, the effect or intent of which is to mitigate loss, manage risk or benefit from changes in the price of any securities of the Corporation, or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000"/>
          </w:cols>
          <w:pgMar w:left="1440" w:top="1305" w:right="459" w:bottom="1440" w:gutter="0" w:footer="0" w:header="0"/>
        </w:sectPr>
      </w:pPr>
    </w:p>
    <w:bookmarkStart w:id="8" w:name="page9"/>
    <w:bookmarkEnd w:id="8"/>
    <w:p>
      <w:pPr>
        <w:ind w:left="980" w:right="120"/>
        <w:spacing w:after="0" w:line="249" w:lineRule="auto"/>
        <w:rPr>
          <w:sz w:val="20"/>
          <w:szCs w:val="20"/>
          <w:color w:val="auto"/>
        </w:rPr>
      </w:pPr>
      <w:r>
        <w:rPr>
          <w:rFonts w:ascii="Times New Roman" w:cs="Times New Roman" w:eastAsia="Times New Roman" w:hAnsi="Times New Roman"/>
          <w:sz w:val="20"/>
          <w:szCs w:val="20"/>
          <w:color w:val="auto"/>
        </w:rPr>
        <w:t>increase or decrease the voting power of such Noticing Party or any Stockholder Associated Person with respect to securities of the Corporation, whether or not such instrument or right shall be subject to settlement in underlying shares of capital stock of the Corporation (any of the foregoing, a “</w:t>
      </w:r>
      <w:r>
        <w:rPr>
          <w:rFonts w:ascii="Times New Roman" w:cs="Times New Roman" w:eastAsia="Times New Roman" w:hAnsi="Times New Roman"/>
          <w:sz w:val="20"/>
          <w:szCs w:val="20"/>
          <w:u w:val="single" w:color="auto"/>
          <w:color w:val="auto"/>
        </w:rPr>
        <w:t>Derivative Instrument</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980" w:right="40" w:hanging="654"/>
        <w:spacing w:after="0" w:line="242" w:lineRule="auto"/>
        <w:tabs>
          <w:tab w:leader="none" w:pos="96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substantial interest, direct or indirect (including any existing or prospective commercial, business or contractual relationship with the Corporation), by security holdings or otherwise, of such Noticing Party or any Stockholder Associated Person in the Corporation or any affiliate thereof, other than an interest arising from the ownership of Corporation securities where such Noticing Party or such Stockholder Associated Person receives no extra or special benefit not shared on a pro rata basis by all other holders of the same class or series;</w:t>
      </w:r>
    </w:p>
    <w:p>
      <w:pPr>
        <w:spacing w:after="0" w:line="215" w:lineRule="exact"/>
        <w:rPr>
          <w:rFonts w:ascii="Times New Roman" w:cs="Times New Roman" w:eastAsia="Times New Roman" w:hAnsi="Times New Roman"/>
          <w:sz w:val="20"/>
          <w:szCs w:val="20"/>
          <w:color w:val="auto"/>
        </w:rPr>
      </w:pPr>
    </w:p>
    <w:p>
      <w:pPr>
        <w:ind w:left="980" w:hanging="654"/>
        <w:spacing w:after="0" w:line="239" w:lineRule="auto"/>
        <w:tabs>
          <w:tab w:leader="none" w:pos="96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and accurate description of all agreements, arrangements or understandings, written or oral, (I) between or among such Noticing Party and any of the Stockholder Associated Persons or (II) between or among such Noticing Party or any Stockholder Associated Person and any other person or entity (naming each such person or entity), in each case, relating to the Corporation or its securities or the voting thereof, including (x) any proxy, agreement, arrangement, understanding or relationship pursuant to which such Noticing Party or any Stockholder Associated Person, directly or indirectly, has a right to vote any security of the Corporation (other than any revocable proxy given in response to a solicitation made pursuant to, and in accordance with, the Proxy Rules by way of a solicitation statement filed on Schedule 14A) and (y) any agreement, arrangement or understanding, written or oral, that such Noticing Party or any Stockholder Associated Person has with any stockholder of the Corporation (including the name of such stockholder) with respect to how such stockholder will vote such stockholder’s shares in the Corporation at any meeting of the Corporation’s stockholders or take other action in support of any Proposed Nominee or other business, or other action to be taken, by such Noticing Party or any Stockholder Associated Person;</w:t>
      </w:r>
    </w:p>
    <w:p>
      <w:pPr>
        <w:spacing w:after="0" w:line="222" w:lineRule="exact"/>
        <w:rPr>
          <w:rFonts w:ascii="Times New Roman" w:cs="Times New Roman" w:eastAsia="Times New Roman" w:hAnsi="Times New Roman"/>
          <w:sz w:val="20"/>
          <w:szCs w:val="20"/>
          <w:color w:val="auto"/>
        </w:rPr>
      </w:pPr>
    </w:p>
    <w:p>
      <w:pPr>
        <w:ind w:left="980" w:right="40" w:hanging="654"/>
        <w:spacing w:after="0" w:line="254" w:lineRule="auto"/>
        <w:tabs>
          <w:tab w:leader="none" w:pos="96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rights to dividends on the shares of the Corporation owned beneficially by such Noticing Party or any Stockholder Associated Person that are separated or separable from the underlying shares of the Corporation;</w:t>
      </w:r>
    </w:p>
    <w:p>
      <w:pPr>
        <w:spacing w:after="0" w:line="201" w:lineRule="exact"/>
        <w:rPr>
          <w:rFonts w:ascii="Times New Roman" w:cs="Times New Roman" w:eastAsia="Times New Roman" w:hAnsi="Times New Roman"/>
          <w:sz w:val="20"/>
          <w:szCs w:val="20"/>
          <w:color w:val="auto"/>
        </w:rPr>
      </w:pPr>
    </w:p>
    <w:p>
      <w:pPr>
        <w:ind w:left="980" w:right="140" w:hanging="654"/>
        <w:spacing w:after="0" w:line="242" w:lineRule="auto"/>
        <w:tabs>
          <w:tab w:leader="none" w:pos="9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proportionate interest in shares of the Corporation or Derivative Instruments held, directly or indirectly, by a general or limited partnership, limited liability company or similar entity in which such Noticing Party or any Stockholder Associated Person (I) is a general partner or, directly or indirectly, beneficially owns an interest in a general partner of such general or limited partnership or (II) is the manager, managing member or, directly or indirectly, beneficially owns an interest in the manager or managing member of such limited liability company or similar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9040"/>
          </w:cols>
          <w:pgMar w:left="1440" w:top="1305" w:right="1419" w:bottom="1440" w:gutter="0" w:footer="0" w:header="0"/>
        </w:sectPr>
      </w:pPr>
    </w:p>
    <w:bookmarkStart w:id="9" w:name="page10"/>
    <w:bookmarkEnd w:id="9"/>
    <w:p>
      <w:pPr>
        <w:ind w:left="980" w:right="580" w:hanging="654"/>
        <w:spacing w:after="0" w:line="269" w:lineRule="auto"/>
        <w:tabs>
          <w:tab w:leader="none" w:pos="96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equity interests or any Derivative Instruments in any principal competitor of the Corporation held by such Noticing Party or any Stockholder Associated Person;</w:t>
      </w:r>
    </w:p>
    <w:p>
      <w:pPr>
        <w:spacing w:after="0" w:line="186" w:lineRule="exact"/>
        <w:rPr>
          <w:rFonts w:ascii="Times New Roman" w:cs="Times New Roman" w:eastAsia="Times New Roman" w:hAnsi="Times New Roman"/>
          <w:sz w:val="20"/>
          <w:szCs w:val="20"/>
          <w:color w:val="auto"/>
        </w:rPr>
      </w:pPr>
    </w:p>
    <w:p>
      <w:pPr>
        <w:ind w:left="980" w:hanging="654"/>
        <w:spacing w:after="0" w:line="249" w:lineRule="auto"/>
        <w:tabs>
          <w:tab w:leader="none" w:pos="96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interest of such Noticing Party or any Stockholder Associated Person in any agreement, arrangement or understanding with the Corporation, any affiliate of the Corporation or any principal competitor of the Corporation (including any employment agreement, collective bargaining agreement or consulting agreement);</w:t>
      </w:r>
    </w:p>
    <w:p>
      <w:pPr>
        <w:spacing w:after="0" w:line="193" w:lineRule="exact"/>
        <w:rPr>
          <w:rFonts w:ascii="Times New Roman" w:cs="Times New Roman" w:eastAsia="Times New Roman" w:hAnsi="Times New Roman"/>
          <w:sz w:val="20"/>
          <w:szCs w:val="20"/>
          <w:color w:val="auto"/>
        </w:rPr>
      </w:pPr>
    </w:p>
    <w:p>
      <w:pPr>
        <w:ind w:left="980" w:right="120" w:hanging="654"/>
        <w:spacing w:after="0" w:line="269" w:lineRule="auto"/>
        <w:tabs>
          <w:tab w:leader="none" w:pos="96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material interest of such Noticing Party or any Stockholder Associated Person in the business proposed by such Noticing Party, if any, or the election of any Proposed Nominee;</w:t>
      </w:r>
    </w:p>
    <w:p>
      <w:pPr>
        <w:spacing w:after="0" w:line="186" w:lineRule="exact"/>
        <w:rPr>
          <w:rFonts w:ascii="Times New Roman" w:cs="Times New Roman" w:eastAsia="Times New Roman" w:hAnsi="Times New Roman"/>
          <w:sz w:val="20"/>
          <w:szCs w:val="20"/>
          <w:color w:val="auto"/>
        </w:rPr>
      </w:pPr>
    </w:p>
    <w:p>
      <w:pPr>
        <w:ind w:left="980" w:right="60" w:hanging="654"/>
        <w:spacing w:after="0" w:line="246" w:lineRule="auto"/>
        <w:tabs>
          <w:tab w:leader="none" w:pos="96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(I) neither such Noticing Party nor any Stockholder Associated Person has breached any agreement, arrangement or understanding with the Corporation except as disclosed to the Corporation pursuant hereto and (II) such Noticing Party and each Stockholder Associated Person has complied, and will comply, with all applicable requirements of state law and the Exchange Act with respect to the matters set forth in this Section 2.03;</w:t>
      </w:r>
    </w:p>
    <w:p>
      <w:pPr>
        <w:spacing w:after="0" w:line="198" w:lineRule="exact"/>
        <w:rPr>
          <w:rFonts w:ascii="Times New Roman" w:cs="Times New Roman" w:eastAsia="Times New Roman" w:hAnsi="Times New Roman"/>
          <w:sz w:val="20"/>
          <w:szCs w:val="20"/>
          <w:color w:val="auto"/>
        </w:rPr>
      </w:pPr>
    </w:p>
    <w:p>
      <w:pPr>
        <w:ind w:left="980" w:right="80" w:hanging="654"/>
        <w:spacing w:after="0" w:line="246" w:lineRule="auto"/>
        <w:tabs>
          <w:tab w:leader="none" w:pos="9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and accurate description of any performance-related fees (other than asset-based fees) to which such Noticing Party or any Stockholder Associated Person may be entitled as a result of any increase or decrease in the value of the Corporation’s securities or any Derivative Instruments, including any such fees to which members of any Stockholder Associated Person’s immediate family sharing the same household may be entitled;</w:t>
      </w:r>
    </w:p>
    <w:p>
      <w:pPr>
        <w:spacing w:after="0" w:line="211" w:lineRule="exact"/>
        <w:rPr>
          <w:rFonts w:ascii="Times New Roman" w:cs="Times New Roman" w:eastAsia="Times New Roman" w:hAnsi="Times New Roman"/>
          <w:sz w:val="20"/>
          <w:szCs w:val="20"/>
          <w:color w:val="auto"/>
        </w:rPr>
      </w:pPr>
    </w:p>
    <w:p>
      <w:pPr>
        <w:ind w:left="980" w:right="20" w:hanging="654"/>
        <w:spacing w:after="0" w:line="269" w:lineRule="auto"/>
        <w:tabs>
          <w:tab w:leader="none" w:pos="97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the investment strategy or objective, if any, of such Noticing Party or any Stockholder Associated Person who is not an individual;</w:t>
      </w:r>
    </w:p>
    <w:p>
      <w:pPr>
        <w:spacing w:after="0" w:line="186" w:lineRule="exact"/>
        <w:rPr>
          <w:rFonts w:ascii="Times New Roman" w:cs="Times New Roman" w:eastAsia="Times New Roman" w:hAnsi="Times New Roman"/>
          <w:sz w:val="20"/>
          <w:szCs w:val="20"/>
          <w:color w:val="auto"/>
        </w:rPr>
      </w:pPr>
    </w:p>
    <w:p>
      <w:pPr>
        <w:ind w:left="980" w:right="80" w:hanging="654"/>
        <w:spacing w:after="0" w:line="256" w:lineRule="auto"/>
        <w:tabs>
          <w:tab w:leader="none" w:pos="972"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information that would be required to be set forth in a Schedule 13D filed pursuant to Rule 13d-1(a) under the Exchange Act or an amendment pursuant to Rule 13d-2(a) under the Exchange Act if such a statement were required to be filed under the Exchange Act by such Noticing Party or any Stockholder Associated Person, or such Noticing Party’s or any Stockholder Associated Person’s associates, with respect to the Corporation (regardless of whether such person or entity is actually required to file a Schedule 13D), including a description of any agreement, arrangement or understanding that would be required to be disclosed by such Noticing Party, any Stockholder Associated Person or any of their respective associates pursuant to Item 5 or Item 6 of Schedule 13D;</w:t>
      </w:r>
    </w:p>
    <w:p>
      <w:pPr>
        <w:spacing w:after="0" w:line="187" w:lineRule="exact"/>
        <w:rPr>
          <w:rFonts w:ascii="Times New Roman" w:cs="Times New Roman" w:eastAsia="Times New Roman" w:hAnsi="Times New Roman"/>
          <w:sz w:val="19"/>
          <w:szCs w:val="19"/>
          <w:color w:val="auto"/>
        </w:rPr>
      </w:pPr>
    </w:p>
    <w:p>
      <w:pPr>
        <w:ind w:left="980" w:right="40" w:hanging="654"/>
        <w:spacing w:after="0" w:line="269" w:lineRule="auto"/>
        <w:tabs>
          <w:tab w:leader="none" w:pos="97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certification that such Noticing Party and each Stockholder Associated Person has complied with all applicable federal, state and other legal requirements in connection with such Noticing Party’s or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080"/>
          </w:cols>
          <w:pgMar w:left="1440" w:top="1305" w:right="1379" w:bottom="1440" w:gutter="0" w:footer="0" w:header="0"/>
        </w:sectPr>
      </w:pPr>
    </w:p>
    <w:bookmarkStart w:id="10" w:name="page11"/>
    <w:bookmarkEnd w:id="10"/>
    <w:p>
      <w:pPr>
        <w:ind w:left="1940" w:right="960"/>
        <w:spacing w:after="0" w:line="249" w:lineRule="auto"/>
        <w:rPr>
          <w:sz w:val="20"/>
          <w:szCs w:val="20"/>
          <w:color w:val="auto"/>
        </w:rPr>
      </w:pPr>
      <w:r>
        <w:rPr>
          <w:rFonts w:ascii="Times New Roman" w:cs="Times New Roman" w:eastAsia="Times New Roman" w:hAnsi="Times New Roman"/>
          <w:sz w:val="20"/>
          <w:szCs w:val="20"/>
          <w:color w:val="auto"/>
        </w:rPr>
        <w:t>Stockholder Associated Person’s acquisition of shares of capital stock or other securities of the Corporation and such Noticing Party’s or Stockholder Associated Person’s acts or omissions as a stockholder of the Corporation, if such Stockholder Associated Person is or has been a stockholder of the Corporation; and</w:t>
      </w:r>
    </w:p>
    <w:p>
      <w:pPr>
        <w:spacing w:after="0" w:line="207" w:lineRule="exact"/>
        <w:rPr>
          <w:sz w:val="20"/>
          <w:szCs w:val="20"/>
          <w:color w:val="auto"/>
        </w:rPr>
      </w:pPr>
    </w:p>
    <w:p>
      <w:pPr>
        <w:ind w:left="1940" w:right="880" w:hanging="654"/>
        <w:spacing w:after="0" w:line="243" w:lineRule="auto"/>
        <w:tabs>
          <w:tab w:leader="none" w:pos="193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information relating to such Noticing Party or any Stockholder Associated Person, or such Noticing Party’s or any Stockholder Associated Person’s associates, that would be required to be disclosed in a proxy statement or other filing required to be made in connection with the solicitation of proxies in support of the business proposed by such Noticing Party, if any, or for the election of any Proposed Nominee in a contested election or otherwise pursuant to the Proxy Rules;</w:t>
      </w:r>
    </w:p>
    <w:p>
      <w:pPr>
        <w:spacing w:after="0" w:line="208" w:lineRule="exact"/>
        <w:rPr>
          <w:rFonts w:ascii="Times New Roman" w:cs="Times New Roman" w:eastAsia="Times New Roman" w:hAnsi="Times New Roman"/>
          <w:sz w:val="20"/>
          <w:szCs w:val="20"/>
          <w:color w:val="auto"/>
        </w:rPr>
      </w:pPr>
    </w:p>
    <w:p>
      <w:pPr>
        <w:ind w:left="1940" w:right="920"/>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the disclosures described in the foregoing subclauses (i) through (xvii)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include any such disclosures with respect to the ordinary course business activities of any broker, dealer, commercial bank, trust company or other nominee who is a Noticing Party solely as a result of being the stockholder directed to prepare and submit the notice required by these Bylaws on behalf of a beneficial owner.</w:t>
      </w:r>
    </w:p>
    <w:p>
      <w:pPr>
        <w:spacing w:after="0" w:line="212" w:lineRule="exact"/>
        <w:rPr>
          <w:sz w:val="20"/>
          <w:szCs w:val="20"/>
          <w:color w:val="auto"/>
        </w:rPr>
      </w:pPr>
    </w:p>
    <w:p>
      <w:pPr>
        <w:ind w:firstLine="1286"/>
        <w:spacing w:after="0" w:line="245" w:lineRule="auto"/>
        <w:tabs>
          <w:tab w:leader="none" w:pos="1774"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such Noticing Party intends to appear in person or cause a qualified representative (as defined below) of such Noticing Party to appear in person at the meeting to bring such business before the meeting or nominate any Proposed Nominees, as applicable, and an acknowledgment that, if such Noticing Party (or a qualified representative of such Noticing Party)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w:t>
      </w:r>
    </w:p>
    <w:p>
      <w:pPr>
        <w:spacing w:after="0" w:line="211" w:lineRule="exact"/>
        <w:rPr>
          <w:rFonts w:ascii="Times New Roman" w:cs="Times New Roman" w:eastAsia="Times New Roman" w:hAnsi="Times New Roman"/>
          <w:sz w:val="20"/>
          <w:szCs w:val="20"/>
          <w:color w:val="auto"/>
        </w:rPr>
      </w:pPr>
    </w:p>
    <w:p>
      <w:pPr>
        <w:ind w:right="520" w:firstLine="1286"/>
        <w:spacing w:after="0" w:line="266" w:lineRule="auto"/>
        <w:tabs>
          <w:tab w:leader="none" w:pos="1713"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complete and accurate description of any pending or, to such Noticing Party’s knowledge, threatened legal proceeding in which such Noticing Party or any Stockholder Associated Person is a party or participant involving or relating to the Corporation or, to such Noticing Party’s knowledge, any current or former officer, director, affiliate or associate of the Corporation;</w:t>
      </w:r>
    </w:p>
    <w:p>
      <w:pPr>
        <w:spacing w:after="0" w:line="191" w:lineRule="exact"/>
        <w:rPr>
          <w:rFonts w:ascii="Times New Roman" w:cs="Times New Roman" w:eastAsia="Times New Roman" w:hAnsi="Times New Roman"/>
          <w:sz w:val="19"/>
          <w:szCs w:val="19"/>
          <w:color w:val="auto"/>
        </w:rPr>
      </w:pPr>
    </w:p>
    <w:p>
      <w:pPr>
        <w:ind w:right="100" w:firstLine="1286"/>
        <w:spacing w:after="0" w:line="249" w:lineRule="auto"/>
        <w:tabs>
          <w:tab w:leader="none" w:pos="1691"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names and addresses of other stockholders (including beneficial owners) known by such Noticing Party to provide economic support for the nomination(s) or other business proposal(s) submitted by such Noticing Party and, to the extent known, the class and number of all shares of the Corporation’s capital stock owned beneficially or of record by such other stockholder(s) or other beneficial owner(s); and</w:t>
      </w:r>
    </w:p>
    <w:p>
      <w:pPr>
        <w:spacing w:after="0" w:line="206" w:lineRule="exact"/>
        <w:rPr>
          <w:rFonts w:ascii="Times New Roman" w:cs="Times New Roman" w:eastAsia="Times New Roman" w:hAnsi="Times New Roman"/>
          <w:sz w:val="20"/>
          <w:szCs w:val="20"/>
          <w:color w:val="auto"/>
        </w:rPr>
      </w:pPr>
    </w:p>
    <w:p>
      <w:pPr>
        <w:ind w:right="60" w:firstLine="1286"/>
        <w:spacing w:after="0" w:line="243" w:lineRule="auto"/>
        <w:tabs>
          <w:tab w:leader="none" w:pos="1725"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from such Noticing Party as to whether such Noticing Party or any Stockholder Associated Person intends or is part of a group that intends to (i) solicit proxies in support of the election of any Proposed Nominee in accordance with Rule 14a-19 under the Exchange Act or (ii) engage in a solicitation (within the meaning of Exchange Act Rule 14a-1(l)) with respect to the nomination or other business, as applicable, and if so, the name of each participant (as defined in Instruction 3 to Item 4 of Schedule 14A under the Exchange Act) in such solicitation.</w:t>
      </w:r>
    </w:p>
    <w:p>
      <w:pPr>
        <w:spacing w:after="0" w:line="226" w:lineRule="exact"/>
        <w:rPr>
          <w:rFonts w:ascii="Times New Roman" w:cs="Times New Roman" w:eastAsia="Times New Roman" w:hAnsi="Times New Roman"/>
          <w:sz w:val="20"/>
          <w:szCs w:val="20"/>
          <w:color w:val="auto"/>
        </w:rPr>
      </w:pPr>
    </w:p>
    <w:p>
      <w:pPr>
        <w:ind w:left="-20" w:right="20" w:firstLine="1303"/>
        <w:spacing w:after="0" w:line="242" w:lineRule="auto"/>
        <w:tabs>
          <w:tab w:leader="none" w:pos="178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Additional Information</w:t>
      </w:r>
      <w:r>
        <w:rPr>
          <w:rFonts w:ascii="Times New Roman" w:cs="Times New Roman" w:eastAsia="Times New Roman" w:hAnsi="Times New Roman"/>
          <w:sz w:val="20"/>
          <w:szCs w:val="20"/>
          <w:color w:val="auto"/>
        </w:rPr>
        <w:t>. In addition to the information required pursuant to the foregoing provisions of this Section 2.03, the Corporation may require any Noticing Party to furnish such other information as the Corporation may reasonably require to determine the eligibility or suitability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920"/>
          </w:cols>
          <w:pgMar w:left="480" w:top="1305" w:right="499" w:bottom="1440" w:gutter="0" w:footer="0" w:header="0"/>
        </w:sectPr>
      </w:pPr>
    </w:p>
    <w:bookmarkStart w:id="11" w:name="page12"/>
    <w:bookmarkEnd w:id="11"/>
    <w:p>
      <w:pPr>
        <w:spacing w:after="0" w:line="241" w:lineRule="auto"/>
        <w:rPr>
          <w:sz w:val="20"/>
          <w:szCs w:val="20"/>
          <w:color w:val="auto"/>
        </w:rPr>
      </w:pPr>
      <w:r>
        <w:rPr>
          <w:rFonts w:ascii="Times New Roman" w:cs="Times New Roman" w:eastAsia="Times New Roman" w:hAnsi="Times New Roman"/>
          <w:sz w:val="20"/>
          <w:szCs w:val="20"/>
          <w:color w:val="auto"/>
        </w:rPr>
        <w:t>Proposed Nominee to serve as a director of the Corporation or that could be material to a reasonable stockholder’s understanding of the independence, or lack thereof, of such Proposed Nominee, under the listing standards of each securities exchange upon which the Corporation’s securities are listed, any applicable rules of the Securities and Exchange Commission, any publicly disclosed standards used by the Board of Directors in selecting nominees for election as a director and for determining and disclosing the independence of the Corporation’s directors, including those applicable to a director’s service on any of the committees of the Board of Directors, or the requirements of any other laws or regulations applicable to the Corporation. If requested by the Corporation, any supplemental information required under this paragraph shall be provided by a Noticing Party within ten (10) days after it has been requested by the Corporation. The Board of Directors may require any Proposed Nominee to submit to interviews with the Board of Directors or any committee thereof, and such Proposed Nominee shall make himself or herself available for any such interviews within ten (10) days following such request.</w:t>
      </w:r>
    </w:p>
    <w:p>
      <w:pPr>
        <w:spacing w:after="0" w:line="229" w:lineRule="exact"/>
        <w:rPr>
          <w:sz w:val="20"/>
          <w:szCs w:val="20"/>
          <w:color w:val="auto"/>
        </w:rPr>
      </w:pPr>
    </w:p>
    <w:p>
      <w:pPr>
        <w:ind w:right="40" w:firstLine="1303"/>
        <w:spacing w:after="0" w:line="251" w:lineRule="auto"/>
        <w:tabs>
          <w:tab w:leader="none" w:pos="180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Special Meetings of Stockholders</w:t>
      </w:r>
      <w:r>
        <w:rPr>
          <w:rFonts w:ascii="Times New Roman" w:cs="Times New Roman" w:eastAsia="Times New Roman" w:hAnsi="Times New Roman"/>
          <w:sz w:val="19"/>
          <w:szCs w:val="19"/>
          <w:color w:val="auto"/>
        </w:rPr>
        <w:t>. Only such business shall be conducted at a special meeting of stockholders as shall have been brought before the meeting pursuant to the Corporation’s notice of meeting (or any supplement thereto). Nominations of persons for election to the Board of Directors may be made at a special meeting of stockholders at which directors are to be elected pursuant to the Corporation’s notice of meeting (or any supplement thereto) (a) by or at the direction of the Board of Directors (or any duly authorized committee thereof) or (b) by any stockholder of the Corporation who (i) is a stockholder of record on the date of the giving of the notice provided for in this Section 2.03(A)(5) through the date of such special meeting, (ii) is entitled to vote at such special meeting and upon such election and (iii) complies with the notice procedures set forth in this Section 2.03(A)(5). In addition to any other applicable requirements, for director nominations to be properly brought before a special meeting by a stockholder pursuant to the foregoing clause (b), such stockholder must have given timely notice thereof in proper written form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and the tenth (10th) day following the day on which public announcement of the date of the special meeting is first made by the Corporation. In no event shall an adjournment, recess, postponement, judicial stay or rescheduling (or the public announcement thereof) of a special meeting commence a new time period (or extend any time period) for the giving of a stockholder’s notice as described above. To be in proper written form, such notice shall include all information required pursuant to Section 2.03(A)(3), and such stockholder and any Proposed Nominee shall comply with Section 2.03(A)(4), as if such notice were being submitted in connection with an annual meeting of stockholders.</w:t>
      </w:r>
    </w:p>
    <w:p>
      <w:pPr>
        <w:spacing w:after="0" w:line="222" w:lineRule="exact"/>
        <w:rPr>
          <w:sz w:val="20"/>
          <w:szCs w:val="20"/>
          <w:color w:val="auto"/>
        </w:rPr>
      </w:pPr>
    </w:p>
    <w:p>
      <w:pPr>
        <w:ind w:left="1800" w:hanging="501"/>
        <w:spacing w:after="0"/>
        <w:tabs>
          <w:tab w:leader="none" w:pos="1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20" w:right="140" w:firstLine="1286"/>
        <w:spacing w:after="0" w:line="242" w:lineRule="auto"/>
        <w:tabs>
          <w:tab w:leader="none" w:pos="179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shall be eligible for election as a director of the Corporation unless the person is nominated by a stockholder in accordance with the procedures set forth in this Section 2.03 or the person is nominated by the Board of Directors, and no business shall be conducted at a meeting of stockholders of the Corporation except pursuant to Rule 14a-8 of the Exchange Act and business brought by a stockholder in accordance with the procedures set forth in this Section 2.03 or by the Board of Directors. The number of nominees a stockholder may nominate for election at a meeting may not exceed the number of directors to be elected at such meeting, and for the avoidance of doubt, no stockholder shall be entitled to make additional or substitute nominations following the expiration of the time periods set forth in Section 2.03(A)(2) or Section 2.03(A)(5), as applicable.</w:t>
      </w:r>
    </w:p>
    <w:p>
      <w:pPr>
        <w:spacing w:after="0" w:line="212" w:lineRule="exact"/>
        <w:rPr>
          <w:rFonts w:ascii="Times New Roman" w:cs="Times New Roman" w:eastAsia="Times New Roman" w:hAnsi="Times New Roman"/>
          <w:sz w:val="20"/>
          <w:szCs w:val="20"/>
          <w:color w:val="auto"/>
        </w:rPr>
      </w:pPr>
    </w:p>
    <w:p>
      <w:pPr>
        <w:ind w:left="60" w:right="280" w:firstLine="1291"/>
        <w:spacing w:after="0" w:line="255" w:lineRule="auto"/>
        <w:tabs>
          <w:tab w:leader="none" w:pos="177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 providing notice of a proposed nomination for election to the Board of Directors or other business proposed to be brought before a meeting under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60"/>
          </w:cols>
          <w:pgMar w:left="460" w:top="1305" w:right="47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9"/>
          <w:szCs w:val="19"/>
          <w:color w:val="auto"/>
        </w:rPr>
        <w:t>2.03 shall update and supplement such notice from time to time to the extent necessary so that the information provided or required to be provided in such notice shall be true and correct (a) as of the record date for determining the stockholders entitled to notice of the meeting and (b) as of the date that is ten (10) business days prior to the meeting (or any adjournment, postponement or rescheduling thereof). Any such update and supplement shall (i) be received by the Secretary at the principal executive offices of the Corporation (I) not later than the close of business five (5) business days after the record date for determining the stockholders entitled to receive notice of such meeting (in the case of an update required to be made under clause (a)) and (II) not later than the close of business seven (7) business days prior to the date of the meeting or, if practicable, any postponement, rescheduling or adjournment thereof (and, if not practicable, on the first practicable date prior to the date to which the meeting has been postponed, rescheduled or adjourned) (in the case of an update required to be made pursuant to clause (b)), (ii) be made only to the extent that information has changed since such Noticing Party’s prior submission and (iii) clearly identify the information that has changed since such Noticing Party’s prior submission. For the avoidance of doubt, any information provided pursuant to this Section 2.03(B)(2) shall not be deemed to cure any deficiencies or inaccuracies in a notice previously delivered pursuant to this Section 2.03 and shall not extend the time period for the delivery of notice pursuant to this Section 2.03. If a Noticing Party fails to provide any update in accordance with the foregoing provisions of this Section 2.03(B)(2), the information as to which such written update relates may be deemed not to have been provided in accordance with this Section 2.03.</w:t>
      </w:r>
    </w:p>
    <w:p>
      <w:pPr>
        <w:spacing w:after="0" w:line="205" w:lineRule="exact"/>
        <w:rPr>
          <w:sz w:val="20"/>
          <w:szCs w:val="20"/>
          <w:color w:val="auto"/>
        </w:rPr>
      </w:pPr>
    </w:p>
    <w:p>
      <w:pPr>
        <w:ind w:right="40" w:firstLine="1291"/>
        <w:spacing w:after="0" w:line="253" w:lineRule="auto"/>
        <w:tabs>
          <w:tab w:leader="none" w:pos="1724"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information submitted pursuant to this Section 2.03 by any Noticing Party nominating individuals for election or reelection as a director or proposing business for consideration at a stockholder meeting shall be inaccurate in any material respect (as determined by the Board of Directors or a committee thereof), such information shall be deemed not to have been provided in accordance with this Section 2.03. Any such Noticing Party shall notify the Secretary in writing at the principal executive offices of the Corporation of any inaccuracy or change in any information submitted pursuant to this Section 2.03 (including if any Noticing Party or any Stockholder Associated Person no longer intends to solicit proxies in accordance with the representation made pursuant to Section 2.03(A)(3)(g) within two (2) business days after becoming aware of such inaccuracy or change, and any such notification shall clearly identify the inaccuracy or change, it being understood that no such notification may cure any deficiencies or inaccuracies with respect to any prior submission by such Noticing Party. Upon written request of the Secretary on behalf of the Board of Directors (or a duly authorized committee thereof), any such Noticing Party shall provide, within seven (7) business days after delivery of such request (or such other period as may reasonably be specified in such request), (a) written verification, reasonably satisfactory to the Board of Directors, any committee thereof or any authorized officer of the Corporation, to demonstrate the accuracy of any information submitted by such Noticing Party pursuant to this Section 2.03 and (b) a written affirmation of any information submitted by such Noticing Party pursuant to this Section 2.03 as of an earlier date. If a Noticing Party fails to provide such written verification or affirmation within such period, the information as to which written verification or affirmation was requested may be deemed not to have been provided in accordance with this Section 2.03.</w:t>
      </w:r>
    </w:p>
    <w:p>
      <w:pPr>
        <w:spacing w:after="0" w:line="203" w:lineRule="exact"/>
        <w:rPr>
          <w:rFonts w:ascii="Times New Roman" w:cs="Times New Roman" w:eastAsia="Times New Roman" w:hAnsi="Times New Roman"/>
          <w:sz w:val="19"/>
          <w:szCs w:val="19"/>
          <w:color w:val="auto"/>
        </w:rPr>
      </w:pPr>
    </w:p>
    <w:p>
      <w:pPr>
        <w:ind w:right="20" w:firstLine="1291"/>
        <w:spacing w:after="0" w:line="241" w:lineRule="auto"/>
        <w:tabs>
          <w:tab w:leader="none" w:pos="177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if (a) any Noticing Party or any Stockholder Associated Person provides notice pursuant to Rule 14a-19(b) under the Exchange Act with respect to any Proposed Nominee and (b) such shareholder or Stockholder Associated Person subsequently (i) notifies the Corporation that such Noticing Party or Stockholder Associated Person no longer intends to solicit proxies in support of the election or reelection of such Proposed Nominee in accordance with Rule 14a-19(b) under the Exchange Act or (ii) then fails to comply with the requirements of Rule 14a-19(a)(2) or Rule 14a-19(a)(3) under the Exchange Act, then the Corporation shall disregard any proxies solicited for such Proposed Nominee (subject to applicable law). Upon request by the Corporation, if any Noticing Party provides notice pursuant to Rule 14a-19(b) under the Exchange Act, such Noticing Party shall deliver to the Secretary, no later than five (5) business days prior to the applicable meeting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40"/>
          </w:cols>
          <w:pgMar w:left="520" w:top="1305" w:right="339" w:bottom="1440" w:gutter="0" w:footer="0" w:header="0"/>
        </w:sectPr>
      </w:pPr>
    </w:p>
    <w:bookmarkStart w:id="13" w:name="page14"/>
    <w:bookmarkEnd w:id="13"/>
    <w:p>
      <w:pPr>
        <w:ind w:left="50"/>
        <w:spacing w:after="0"/>
        <w:rPr>
          <w:sz w:val="20"/>
          <w:szCs w:val="20"/>
          <w:color w:val="auto"/>
        </w:rPr>
      </w:pPr>
      <w:r>
        <w:rPr>
          <w:rFonts w:ascii="Times New Roman" w:cs="Times New Roman" w:eastAsia="Times New Roman" w:hAnsi="Times New Roman"/>
          <w:sz w:val="20"/>
          <w:szCs w:val="20"/>
          <w:color w:val="auto"/>
        </w:rPr>
        <w:t>reasonable evidence that the requirements of Rule 14a-19(a)(3) under the Exchange Act have been satisfied.</w:t>
      </w:r>
    </w:p>
    <w:p>
      <w:pPr>
        <w:spacing w:after="0" w:line="200" w:lineRule="exact"/>
        <w:rPr>
          <w:sz w:val="20"/>
          <w:szCs w:val="20"/>
          <w:color w:val="auto"/>
        </w:rPr>
      </w:pPr>
    </w:p>
    <w:p>
      <w:pPr>
        <w:spacing w:after="0" w:line="205" w:lineRule="exact"/>
        <w:rPr>
          <w:sz w:val="20"/>
          <w:szCs w:val="20"/>
          <w:color w:val="auto"/>
        </w:rPr>
      </w:pPr>
    </w:p>
    <w:p>
      <w:pPr>
        <w:ind w:left="10" w:firstLine="1286"/>
        <w:spacing w:after="0" w:line="251" w:lineRule="auto"/>
        <w:tabs>
          <w:tab w:leader="none" w:pos="1731"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used in these Bylaws, (a) “</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associate</w:t>
      </w:r>
      <w:r>
        <w:rPr>
          <w:rFonts w:ascii="Times New Roman" w:cs="Times New Roman" w:eastAsia="Times New Roman" w:hAnsi="Times New Roman"/>
          <w:sz w:val="19"/>
          <w:szCs w:val="19"/>
          <w:color w:val="auto"/>
        </w:rPr>
        <w:t>” each shall have the respective meanings set forth in Rule 12b-2 under the Exchange Act; (b) “</w:t>
      </w:r>
      <w:r>
        <w:rPr>
          <w:rFonts w:ascii="Times New Roman" w:cs="Times New Roman" w:eastAsia="Times New Roman" w:hAnsi="Times New Roman"/>
          <w:sz w:val="19"/>
          <w:szCs w:val="19"/>
          <w:u w:val="single" w:color="auto"/>
          <w:color w:val="auto"/>
        </w:rPr>
        <w:t>beneficial owner</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beneficially owned</w:t>
      </w:r>
      <w:r>
        <w:rPr>
          <w:rFonts w:ascii="Times New Roman" w:cs="Times New Roman" w:eastAsia="Times New Roman" w:hAnsi="Times New Roman"/>
          <w:sz w:val="19"/>
          <w:szCs w:val="19"/>
          <w:color w:val="auto"/>
        </w:rPr>
        <w:t>” shall have the meaning set forth for such terms in Section 13(d) of the Exchange Act; (c) “</w:t>
      </w:r>
      <w:r>
        <w:rPr>
          <w:rFonts w:ascii="Times New Roman" w:cs="Times New Roman" w:eastAsia="Times New Roman" w:hAnsi="Times New Roman"/>
          <w:sz w:val="19"/>
          <w:szCs w:val="19"/>
          <w:u w:val="single" w:color="auto"/>
          <w:color w:val="auto"/>
        </w:rPr>
        <w:t>close of business</w:t>
      </w:r>
      <w:r>
        <w:rPr>
          <w:rFonts w:ascii="Times New Roman" w:cs="Times New Roman" w:eastAsia="Times New Roman" w:hAnsi="Times New Roman"/>
          <w:sz w:val="19"/>
          <w:szCs w:val="19"/>
          <w:color w:val="auto"/>
        </w:rPr>
        <w:t>” shall mean 5:00 p.m. Eastern Time on any calendar day, whether or not the day is a business day; (d) “</w:t>
      </w:r>
      <w:r>
        <w:rPr>
          <w:rFonts w:ascii="Times New Roman" w:cs="Times New Roman" w:eastAsia="Times New Roman" w:hAnsi="Times New Roman"/>
          <w:sz w:val="19"/>
          <w:szCs w:val="19"/>
          <w:u w:val="single" w:color="auto"/>
          <w:color w:val="auto"/>
        </w:rPr>
        <w:t>public announcement</w:t>
      </w:r>
      <w:r>
        <w:rPr>
          <w:rFonts w:ascii="Times New Roman" w:cs="Times New Roman" w:eastAsia="Times New Roman" w:hAnsi="Times New Roman"/>
          <w:sz w:val="19"/>
          <w:szCs w:val="19"/>
          <w:color w:val="auto"/>
        </w:rPr>
        <w:t xml:space="preserve">” shall mean disclosure (i) in a press release released by the Corporation,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such press release is released by the Corporation following its customary procedures, is reported by the Dow Jones News Service, Associated Press or comparable national news service, or is generally available on internet news sites, or (ii) in a document publicly filed by the Corporation with the Securities and Exchange Commission pursuant to Section 13, 14 or 15(d) of the Exchange Act and the rules and regulations promulgated thereunder; (e) a “</w:t>
      </w:r>
      <w:r>
        <w:rPr>
          <w:rFonts w:ascii="Times New Roman" w:cs="Times New Roman" w:eastAsia="Times New Roman" w:hAnsi="Times New Roman"/>
          <w:sz w:val="19"/>
          <w:szCs w:val="19"/>
          <w:u w:val="single" w:color="auto"/>
          <w:color w:val="auto"/>
        </w:rPr>
        <w:t>qualified representative</w:t>
      </w:r>
      <w:r>
        <w:rPr>
          <w:rFonts w:ascii="Times New Roman" w:cs="Times New Roman" w:eastAsia="Times New Roman" w:hAnsi="Times New Roman"/>
          <w:sz w:val="19"/>
          <w:szCs w:val="19"/>
          <w:color w:val="auto"/>
        </w:rPr>
        <w:t>” of a Noticing Party means (i) a duly authorized officer, manager or partner of such Noticing Party or (ii) a person authorized by a writing executed by such Noticing Party (or a reliable reproduction or electronic transmission of the writing) delivered by such Noticing Party to the Corporation prior to the making of any nomination or proposal at a stockholder meeting stating that such person is authorized to act for such Noticing Party as proxy at the meeting of stockholders, which writing or electronic transmission, or a reliable reproduction of the writing or electronic transmission, must be produced at the meeting of stockholders; and (f) “</w:t>
      </w:r>
      <w:r>
        <w:rPr>
          <w:rFonts w:ascii="Times New Roman" w:cs="Times New Roman" w:eastAsia="Times New Roman" w:hAnsi="Times New Roman"/>
          <w:sz w:val="19"/>
          <w:szCs w:val="19"/>
          <w:u w:val="single" w:color="auto"/>
          <w:color w:val="auto"/>
        </w:rPr>
        <w:t>Stockholder Associated Person</w:t>
      </w:r>
      <w:r>
        <w:rPr>
          <w:rFonts w:ascii="Times New Roman" w:cs="Times New Roman" w:eastAsia="Times New Roman" w:hAnsi="Times New Roman"/>
          <w:sz w:val="19"/>
          <w:szCs w:val="19"/>
          <w:color w:val="auto"/>
        </w:rPr>
        <w:t>” shall mean, with respect to a Noticing Party and if different from such Noticing Party, any beneficial owner of shares of stock of the Corporation on whose behalf such Noticing Party is providing notice of any nomination or other business proposed, (i) any person directly or indirectly controlling, controlled by or under common control with such Noticing Party or beneficial owner(s), (ii) any member of the immediate family of such Noticing Party or beneficial owner(s) sharing the same household, (iii) any person or entity who is a member of a “group” (as such term is used in Rule 13d-5 under the Exchange Act) with, or is otherwise known by such Noticing Party or other Stockholder Associated Person to be acting in concert with, such Noticing Party, such beneficial owner(s) or any other Stockholder Associated Person with respect to the stock of the Corporation, (iv) any affiliate or associate of such Noticing Party, such beneficial owner(s) or any other Stockholder Associated Person,</w:t>
      </w:r>
    </w:p>
    <w:p>
      <w:pPr>
        <w:spacing w:after="0" w:line="230" w:lineRule="exact"/>
        <w:rPr>
          <w:rFonts w:ascii="Times New Roman" w:cs="Times New Roman" w:eastAsia="Times New Roman" w:hAnsi="Times New Roman"/>
          <w:sz w:val="19"/>
          <w:szCs w:val="19"/>
          <w:color w:val="auto"/>
        </w:rPr>
      </w:pPr>
    </w:p>
    <w:p>
      <w:pPr>
        <w:ind w:left="290" w:hanging="290"/>
        <w:spacing w:after="0"/>
        <w:tabs>
          <w:tab w:leader="none" w:pos="29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participant (as defined in Instruction 3 to Item 4 of Schedule 14A) with such Noticing Party, such beneficial owner(s) or any other</w:t>
      </w:r>
    </w:p>
    <w:p>
      <w:pPr>
        <w:spacing w:after="0" w:line="11" w:lineRule="exact"/>
        <w:rPr>
          <w:sz w:val="20"/>
          <w:szCs w:val="20"/>
          <w:color w:val="auto"/>
        </w:rPr>
      </w:pPr>
    </w:p>
    <w:p>
      <w:pPr>
        <w:ind w:left="10" w:right="20"/>
        <w:spacing w:after="0" w:line="242" w:lineRule="auto"/>
        <w:rPr>
          <w:sz w:val="20"/>
          <w:szCs w:val="20"/>
          <w:color w:val="auto"/>
        </w:rPr>
      </w:pPr>
      <w:r>
        <w:rPr>
          <w:rFonts w:ascii="Times New Roman" w:cs="Times New Roman" w:eastAsia="Times New Roman" w:hAnsi="Times New Roman"/>
          <w:sz w:val="20"/>
          <w:szCs w:val="20"/>
          <w:color w:val="auto"/>
        </w:rPr>
        <w:t>Stockholder Associated Person with respect to any proposed business or nominations, as applicable, (vi) any beneficial owner of shares of stock of the Corporation owned of record by such Noticing Party or any other Stockholder Associated Person (other than a stockholder that is a depositary) and (vii) any Proposed Nominee.</w:t>
      </w:r>
    </w:p>
    <w:p>
      <w:pPr>
        <w:spacing w:after="0" w:line="214" w:lineRule="exact"/>
        <w:rPr>
          <w:sz w:val="20"/>
          <w:szCs w:val="20"/>
          <w:color w:val="auto"/>
        </w:rPr>
      </w:pPr>
    </w:p>
    <w:p>
      <w:pPr>
        <w:ind w:left="10" w:right="80" w:firstLine="1286"/>
        <w:spacing w:after="0" w:line="242" w:lineRule="auto"/>
        <w:tabs>
          <w:tab w:leader="none" w:pos="173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Section 2.03, a stockholder shall also comply with all applicable requirements of state law and the Exchange Act and the rules and regulations promulgated thereunder with respect to the matters set forth in this Section 2.03. Nothing in this Section 2.03 shall be deemed to affect any rights of (a) stockholders to request inclusion of proposals in the Corporation’s proxy statement pursuant to Rule 14a-8 under the Exchange Act, or (b) the holders of any class or series of stock having a preference over the Common Stock (as defined in the Amended and Restated Certificate of Incorporation) as to dividends or upon liquidation to elect directors under applicable provisions of the Amended &amp; Restated Certificate of Incorporation.</w:t>
      </w:r>
    </w:p>
    <w:p>
      <w:pPr>
        <w:spacing w:after="0" w:line="215" w:lineRule="exact"/>
        <w:rPr>
          <w:rFonts w:ascii="Times New Roman" w:cs="Times New Roman" w:eastAsia="Times New Roman" w:hAnsi="Times New Roman"/>
          <w:sz w:val="20"/>
          <w:szCs w:val="20"/>
          <w:color w:val="auto"/>
        </w:rPr>
      </w:pPr>
    </w:p>
    <w:p>
      <w:pPr>
        <w:ind w:left="10" w:right="520" w:firstLine="1286"/>
        <w:spacing w:after="0" w:line="254" w:lineRule="auto"/>
        <w:tabs>
          <w:tab w:leader="none" w:pos="172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written notice, supplement, update or other information required to be delivered by a stockholder to the Corporation pursuant to this Section 2.03 must be given by personal delivery, by overnight courier or by registered or certified mail, postage prepaid, to the Secretary at the Corporation’s principal executive offices.</w:t>
      </w:r>
    </w:p>
    <w:p>
      <w:pPr>
        <w:spacing w:after="0" w:line="201" w:lineRule="exact"/>
        <w:rPr>
          <w:sz w:val="20"/>
          <w:szCs w:val="20"/>
          <w:color w:val="auto"/>
        </w:rPr>
      </w:pPr>
    </w:p>
    <w:p>
      <w:pPr>
        <w:jc w:val="both"/>
        <w:ind w:left="30" w:right="260" w:firstLine="1231"/>
        <w:spacing w:after="0" w:line="247" w:lineRule="auto"/>
        <w:rPr>
          <w:sz w:val="20"/>
          <w:szCs w:val="20"/>
          <w:color w:val="auto"/>
        </w:rPr>
      </w:pPr>
      <w:r>
        <w:rPr>
          <w:rFonts w:ascii="Times New Roman" w:cs="Times New Roman" w:eastAsia="Times New Roman" w:hAnsi="Times New Roman"/>
          <w:sz w:val="20"/>
          <w:szCs w:val="20"/>
          <w:color w:val="auto"/>
        </w:rPr>
        <w:t xml:space="preserve">SECTION 2.04 </w:t>
      </w:r>
      <w:r>
        <w:rPr>
          <w:rFonts w:ascii="Times New Roman" w:cs="Times New Roman" w:eastAsia="Times New Roman" w:hAnsi="Times New Roman"/>
          <w:sz w:val="20"/>
          <w:szCs w:val="20"/>
          <w:u w:val="single" w:color="auto"/>
          <w:color w:val="auto"/>
        </w:rPr>
        <w:t>Notice of Meetings</w:t>
      </w:r>
      <w:r>
        <w:rPr>
          <w:rFonts w:ascii="Times New Roman" w:cs="Times New Roman" w:eastAsia="Times New Roman" w:hAnsi="Times New Roman"/>
          <w:sz w:val="20"/>
          <w:szCs w:val="20"/>
          <w:color w:val="auto"/>
        </w:rPr>
        <w:t>. Whenever stockholders are required or permitted to take any action at a meeting, a timely notice in writing or by electronic transmission, in the manner provided in Section 232 of the DGCL, of the meeting, which shall state the place, if any, date and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970"/>
          </w:cols>
          <w:pgMar w:left="470" w:top="1305" w:right="459" w:bottom="1440" w:gutter="0" w:footer="0" w:header="0"/>
        </w:sectPr>
      </w:pPr>
    </w:p>
    <w:bookmarkStart w:id="14" w:name="page15"/>
    <w:bookmarkEnd w:id="14"/>
    <w:p>
      <w:pPr>
        <w:ind w:left="60" w:right="80"/>
        <w:spacing w:after="0" w:line="256" w:lineRule="auto"/>
        <w:rPr>
          <w:sz w:val="20"/>
          <w:szCs w:val="20"/>
          <w:color w:val="auto"/>
        </w:rPr>
      </w:pPr>
      <w:r>
        <w:rPr>
          <w:rFonts w:ascii="Times New Roman" w:cs="Times New Roman" w:eastAsia="Times New Roman" w:hAnsi="Times New Roman"/>
          <w:sz w:val="19"/>
          <w:szCs w:val="19"/>
          <w:color w:val="auto"/>
        </w:rPr>
        <w:t>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or transmitted electronically by the Secretary of the Corporation to each stockholder of record entitled to vote thereat as of the record date for determining the stockholders entitled to notice of the meeting. Unless otherwise provided by law, the Amended and Restated Certificate of Incorporation or these Bylaws, the notice of any meeting shall be given by or at the direction of the Board of Directors not less than ten (10) nor more than sixty (60) days before the date of the meeting to each stockholder entitled to vote at such meeting as of the record date for determining the stockholders entitled to notice of the meeting.</w:t>
      </w:r>
    </w:p>
    <w:p>
      <w:pPr>
        <w:spacing w:after="0" w:line="201" w:lineRule="exact"/>
        <w:rPr>
          <w:sz w:val="20"/>
          <w:szCs w:val="20"/>
          <w:color w:val="auto"/>
        </w:rPr>
      </w:pPr>
    </w:p>
    <w:p>
      <w:pPr>
        <w:ind w:left="60" w:right="480" w:firstLine="1231"/>
        <w:spacing w:after="0" w:line="245" w:lineRule="auto"/>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 Unless otherwise required by applicable law, the Amended and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214" w:lineRule="exact"/>
        <w:rPr>
          <w:sz w:val="20"/>
          <w:szCs w:val="20"/>
          <w:color w:val="auto"/>
        </w:rPr>
      </w:pPr>
    </w:p>
    <w:p>
      <w:pPr>
        <w:ind w:firstLine="1296"/>
        <w:spacing w:after="0" w:line="238" w:lineRule="auto"/>
        <w:rPr>
          <w:sz w:val="20"/>
          <w:szCs w:val="20"/>
          <w:color w:val="auto"/>
        </w:rPr>
      </w:pPr>
      <w:r>
        <w:rPr>
          <w:rFonts w:ascii="Times New Roman" w:cs="Times New Roman" w:eastAsia="Times New Roman" w:hAnsi="Times New Roman"/>
          <w:sz w:val="20"/>
          <w:szCs w:val="20"/>
          <w:color w:val="auto"/>
        </w:rPr>
        <w:t xml:space="preserve">SECTION 2.06 </w:t>
      </w:r>
      <w:r>
        <w:rPr>
          <w:rFonts w:ascii="Times New Roman" w:cs="Times New Roman" w:eastAsia="Times New Roman" w:hAnsi="Times New Roman"/>
          <w:sz w:val="20"/>
          <w:szCs w:val="20"/>
          <w:u w:val="single" w:color="auto"/>
          <w:color w:val="auto"/>
        </w:rPr>
        <w:t>Voting; Proxies</w:t>
      </w:r>
      <w:r>
        <w:rPr>
          <w:rFonts w:ascii="Times New Roman" w:cs="Times New Roman" w:eastAsia="Times New Roman" w:hAnsi="Times New Roman"/>
          <w:sz w:val="20"/>
          <w:szCs w:val="20"/>
          <w:color w:val="auto"/>
        </w:rPr>
        <w:t>. Except as otherwise provided by or pursuant to the provisions of the Amended and Restated Certificate of Incorporation, each stockholder entitled to vote at any meeting of stockholders shall be entitled to one vote for each share of stock held by such stockholder that has voting power upon the matter in question.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Any stockholder directly or indirectly soliciting proxies from other stockholders may use any proxy card color other than white, which shall be reserved for exclusive use of the Board of Directors. Unless required by the Amended and Restated Certificate of Incorporation or applicable law, or determined by the chair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Amended and Restated Certificate of Incorporation or of these Bylaws, a different vote is required, in which case such express provision shall govern and control the decision of such question. Notwithstanding the foregoing sentence and subject to the Amended and Restated Certificate of Incorporation, all directors shall be elected by the vote of the majority of the votes cast (meaning the number of shares voted “for” a nominee must exceed the number of shares voted “against” such nominee) with “abstentions” and “broker non-votes” not counted as a vote cast either “for” or “against” that nominee’s election at any meeting for the election of directors at which a quorum is present; provided, however, that in a Contested Election of Directors (as defined below) at such a meeting, directors shall be elected by a plurality of the votes cast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000"/>
          </w:cols>
          <w:pgMar w:left="440" w:top="1305" w:right="459" w:bottom="1440" w:gutter="0" w:footer="0" w:header="0"/>
        </w:sectPr>
      </w:pPr>
    </w:p>
    <w:bookmarkStart w:id="15" w:name="page16"/>
    <w:bookmarkEnd w:id="15"/>
    <w:p>
      <w:pPr>
        <w:spacing w:after="0" w:line="245" w:lineRule="auto"/>
        <w:rPr>
          <w:sz w:val="20"/>
          <w:szCs w:val="20"/>
          <w:color w:val="auto"/>
        </w:rPr>
      </w:pPr>
      <w:r>
        <w:rPr>
          <w:rFonts w:ascii="Times New Roman" w:cs="Times New Roman" w:eastAsia="Times New Roman" w:hAnsi="Times New Roman"/>
          <w:sz w:val="20"/>
          <w:szCs w:val="20"/>
          <w:color w:val="auto"/>
        </w:rPr>
        <w:t>the election of directors (instead of by votes cast “for” or “against” a nominee). The term “Contested Election of Directors” shall mean an annual or special meeting of the Corporation with respect to which (A) the Secretary receives a notice that a stockholder has nominated or intends to nominate a person for election to the Board of Directors in compliance with the requirements for stockholder nominees for director set forth in Section 2.03 and (B) such nomination has not been withdrawn by such stockholder on or prior to the tenth (10th) day before the Corporation first mails its notice of meeting for such meeting to the stockholders. Stockholders shall be entitled to cast votes “against” nominees for director unless plurality voting applies in the election of directors.</w:t>
      </w:r>
    </w:p>
    <w:p>
      <w:pPr>
        <w:spacing w:after="0" w:line="198" w:lineRule="exact"/>
        <w:rPr>
          <w:sz w:val="20"/>
          <w:szCs w:val="20"/>
          <w:color w:val="auto"/>
        </w:rPr>
      </w:pPr>
    </w:p>
    <w:p>
      <w:pPr>
        <w:ind w:right="100" w:firstLine="1296"/>
        <w:spacing w:after="0" w:line="251" w:lineRule="auto"/>
        <w:rPr>
          <w:sz w:val="20"/>
          <w:szCs w:val="20"/>
          <w:color w:val="auto"/>
        </w:rPr>
      </w:pPr>
      <w:r>
        <w:rPr>
          <w:rFonts w:ascii="Times New Roman" w:cs="Times New Roman" w:eastAsia="Times New Roman" w:hAnsi="Times New Roman"/>
          <w:sz w:val="19"/>
          <w:szCs w:val="19"/>
          <w:color w:val="auto"/>
        </w:rPr>
        <w:t xml:space="preserve">SECTION 2.07 </w:t>
      </w:r>
      <w:r>
        <w:rPr>
          <w:rFonts w:ascii="Times New Roman" w:cs="Times New Roman" w:eastAsia="Times New Roman" w:hAnsi="Times New Roman"/>
          <w:sz w:val="19"/>
          <w:szCs w:val="19"/>
          <w:u w:val="single" w:color="auto"/>
          <w:color w:val="auto"/>
        </w:rPr>
        <w:t>Chair of Meetings</w:t>
      </w:r>
      <w:r>
        <w:rPr>
          <w:rFonts w:ascii="Times New Roman" w:cs="Times New Roman" w:eastAsia="Times New Roman" w:hAnsi="Times New Roman"/>
          <w:sz w:val="19"/>
          <w:szCs w:val="19"/>
          <w:color w:val="auto"/>
        </w:rPr>
        <w:t>. The Chair of the Board of Directors, if one is elected, or, in his or her absence or disability, the Chief Executive Officer of the Corporation, or in the absence of the Chair of the Board of Directors and the Chief Executive Officer, a person designated by the Board of Directors shall be the chair of the meeting and, as such, preside at all meetings of the stockholders. The chair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to the meeting that such defective proposal or nomination was not properly brought before the meeting. Any such matter of business not properly brought before the meeting shall not be transacted or considered. The date and time of the opening and the closing of the polls for each matter upon which the stockholders will vote at a meeting shall be announced at the meeting by the chair of the meeting. The Board of Directors may adopt by resolution such rules, regulations and procedures for the conduct of any meeting of stockholders as it shall deem appropriate. Except to the extent inconsistent with such rules, regulations and procedures as adopted by the Board of Directors, the chair of the meeting shall have the right and authority to convene and (for any or no reason) to recess and/or adjourn any meeting of stockholders, to prescribe such rules, regulations and procedures and to do all such acts as, in the judgment of such chair, are necessary, appropriate or convenient for the proper conduct of the meeting. Such rules, regulations or procedures, whether adopted by the Board of Directors or prescribed by the chair of the meeting, may include, without limitation, the following: (i) the establishment of an agenda or order of business for the meeting, (ii) the determination of when the polls shall open and close for any given matter to be voted on at the meeting; (iii) rules, regulations and procedures for maintaining order at the meeting and the safety of those present; (iv) limitations on attendance at or participation in the meeting to stockholders of record of the Corporation, their duly authorized and constituted proxies or such other persons as the chair of the meeting shall determine; (v) restrictions on entry to the meeting after the time fixed for the commencement of the meeting; (vi) limitations on the time allotted to questions or comments by participants; (vii) removal of any stockholder or any other individual who refuses to comply with meeting rules, regulations or procedures; (viii) the conclusion, recess or adjournment of the meeting, regardless of whether a quorum is present, to a later date and time and at a place, if any, announced at the meeting; (ix) restrictions on the use of audio and video recording devices, cell phones and other electronic devices; (x) rules, regulations or procedures for compliance with any state or local laws or regulations including those concerning safety, health and security; (xi) procedures (if any) requiring attendees to provide the Corporation advance notice of their intent to attend the meeting and (xii) any rules, regulations or procedures as the chair of the meeting may deem appropriate regarding the participation by means of remote communication of stockholders and proxyholders not physically present at a meeting, whether such meeting is to be held at a designated place or solely by means of remote communication. Notwithstanding the foregoing provisions of this Section 2.07, unless otherwise required by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940"/>
          </w:cols>
          <w:pgMar w:left="440" w:top="1305" w:right="519" w:bottom="1440" w:gutter="0" w:footer="0" w:header="0"/>
        </w:sectPr>
      </w:pPr>
    </w:p>
    <w:bookmarkStart w:id="16" w:name="page17"/>
    <w:bookmarkEnd w:id="16"/>
    <w:p>
      <w:pPr>
        <w:ind w:right="300"/>
        <w:spacing w:after="0" w:line="269" w:lineRule="auto"/>
        <w:rPr>
          <w:sz w:val="20"/>
          <w:szCs w:val="20"/>
          <w:color w:val="auto"/>
        </w:rPr>
      </w:pPr>
      <w:r>
        <w:rPr>
          <w:rFonts w:ascii="Times New Roman" w:cs="Times New Roman" w:eastAsia="Times New Roman" w:hAnsi="Times New Roman"/>
          <w:sz w:val="20"/>
          <w:szCs w:val="20"/>
          <w:color w:val="auto"/>
        </w:rPr>
        <w:t>and to the extent determined by the Board of Directors or the chair of the meeting, meetings of stockholders shall not be required to be held in accordance with the rules of parliamentary procedure.</w:t>
      </w:r>
    </w:p>
    <w:p>
      <w:pPr>
        <w:spacing w:after="0" w:line="186" w:lineRule="exact"/>
        <w:rPr>
          <w:sz w:val="20"/>
          <w:szCs w:val="20"/>
          <w:color w:val="auto"/>
        </w:rPr>
      </w:pPr>
    </w:p>
    <w:p>
      <w:pPr>
        <w:ind w:right="340" w:firstLine="1296"/>
        <w:spacing w:after="0" w:line="254" w:lineRule="auto"/>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Secretary of Meetings</w:t>
      </w:r>
      <w:r>
        <w:rPr>
          <w:rFonts w:ascii="Times New Roman" w:cs="Times New Roman" w:eastAsia="Times New Roman" w:hAnsi="Times New Roman"/>
          <w:sz w:val="20"/>
          <w:szCs w:val="20"/>
          <w:color w:val="auto"/>
        </w:rPr>
        <w:t>. The Secretary of the Corporation shall act as secretary at all meetings of the stockholders. In the absence or disability of the Secretary, the Chair of the Board of Directors, the Chief Executive Officer or the chair of the meeting shall appoint a person to act as secretary at such meetings.</w:t>
      </w:r>
    </w:p>
    <w:p>
      <w:pPr>
        <w:spacing w:after="0" w:line="201" w:lineRule="exact"/>
        <w:rPr>
          <w:sz w:val="20"/>
          <w:szCs w:val="20"/>
          <w:color w:val="auto"/>
        </w:rPr>
      </w:pPr>
    </w:p>
    <w:p>
      <w:pPr>
        <w:ind w:left="80" w:right="180" w:firstLine="1231"/>
        <w:spacing w:after="0" w:line="242" w:lineRule="auto"/>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Consent of Stockholders in Lieu of Meeting</w:t>
      </w:r>
      <w:r>
        <w:rPr>
          <w:rFonts w:ascii="Times New Roman" w:cs="Times New Roman" w:eastAsia="Times New Roman" w:hAnsi="Times New Roman"/>
          <w:sz w:val="20"/>
          <w:szCs w:val="20"/>
          <w:color w:val="auto"/>
        </w:rPr>
        <w:t xml:space="preserve">. Any action required or permitted to be taken by the stockholders of the Corporation must be effected at a duly called annual or special meeting of such holders and may not be effected by any consent in writing by such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action required or permitted to be taken by the holders of Preferred Stock (as defined in the Amended and Restated Certificate of Incorporation),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215" w:lineRule="exact"/>
        <w:rPr>
          <w:sz w:val="20"/>
          <w:szCs w:val="20"/>
          <w:color w:val="auto"/>
        </w:rPr>
      </w:pPr>
    </w:p>
    <w:p>
      <w:pPr>
        <w:ind w:left="80" w:firstLine="1231"/>
        <w:spacing w:after="0" w:line="239"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Adjournment</w:t>
      </w:r>
      <w:r>
        <w:rPr>
          <w:rFonts w:ascii="Times New Roman" w:cs="Times New Roman" w:eastAsia="Times New Roman" w:hAnsi="Times New Roman"/>
          <w:sz w:val="20"/>
          <w:szCs w:val="20"/>
          <w:color w:val="auto"/>
        </w:rPr>
        <w:t>. At any meeting of stockholders of the Corporation, if less than a quorum be present, the chair of the meeting or stockholders holding a majority in voting power of the shares of stock of the Corporation, present in person or by proxy and entitled to vote thereat, shall have the power to adjourn or recess the meeting from time to time until a quorum shall be present. Notice need not be given of any such adjourned or recessed meeting (including an adjournment taken to address a technical failure to convene or continue a meeting using remote communication) if the time and place, if any, thereof, and the means of remote communication, if any, by which stockholders and proxy holders may be deemed to be present in person or represented by proxy and vote at such adjourned or recessed meeting, are (A) announced at the meeting at which the adjournment or recess is taken, (B) displayed during the time scheduled for the meeting, on the same electronic network used to enable stockholders and proxy holders to participate in the meeting by means of remote communication or (C) set forth in the notice of meeting given in accordance with these Bylaws. Any business may be transacted at the adjourned or recessed meeting that might have been transacted at the meeting originally noticed. If the adjournment is for more than thirty (30) days, a notice of the adjourned meeting in accordance with the requirements of Section 2.04 of these Bylaws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224" w:lineRule="exact"/>
        <w:rPr>
          <w:sz w:val="20"/>
          <w:szCs w:val="20"/>
          <w:color w:val="auto"/>
        </w:rPr>
      </w:pPr>
    </w:p>
    <w:p>
      <w:pPr>
        <w:ind w:left="80" w:right="420" w:firstLine="1231"/>
        <w:spacing w:after="0" w:line="247" w:lineRule="auto"/>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Remote Communication</w:t>
      </w:r>
      <w:r>
        <w:rPr>
          <w:rFonts w:ascii="Times New Roman" w:cs="Times New Roman" w:eastAsia="Times New Roman" w:hAnsi="Times New Roman"/>
          <w:sz w:val="20"/>
          <w:szCs w:val="20"/>
          <w:color w:val="auto"/>
        </w:rPr>
        <w:t>. If authorized by the Board of Directors in its sole discretion, and subject to such guidelines and procedures as the Board of Directors may adopt, stockholders and proxy holders not physically present at a meeting of stockholders may, by means of remote communication:</w:t>
      </w:r>
    </w:p>
    <w:p>
      <w:pPr>
        <w:spacing w:after="0" w:line="221" w:lineRule="exact"/>
        <w:rPr>
          <w:sz w:val="20"/>
          <w:szCs w:val="20"/>
          <w:color w:val="auto"/>
        </w:rPr>
      </w:pPr>
    </w:p>
    <w:p>
      <w:pPr>
        <w:ind w:left="1960" w:hanging="590"/>
        <w:spacing w:after="0"/>
        <w:tabs>
          <w:tab w:leader="none" w:pos="19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participate in a meeting of stockholders; and</w:t>
      </w:r>
    </w:p>
    <w:p>
      <w:pPr>
        <w:spacing w:after="0" w:line="233" w:lineRule="exact"/>
        <w:rPr>
          <w:rFonts w:ascii="Times New Roman" w:cs="Times New Roman" w:eastAsia="Times New Roman" w:hAnsi="Times New Roman"/>
          <w:sz w:val="22"/>
          <w:szCs w:val="22"/>
          <w:color w:val="auto"/>
        </w:rPr>
      </w:pPr>
    </w:p>
    <w:p>
      <w:pPr>
        <w:ind w:left="80" w:right="760" w:firstLine="1291"/>
        <w:spacing w:after="0" w:line="259" w:lineRule="auto"/>
        <w:tabs>
          <w:tab w:leader="none" w:pos="182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960"/>
          </w:cols>
          <w:pgMar w:left="440" w:top="1305" w:right="499" w:bottom="1440" w:gutter="0" w:footer="0" w:header="0"/>
        </w:sectPr>
      </w:pPr>
    </w:p>
    <w:bookmarkStart w:id="17" w:name="page18"/>
    <w:bookmarkEnd w:id="17"/>
    <w:p>
      <w:pPr>
        <w:ind w:left="80" w:right="220" w:firstLine="1291"/>
        <w:spacing w:after="0" w:line="259" w:lineRule="auto"/>
        <w:tabs>
          <w:tab w:leader="none" w:pos="183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Corporation shall implement reasonable measures to verify that each person deemed present and permitted to vote at the meeting by means of remote communication is a stockholder or proxyholder;</w:t>
      </w:r>
    </w:p>
    <w:p>
      <w:pPr>
        <w:spacing w:after="0" w:line="207" w:lineRule="exact"/>
        <w:rPr>
          <w:rFonts w:ascii="Times New Roman" w:cs="Times New Roman" w:eastAsia="Times New Roman" w:hAnsi="Times New Roman"/>
          <w:sz w:val="22"/>
          <w:szCs w:val="22"/>
          <w:color w:val="auto"/>
        </w:rPr>
      </w:pPr>
    </w:p>
    <w:p>
      <w:pPr>
        <w:ind w:left="80" w:right="120" w:firstLine="1291"/>
        <w:spacing w:after="0" w:line="242" w:lineRule="auto"/>
        <w:tabs>
          <w:tab w:leader="none" w:pos="183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224" w:lineRule="exact"/>
        <w:rPr>
          <w:rFonts w:ascii="Times New Roman" w:cs="Times New Roman" w:eastAsia="Times New Roman" w:hAnsi="Times New Roman"/>
          <w:sz w:val="22"/>
          <w:szCs w:val="22"/>
          <w:color w:val="auto"/>
        </w:rPr>
      </w:pPr>
    </w:p>
    <w:p>
      <w:pPr>
        <w:ind w:left="1820" w:hanging="449"/>
        <w:spacing w:after="0"/>
        <w:tabs>
          <w:tab w:leader="none" w:pos="18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any stockholder or proxyholder votes or takes other action at the meeting by means of remote</w:t>
      </w:r>
    </w:p>
    <w:p>
      <w:pPr>
        <w:ind w:left="80"/>
        <w:spacing w:after="0"/>
        <w:rPr>
          <w:sz w:val="20"/>
          <w:szCs w:val="20"/>
          <w:color w:val="auto"/>
        </w:rPr>
      </w:pPr>
      <w:r>
        <w:rPr>
          <w:rFonts w:ascii="Times New Roman" w:cs="Times New Roman" w:eastAsia="Times New Roman" w:hAnsi="Times New Roman"/>
          <w:sz w:val="20"/>
          <w:szCs w:val="20"/>
          <w:color w:val="auto"/>
        </w:rPr>
        <w:t>communication, a record of such vote or other action shall be maintained by the Corporation.</w:t>
      </w:r>
    </w:p>
    <w:p>
      <w:pPr>
        <w:spacing w:after="0" w:line="22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Inspectors of Election</w:t>
      </w:r>
      <w:r>
        <w:rPr>
          <w:rFonts w:ascii="Times New Roman" w:cs="Times New Roman" w:eastAsia="Times New Roman" w:hAnsi="Times New Roman"/>
          <w:sz w:val="19"/>
          <w:szCs w:val="19"/>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221" w:lineRule="exact"/>
        <w:rPr>
          <w:sz w:val="20"/>
          <w:szCs w:val="20"/>
          <w:color w:val="auto"/>
        </w:rPr>
      </w:pPr>
    </w:p>
    <w:p>
      <w:pPr>
        <w:jc w:val="both"/>
        <w:ind w:right="260" w:firstLine="1296"/>
        <w:spacing w:after="0" w:line="244"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Powers</w:t>
      </w:r>
      <w:r>
        <w:rPr>
          <w:rFonts w:ascii="Times New Roman" w:cs="Times New Roman" w:eastAsia="Times New Roman" w:hAnsi="Times New Roman"/>
          <w:sz w:val="20"/>
          <w:szCs w:val="20"/>
          <w:color w:val="auto"/>
        </w:rPr>
        <w:t>. Except as otherwise provided in the Amended and Restated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Amended and Restated Certificate of Incorporation directed or required to be exercised or done by the stockholders.</w:t>
      </w:r>
    </w:p>
    <w:p>
      <w:pPr>
        <w:spacing w:after="0" w:line="212" w:lineRule="exact"/>
        <w:rPr>
          <w:sz w:val="20"/>
          <w:szCs w:val="20"/>
          <w:color w:val="auto"/>
        </w:rPr>
      </w:pPr>
    </w:p>
    <w:p>
      <w:pPr>
        <w:ind w:right="60" w:firstLine="1296"/>
        <w:spacing w:after="0" w:line="242"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Number and Term; Chair</w:t>
      </w:r>
      <w:r>
        <w:rPr>
          <w:rFonts w:ascii="Times New Roman" w:cs="Times New Roman" w:eastAsia="Times New Roman" w:hAnsi="Times New Roman"/>
          <w:sz w:val="20"/>
          <w:szCs w:val="20"/>
          <w:color w:val="auto"/>
        </w:rPr>
        <w:t>. Subject to the Amended and Restated Certificate of Incorporation, the number of directors shall be fixed exclusively by resolution of the Board of Directors. At each annual meeting of stockholders, directors shall be elected for the term provided in the Amended and Restated Certificate of Incorporation. Directors need not be stockholders. The Board of Directors shall elect a Chair of the Board of Directors, who shall have the powers and perform such duties as provided in these Bylaws and as the Board of Directors may from time to time prescribe. The Chair of the Board of Directors shall preside at all meetings of stockholders and meetings of the Board of Directors at which he or she is present. If the Chair of the Board of Directors is not present at a meeting of stockholders or a meeting of the Board of Directors, the Chief Executive Officer (if the Chief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980"/>
          </w:cols>
          <w:pgMar w:left="440" w:top="1318" w:right="479" w:bottom="1440" w:gutter="0" w:footer="0" w:header="0"/>
        </w:sectPr>
      </w:pPr>
    </w:p>
    <w:bookmarkStart w:id="18" w:name="page19"/>
    <w:bookmarkEnd w:id="18"/>
    <w:p>
      <w:pPr>
        <w:ind w:left="120" w:right="120"/>
        <w:spacing w:after="0" w:line="254" w:lineRule="auto"/>
        <w:rPr>
          <w:sz w:val="20"/>
          <w:szCs w:val="20"/>
          <w:color w:val="auto"/>
        </w:rPr>
      </w:pPr>
      <w:r>
        <w:rPr>
          <w:rFonts w:ascii="Times New Roman" w:cs="Times New Roman" w:eastAsia="Times New Roman" w:hAnsi="Times New Roman"/>
          <w:sz w:val="20"/>
          <w:szCs w:val="20"/>
          <w:color w:val="auto"/>
        </w:rPr>
        <w:t>Officer is a director and is not also the Chair of the Board of Directors) shall preside at such meeting, and, if the Chief Executive Officer is not present at such meeting or is not a director, a majority of the directors present at such meeting shall elect one of their members to preside.</w:t>
      </w:r>
    </w:p>
    <w:p>
      <w:pPr>
        <w:spacing w:after="0" w:line="201" w:lineRule="exact"/>
        <w:rPr>
          <w:sz w:val="20"/>
          <w:szCs w:val="20"/>
          <w:color w:val="auto"/>
        </w:rPr>
      </w:pPr>
    </w:p>
    <w:p>
      <w:pPr>
        <w:ind w:firstLine="396"/>
        <w:spacing w:after="0" w:line="244"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Resignations</w:t>
      </w:r>
      <w:r>
        <w:rPr>
          <w:rFonts w:ascii="Times New Roman" w:cs="Times New Roman" w:eastAsia="Times New Roman" w:hAnsi="Times New Roman"/>
          <w:sz w:val="20"/>
          <w:szCs w:val="20"/>
          <w:color w:val="auto"/>
        </w:rPr>
        <w:t>. Any director may resign at any time upon notice given in writing or by electronic transmission to the Board of Directors, the Chair of the Board of Directors, the Chief Executive Officer or the Secretary of the Corporation. The resignation shall take effect at the time specified therein, and if no time is specified, at the time of its receipt. The acceptance of a resignation shall not be necessary to make it effective unless otherwise expressly provided in the resignation.</w:t>
      </w:r>
    </w:p>
    <w:p>
      <w:pPr>
        <w:spacing w:after="0" w:line="212" w:lineRule="exact"/>
        <w:rPr>
          <w:sz w:val="20"/>
          <w:szCs w:val="20"/>
          <w:color w:val="auto"/>
        </w:rPr>
      </w:pPr>
    </w:p>
    <w:p>
      <w:pPr>
        <w:ind w:left="120" w:right="54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Removal</w:t>
      </w:r>
      <w:r>
        <w:rPr>
          <w:rFonts w:ascii="Times New Roman" w:cs="Times New Roman" w:eastAsia="Times New Roman" w:hAnsi="Times New Roman"/>
          <w:sz w:val="20"/>
          <w:szCs w:val="20"/>
          <w:color w:val="auto"/>
        </w:rPr>
        <w:t>. Directors of the Corporation may be removed in the manner provided in the Amended and Restated Certificate of Incorporation and applicable law.</w:t>
      </w:r>
    </w:p>
    <w:p>
      <w:pPr>
        <w:spacing w:after="0" w:line="186" w:lineRule="exact"/>
        <w:rPr>
          <w:sz w:val="20"/>
          <w:szCs w:val="20"/>
          <w:color w:val="auto"/>
        </w:rPr>
      </w:pPr>
    </w:p>
    <w:p>
      <w:pPr>
        <w:ind w:left="120" w:right="500" w:firstLine="1296"/>
        <w:spacing w:after="0" w:line="254"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Vacancies and Newly Created Directorships</w:t>
      </w:r>
      <w:r>
        <w:rPr>
          <w:rFonts w:ascii="Times New Roman" w:cs="Times New Roman" w:eastAsia="Times New Roman" w:hAnsi="Times New Roman"/>
          <w:sz w:val="20"/>
          <w:szCs w:val="20"/>
          <w:color w:val="auto"/>
        </w:rPr>
        <w:t>. Vacancies occurring in any directorship (whether by death, resignation, retirement, disqualification, removal or other cause) and newly created directorships resulting from any increase in the number of directors shall be filled in accordance with the Amended and Restated Certificate of Incorporation.</w:t>
      </w:r>
    </w:p>
    <w:p>
      <w:pPr>
        <w:spacing w:after="0" w:line="201" w:lineRule="exact"/>
        <w:rPr>
          <w:sz w:val="20"/>
          <w:szCs w:val="20"/>
          <w:color w:val="auto"/>
        </w:rPr>
      </w:pPr>
    </w:p>
    <w:p>
      <w:pPr>
        <w:ind w:left="120" w:right="180" w:firstLine="1296"/>
        <w:spacing w:after="0" w:line="253" w:lineRule="auto"/>
        <w:rPr>
          <w:sz w:val="20"/>
          <w:szCs w:val="20"/>
          <w:color w:val="auto"/>
        </w:rPr>
      </w:pPr>
      <w:r>
        <w:rPr>
          <w:rFonts w:ascii="Times New Roman" w:cs="Times New Roman" w:eastAsia="Times New Roman" w:hAnsi="Times New Roman"/>
          <w:sz w:val="19"/>
          <w:szCs w:val="19"/>
          <w:color w:val="auto"/>
        </w:rPr>
        <w:t xml:space="preserve">SECTION 3.06 </w:t>
      </w:r>
      <w:r>
        <w:rPr>
          <w:rFonts w:ascii="Times New Roman" w:cs="Times New Roman" w:eastAsia="Times New Roman" w:hAnsi="Times New Roman"/>
          <w:sz w:val="19"/>
          <w:szCs w:val="19"/>
          <w:u w:val="single" w:color="auto"/>
          <w:color w:val="auto"/>
        </w:rPr>
        <w:t>Meetings</w:t>
      </w:r>
      <w:r>
        <w:rPr>
          <w:rFonts w:ascii="Times New Roman" w:cs="Times New Roman" w:eastAsia="Times New Roman" w:hAnsi="Times New Roman"/>
          <w:sz w:val="19"/>
          <w:szCs w:val="19"/>
          <w:color w:val="auto"/>
        </w:rPr>
        <w:t>. Regular meetings of the Board of Directors may be held at such places and times as shall be determined from time to time by the Board of Directors. Special meetings of the Board of Directors may be called by the Chief Executive Officer of the Corporation, the Chair of the Board of Directors, a majority of the directors then in office, or as provided by the Amended and Restated Certificate of Incorporation, and shall be called by the Secretary of the Corporation if directed by the Board of Directors and shall be at such places and times as they or he or she shall fix. Notice need not be given of regular meetings of the Board of Directors. At least twenty four (24) hours before each special meeting of the Board of Directors, or such shorter period as the person or persons calling such meeting may deem necessary or appropriate in the circumstances, either written notice, notice by electronic transmission or oral notice (either in person or by telephone) notice of the time, date and place of the meeting shall be given to each director. A meeting may be held at any time without notice if all of the directors are present or if those not present waive notice of the meeting in accordance with Section 6.03. Unless otherwise indicated in the notice thereof, any and all business may be transacted at a special meeting.</w:t>
      </w:r>
    </w:p>
    <w:p>
      <w:pPr>
        <w:spacing w:after="0" w:line="208" w:lineRule="exact"/>
        <w:rPr>
          <w:sz w:val="20"/>
          <w:szCs w:val="20"/>
          <w:color w:val="auto"/>
        </w:rPr>
      </w:pPr>
    </w:p>
    <w:p>
      <w:pPr>
        <w:ind w:left="120" w:right="140" w:firstLine="1296"/>
        <w:spacing w:after="0" w:line="246"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Quorum, Voting and Adjournment</w:t>
      </w:r>
      <w:r>
        <w:rPr>
          <w:rFonts w:ascii="Times New Roman" w:cs="Times New Roman" w:eastAsia="Times New Roman" w:hAnsi="Times New Roman"/>
          <w:sz w:val="20"/>
          <w:szCs w:val="20"/>
          <w:color w:val="auto"/>
        </w:rPr>
        <w:t>. A majority of the total number of directors shall constitute a quorum for the transaction of business. Except as otherwise provided by law, the Amended and Restated Certificate of Incorporation or these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212" w:lineRule="exact"/>
        <w:rPr>
          <w:sz w:val="20"/>
          <w:szCs w:val="20"/>
          <w:color w:val="auto"/>
        </w:rPr>
      </w:pPr>
    </w:p>
    <w:p>
      <w:pPr>
        <w:ind w:left="120" w:right="180" w:firstLine="1296"/>
        <w:spacing w:after="0" w:line="239"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Committees; Committee Rules</w:t>
      </w:r>
      <w:r>
        <w:rPr>
          <w:rFonts w:ascii="Times New Roman" w:cs="Times New Roman" w:eastAsia="Times New Roman" w:hAnsi="Times New Roman"/>
          <w:sz w:val="20"/>
          <w:szCs w:val="20"/>
          <w:color w:val="auto"/>
        </w:rPr>
        <w:t>. The Board of Directors may designate one or more committees, including but not limited to an Audit Committee and a Compensation Committee, each such committee to consist of one or more of the directors of the Corporation.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20"/>
          </w:cols>
          <w:pgMar w:left="320" w:top="130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color w:val="auto"/>
        </w:rPr>
        <w:t>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 Except as may be provided in any resolutions of the Board of Directors establishing or designating a committee, the Board of Directors shall have the power at any time to fill vacancies in, to change the membership of or to dissolve any committee of the Board of Directors.</w:t>
      </w:r>
    </w:p>
    <w:p>
      <w:pPr>
        <w:spacing w:after="0" w:line="210" w:lineRule="exact"/>
        <w:rPr>
          <w:sz w:val="20"/>
          <w:szCs w:val="20"/>
          <w:color w:val="auto"/>
        </w:rPr>
      </w:pPr>
    </w:p>
    <w:p>
      <w:pPr>
        <w:ind w:right="160" w:firstLine="1296"/>
        <w:spacing w:after="0" w:line="245"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Action Without a Meeting</w:t>
      </w:r>
      <w:r>
        <w:rPr>
          <w:rFonts w:ascii="Times New Roman" w:cs="Times New Roman" w:eastAsia="Times New Roman" w:hAnsi="Times New Roman"/>
          <w:sz w:val="20"/>
          <w:szCs w:val="20"/>
          <w:color w:val="auto"/>
        </w:rPr>
        <w:t>. Unless otherwise restricted by the Amended and Restated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and the writing or writings or electronic transmission or transmissions are filed in the minutes of proceedings of the Board of Directors. Such filing shall be in paper form if the minutes are maintained in paper form or shall be in electronic form if the minutes are maintained in electronic form.</w:t>
      </w:r>
    </w:p>
    <w:p>
      <w:pPr>
        <w:spacing w:after="0" w:line="211" w:lineRule="exact"/>
        <w:rPr>
          <w:sz w:val="20"/>
          <w:szCs w:val="20"/>
          <w:color w:val="auto"/>
        </w:rPr>
      </w:pPr>
    </w:p>
    <w:p>
      <w:pPr>
        <w:ind w:right="100" w:firstLine="1296"/>
        <w:spacing w:after="0" w:line="243"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Remote Meeting</w:t>
      </w:r>
      <w:r>
        <w:rPr>
          <w:rFonts w:ascii="Times New Roman" w:cs="Times New Roman" w:eastAsia="Times New Roman" w:hAnsi="Times New Roman"/>
          <w:sz w:val="20"/>
          <w:szCs w:val="20"/>
          <w:color w:val="auto"/>
        </w:rPr>
        <w:t>. Unless otherwise restricted by the Amended and Restated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213" w:lineRule="exact"/>
        <w:rPr>
          <w:sz w:val="20"/>
          <w:szCs w:val="20"/>
          <w:color w:val="auto"/>
        </w:rPr>
      </w:pPr>
    </w:p>
    <w:p>
      <w:pPr>
        <w:ind w:left="20" w:right="24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The Board of Directors shall have the authority to fix the compensation, including fees and reimbursement of expenses, of directors for services to the Corporation in any capacity.</w:t>
      </w:r>
    </w:p>
    <w:p>
      <w:pPr>
        <w:spacing w:after="0" w:line="186" w:lineRule="exact"/>
        <w:rPr>
          <w:sz w:val="20"/>
          <w:szCs w:val="20"/>
          <w:color w:val="auto"/>
        </w:rPr>
      </w:pPr>
    </w:p>
    <w:p>
      <w:pPr>
        <w:ind w:left="20" w:firstLine="1296"/>
        <w:spacing w:after="0" w:line="242"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Reliance on Books and Records.</w:t>
      </w:r>
      <w:r>
        <w:rPr>
          <w:rFonts w:ascii="Times New Roman" w:cs="Times New Roman" w:eastAsia="Times New Roman" w:hAnsi="Times New Roman"/>
          <w:sz w:val="20"/>
          <w:szCs w:val="20"/>
          <w:color w:val="auto"/>
        </w:rPr>
        <w:t xml:space="preserve">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215" w:lineRule="exact"/>
        <w:rPr>
          <w:sz w:val="20"/>
          <w:szCs w:val="20"/>
          <w:color w:val="auto"/>
        </w:rPr>
      </w:pPr>
    </w:p>
    <w:p>
      <w:pPr>
        <w:ind w:left="20" w:right="80" w:firstLine="1296"/>
        <w:spacing w:after="0" w:line="243" w:lineRule="auto"/>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Interested Directors</w:t>
      </w:r>
      <w:r>
        <w:rPr>
          <w:rFonts w:ascii="Times New Roman" w:cs="Times New Roman" w:eastAsia="Times New Roman" w:hAnsi="Times New Roman"/>
          <w:sz w:val="20"/>
          <w:szCs w:val="20"/>
          <w:color w:val="auto"/>
        </w:rPr>
        <w:t>.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940"/>
          </w:cols>
          <w:pgMar w:left="440" w:top="1305" w:right="519" w:bottom="1440" w:gutter="0" w:footer="0" w:header="0"/>
        </w:sectPr>
      </w:pPr>
    </w:p>
    <w:bookmarkStart w:id="20" w:name="page21"/>
    <w:bookmarkEnd w:id="20"/>
    <w:p>
      <w:pPr>
        <w:spacing w:after="0" w:line="241" w:lineRule="auto"/>
        <w:rPr>
          <w:sz w:val="20"/>
          <w:szCs w:val="20"/>
          <w:color w:val="auto"/>
        </w:rPr>
      </w:pPr>
      <w:r>
        <w:rPr>
          <w:rFonts w:ascii="Times New Roman" w:cs="Times New Roman" w:eastAsia="Times New Roman" w:hAnsi="Times New Roman"/>
          <w:sz w:val="20"/>
          <w:szCs w:val="20"/>
          <w:color w:val="auto"/>
        </w:rPr>
        <w:t>director’s or officer’s vote is counted for such purpose if: (A)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of Directors, a committee thereof or the stockholders. Interested directors may be counted in determining the presence of a quorum at a meeting of the Board of Directors or of a committee that authorizes the contract or transaction.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Officers</w:t>
      </w:r>
    </w:p>
    <w:p>
      <w:pPr>
        <w:spacing w:after="0" w:line="221" w:lineRule="exact"/>
        <w:rPr>
          <w:sz w:val="20"/>
          <w:szCs w:val="20"/>
          <w:color w:val="auto"/>
        </w:rPr>
      </w:pPr>
    </w:p>
    <w:p>
      <w:pPr>
        <w:ind w:right="160" w:firstLine="1296"/>
        <w:spacing w:after="0" w:line="242"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Number.</w:t>
      </w:r>
      <w:r>
        <w:rPr>
          <w:rFonts w:ascii="Times New Roman" w:cs="Times New Roman" w:eastAsia="Times New Roman" w:hAnsi="Times New Roman"/>
          <w:sz w:val="20"/>
          <w:szCs w:val="20"/>
          <w:color w:val="auto"/>
        </w:rPr>
        <w:t xml:space="preserve"> The officers of the Corporation shall include a Chief Executive Officer, a President, a principal financial officer, a principal accounting officer and a Secretary,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one or more Vice Presidents, including one or more Executive Vice Presidents, Senior Vice Presidents, a Treasurer and one or more Assistant Treasurers and one or more Assistant Secretaries, who shall hold their office for such terms and shall exercise such powers and perform such duties as shall be determined from time to time by the Board of Directors. Any number of offices may be held by the same person.</w:t>
      </w:r>
    </w:p>
    <w:p>
      <w:pPr>
        <w:spacing w:after="0" w:line="213" w:lineRule="exact"/>
        <w:rPr>
          <w:sz w:val="20"/>
          <w:szCs w:val="20"/>
          <w:color w:val="auto"/>
        </w:rPr>
      </w:pPr>
    </w:p>
    <w:p>
      <w:pPr>
        <w:ind w:right="120" w:firstLine="1296"/>
        <w:spacing w:after="0" w:line="244"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Other Officers and Agents</w:t>
      </w:r>
      <w:r>
        <w:rPr>
          <w:rFonts w:ascii="Times New Roman" w:cs="Times New Roman" w:eastAsia="Times New Roman" w:hAnsi="Times New Roman"/>
          <w:sz w:val="20"/>
          <w:szCs w:val="20"/>
          <w:color w:val="auto"/>
        </w:rPr>
        <w:t>.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 each of whom does not need to be a member of the Board of Directors.</w:t>
      </w:r>
    </w:p>
    <w:p>
      <w:pPr>
        <w:spacing w:after="0" w:line="212" w:lineRule="exact"/>
        <w:rPr>
          <w:sz w:val="20"/>
          <w:szCs w:val="20"/>
          <w:color w:val="auto"/>
        </w:rPr>
      </w:pPr>
    </w:p>
    <w:p>
      <w:pPr>
        <w:ind w:right="80" w:firstLine="1296"/>
        <w:spacing w:after="0" w:line="260" w:lineRule="auto"/>
        <w:rPr>
          <w:sz w:val="20"/>
          <w:szCs w:val="20"/>
          <w:color w:val="auto"/>
        </w:rPr>
      </w:pPr>
      <w:r>
        <w:rPr>
          <w:rFonts w:ascii="Times New Roman" w:cs="Times New Roman" w:eastAsia="Times New Roman" w:hAnsi="Times New Roman"/>
          <w:sz w:val="19"/>
          <w:szCs w:val="19"/>
          <w:color w:val="auto"/>
        </w:rPr>
        <w:t xml:space="preserve">SECTION 4.03 </w:t>
      </w:r>
      <w:r>
        <w:rPr>
          <w:rFonts w:ascii="Times New Roman" w:cs="Times New Roman" w:eastAsia="Times New Roman" w:hAnsi="Times New Roman"/>
          <w:sz w:val="19"/>
          <w:szCs w:val="19"/>
          <w:u w:val="single" w:color="auto"/>
          <w:color w:val="auto"/>
        </w:rPr>
        <w:t>Chief Executive Officer/President</w:t>
      </w:r>
      <w:r>
        <w:rPr>
          <w:rFonts w:ascii="Times New Roman" w:cs="Times New Roman" w:eastAsia="Times New Roman" w:hAnsi="Times New Roman"/>
          <w:sz w:val="19"/>
          <w:szCs w:val="19"/>
          <w:color w:val="auto"/>
        </w:rPr>
        <w:t>. The Chief Executive Officer, who may also be the President, subject to the determination of the Board of Directors,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 of the Board of Directors or in the absence or inability to act as the Chair of the Board of Directors, the Chief Executive Officer shall exercise all of the powers and discharge all of the duties of the Chair of the Board of Directors, but only if the Chief Executive Officer is a director of the Corporation.</w:t>
      </w:r>
    </w:p>
    <w:p>
      <w:pPr>
        <w:spacing w:after="0" w:line="186" w:lineRule="exact"/>
        <w:rPr>
          <w:sz w:val="20"/>
          <w:szCs w:val="20"/>
          <w:color w:val="auto"/>
        </w:rPr>
      </w:pPr>
    </w:p>
    <w:p>
      <w:pPr>
        <w:jc w:val="both"/>
        <w:ind w:right="240" w:firstLine="1296"/>
        <w:spacing w:after="0" w:line="254" w:lineRule="auto"/>
        <w:rPr>
          <w:sz w:val="20"/>
          <w:szCs w:val="20"/>
          <w:color w:val="auto"/>
        </w:rPr>
      </w:pPr>
      <w:r>
        <w:rPr>
          <w:rFonts w:ascii="Times New Roman" w:cs="Times New Roman" w:eastAsia="Times New Roman" w:hAnsi="Times New Roman"/>
          <w:sz w:val="20"/>
          <w:szCs w:val="20"/>
          <w:color w:val="auto"/>
        </w:rPr>
        <w:t xml:space="preserve">SECTION 4.04 </w:t>
      </w:r>
      <w:r>
        <w:rPr>
          <w:rFonts w:ascii="Times New Roman" w:cs="Times New Roman" w:eastAsia="Times New Roman" w:hAnsi="Times New Roman"/>
          <w:sz w:val="20"/>
          <w:szCs w:val="20"/>
          <w:u w:val="single" w:color="auto"/>
          <w:color w:val="auto"/>
        </w:rPr>
        <w:t>Vice Presidents</w:t>
      </w:r>
      <w:r>
        <w:rPr>
          <w:rFonts w:ascii="Times New Roman" w:cs="Times New Roman" w:eastAsia="Times New Roman" w:hAnsi="Times New Roman"/>
          <w:sz w:val="20"/>
          <w:szCs w:val="20"/>
          <w:color w:val="auto"/>
        </w:rPr>
        <w:t>. Each Vice President, if any are appointed, of whom one or more may be designated an Executive Vice President or Senior Vice President, shall have such powers and shall perform such duties as shall be assigned to him or her by the Chief Executive Officer or the Board of Directors.</w:t>
      </w:r>
    </w:p>
    <w:p>
      <w:pPr>
        <w:spacing w:after="0" w:line="201" w:lineRule="exact"/>
        <w:rPr>
          <w:sz w:val="20"/>
          <w:szCs w:val="20"/>
          <w:color w:val="auto"/>
        </w:rPr>
      </w:pPr>
    </w:p>
    <w:p>
      <w:pPr>
        <w:ind w:right="140" w:firstLine="1296"/>
        <w:spacing w:after="0" w:line="242" w:lineRule="auto"/>
        <w:rPr>
          <w:sz w:val="20"/>
          <w:szCs w:val="20"/>
          <w:color w:val="auto"/>
        </w:rPr>
      </w:pPr>
      <w:r>
        <w:rPr>
          <w:rFonts w:ascii="Times New Roman" w:cs="Times New Roman" w:eastAsia="Times New Roman" w:hAnsi="Times New Roman"/>
          <w:sz w:val="20"/>
          <w:szCs w:val="20"/>
          <w:color w:val="auto"/>
        </w:rPr>
        <w:t xml:space="preserve">SECTION 4.05 </w:t>
      </w:r>
      <w:r>
        <w:rPr>
          <w:rFonts w:ascii="Times New Roman" w:cs="Times New Roman" w:eastAsia="Times New Roman" w:hAnsi="Times New Roman"/>
          <w:sz w:val="20"/>
          <w:szCs w:val="20"/>
          <w:u w:val="single" w:color="auto"/>
          <w:color w:val="auto"/>
        </w:rPr>
        <w:t>Treasurer</w:t>
      </w:r>
      <w:r>
        <w:rPr>
          <w:rFonts w:ascii="Times New Roman" w:cs="Times New Roman" w:eastAsia="Times New Roman" w:hAnsi="Times New Roman"/>
          <w:sz w:val="20"/>
          <w:szCs w:val="20"/>
          <w:color w:val="auto"/>
        </w:rPr>
        <w:t>. The Treasurer, if any is appointed,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980"/>
          </w:cols>
          <w:pgMar w:left="460" w:top="1305" w:right="459" w:bottom="1440" w:gutter="0" w:footer="0" w:header="0"/>
        </w:sectPr>
      </w:pPr>
    </w:p>
    <w:bookmarkStart w:id="21" w:name="page22"/>
    <w:bookmarkEnd w:id="21"/>
    <w:p>
      <w:pPr>
        <w:spacing w:after="0" w:line="249" w:lineRule="auto"/>
        <w:rPr>
          <w:sz w:val="20"/>
          <w:szCs w:val="20"/>
          <w:color w:val="auto"/>
        </w:rPr>
      </w:pPr>
      <w:r>
        <w:rPr>
          <w:rFonts w:ascii="Times New Roman" w:cs="Times New Roman" w:eastAsia="Times New Roman" w:hAnsi="Times New Roman"/>
          <w:sz w:val="20"/>
          <w:szCs w:val="20"/>
          <w:color w:val="auto"/>
        </w:rPr>
        <w:t>report of the financial condition of the Corporation. If required by the Board of Directors, the Treasurer shall give the Corporation a bond for the faithful discharge of his or her duties in such amount and with such surety as the Board of Directors shall prescribe. In addition, the Treasurer shall have such further powers and perform such other duties incident to the office of Treasurer as from time to time are assigned to him or her by the Chief Executive Officer or the Board of Directors.</w:t>
      </w:r>
    </w:p>
    <w:p>
      <w:pPr>
        <w:spacing w:after="0" w:line="207" w:lineRule="exact"/>
        <w:rPr>
          <w:sz w:val="20"/>
          <w:szCs w:val="20"/>
          <w:color w:val="auto"/>
        </w:rPr>
      </w:pPr>
    </w:p>
    <w:p>
      <w:pPr>
        <w:ind w:right="100" w:firstLine="1296"/>
        <w:spacing w:after="0" w:line="243" w:lineRule="auto"/>
        <w:rPr>
          <w:sz w:val="20"/>
          <w:szCs w:val="20"/>
          <w:color w:val="auto"/>
        </w:rPr>
      </w:pPr>
      <w:r>
        <w:rPr>
          <w:rFonts w:ascii="Times New Roman" w:cs="Times New Roman" w:eastAsia="Times New Roman" w:hAnsi="Times New Roman"/>
          <w:sz w:val="20"/>
          <w:szCs w:val="20"/>
          <w:color w:val="auto"/>
        </w:rPr>
        <w:t xml:space="preserve">SECTION 4.06 </w:t>
      </w:r>
      <w:r>
        <w:rPr>
          <w:rFonts w:ascii="Times New Roman" w:cs="Times New Roman" w:eastAsia="Times New Roman" w:hAnsi="Times New Roman"/>
          <w:sz w:val="20"/>
          <w:szCs w:val="20"/>
          <w:u w:val="single" w:color="auto"/>
          <w:color w:val="auto"/>
        </w:rPr>
        <w:t>Secretary</w:t>
      </w:r>
      <w:r>
        <w:rPr>
          <w:rFonts w:ascii="Times New Roman" w:cs="Times New Roman" w:eastAsia="Times New Roman" w:hAnsi="Times New Roman"/>
          <w:sz w:val="20"/>
          <w:szCs w:val="20"/>
          <w:color w:val="auto"/>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spacing w:after="0" w:line="213" w:lineRule="exact"/>
        <w:rPr>
          <w:sz w:val="20"/>
          <w:szCs w:val="20"/>
          <w:color w:val="auto"/>
        </w:rPr>
      </w:pPr>
    </w:p>
    <w:p>
      <w:pPr>
        <w:ind w:right="220" w:firstLine="1296"/>
        <w:spacing w:after="0" w:line="243" w:lineRule="auto"/>
        <w:rPr>
          <w:sz w:val="20"/>
          <w:szCs w:val="20"/>
          <w:color w:val="auto"/>
        </w:rPr>
      </w:pPr>
      <w:r>
        <w:rPr>
          <w:rFonts w:ascii="Times New Roman" w:cs="Times New Roman" w:eastAsia="Times New Roman" w:hAnsi="Times New Roman"/>
          <w:sz w:val="20"/>
          <w:szCs w:val="20"/>
          <w:color w:val="auto"/>
        </w:rPr>
        <w:t xml:space="preserve">SECTION 4.07 </w:t>
      </w:r>
      <w:r>
        <w:rPr>
          <w:rFonts w:ascii="Times New Roman" w:cs="Times New Roman" w:eastAsia="Times New Roman" w:hAnsi="Times New Roman"/>
          <w:sz w:val="20"/>
          <w:szCs w:val="20"/>
          <w:u w:val="single" w:color="auto"/>
          <w:color w:val="auto"/>
        </w:rPr>
        <w:t>Assistant Treasurers and Assistant Secretaries</w:t>
      </w:r>
      <w:r>
        <w:rPr>
          <w:rFonts w:ascii="Times New Roman" w:cs="Times New Roman" w:eastAsia="Times New Roman" w:hAnsi="Times New Roman"/>
          <w:sz w:val="20"/>
          <w:szCs w:val="20"/>
          <w:color w:val="auto"/>
        </w:rPr>
        <w:t>. Each Assistant Treasurer and each Assistant Secretary, if any are appointed,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spacing w:after="0" w:line="213" w:lineRule="exact"/>
        <w:rPr>
          <w:sz w:val="20"/>
          <w:szCs w:val="20"/>
          <w:color w:val="auto"/>
        </w:rPr>
      </w:pPr>
    </w:p>
    <w:p>
      <w:pPr>
        <w:ind w:right="8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4.08 </w:t>
      </w:r>
      <w:r>
        <w:rPr>
          <w:rFonts w:ascii="Times New Roman" w:cs="Times New Roman" w:eastAsia="Times New Roman" w:hAnsi="Times New Roman"/>
          <w:sz w:val="20"/>
          <w:szCs w:val="20"/>
          <w:u w:val="single" w:color="auto"/>
          <w:color w:val="auto"/>
        </w:rPr>
        <w:t>Corporate Funds and Checks</w:t>
      </w:r>
      <w:r>
        <w:rPr>
          <w:rFonts w:ascii="Times New Roman" w:cs="Times New Roman" w:eastAsia="Times New Roman" w:hAnsi="Times New Roman"/>
          <w:sz w:val="20"/>
          <w:szCs w:val="20"/>
          <w:color w:val="auto"/>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w:t>
      </w:r>
    </w:p>
    <w:p>
      <w:pPr>
        <w:spacing w:after="0" w:line="207" w:lineRule="exact"/>
        <w:rPr>
          <w:sz w:val="20"/>
          <w:szCs w:val="20"/>
          <w:color w:val="auto"/>
        </w:rPr>
      </w:pPr>
    </w:p>
    <w:p>
      <w:pPr>
        <w:ind w:right="380" w:firstLine="1296"/>
        <w:spacing w:after="0" w:line="243" w:lineRule="auto"/>
        <w:rPr>
          <w:sz w:val="20"/>
          <w:szCs w:val="20"/>
          <w:color w:val="auto"/>
        </w:rPr>
      </w:pPr>
      <w:r>
        <w:rPr>
          <w:rFonts w:ascii="Times New Roman" w:cs="Times New Roman" w:eastAsia="Times New Roman" w:hAnsi="Times New Roman"/>
          <w:sz w:val="20"/>
          <w:szCs w:val="20"/>
          <w:color w:val="auto"/>
        </w:rPr>
        <w:t xml:space="preserve">SECTION 4.09 </w:t>
      </w:r>
      <w:r>
        <w:rPr>
          <w:rFonts w:ascii="Times New Roman" w:cs="Times New Roman" w:eastAsia="Times New Roman" w:hAnsi="Times New Roman"/>
          <w:sz w:val="20"/>
          <w:szCs w:val="20"/>
          <w:u w:val="single" w:color="auto"/>
          <w:color w:val="auto"/>
        </w:rPr>
        <w:t>Contracts and Other Documents</w:t>
      </w:r>
      <w:r>
        <w:rPr>
          <w:rFonts w:ascii="Times New Roman" w:cs="Times New Roman" w:eastAsia="Times New Roman" w:hAnsi="Times New Roman"/>
          <w:sz w:val="20"/>
          <w:szCs w:val="20"/>
          <w:color w:val="auto"/>
        </w:rPr>
        <w:t>. The Chief Executive Officer and the Secretary, or such other officer or officers as may from time to time be authorized by the Board of Directors or any other committee given specific authority in the premises by the Board of Directors during the intervals between the meetings of the Board of Directors, shall have power to sign and execute on behalf of the Corporation deeds, conveyances and contracts, and any and all other documents requiring execution by the Corporation.</w:t>
      </w:r>
    </w:p>
    <w:p>
      <w:pPr>
        <w:spacing w:after="0" w:line="213" w:lineRule="exact"/>
        <w:rPr>
          <w:sz w:val="20"/>
          <w:szCs w:val="20"/>
          <w:color w:val="auto"/>
        </w:rPr>
      </w:pPr>
    </w:p>
    <w:p>
      <w:pPr>
        <w:ind w:right="100" w:firstLine="1296"/>
        <w:spacing w:after="0" w:line="242" w:lineRule="auto"/>
        <w:rPr>
          <w:sz w:val="20"/>
          <w:szCs w:val="20"/>
          <w:color w:val="auto"/>
        </w:rPr>
      </w:pPr>
      <w:r>
        <w:rPr>
          <w:rFonts w:ascii="Times New Roman" w:cs="Times New Roman" w:eastAsia="Times New Roman" w:hAnsi="Times New Roman"/>
          <w:sz w:val="20"/>
          <w:szCs w:val="20"/>
          <w:color w:val="auto"/>
        </w:rPr>
        <w:t xml:space="preserve">SECTION 4.10 </w:t>
      </w:r>
      <w:r>
        <w:rPr>
          <w:rFonts w:ascii="Times New Roman" w:cs="Times New Roman" w:eastAsia="Times New Roman" w:hAnsi="Times New Roman"/>
          <w:sz w:val="20"/>
          <w:szCs w:val="20"/>
          <w:u w:val="single" w:color="auto"/>
          <w:color w:val="auto"/>
        </w:rPr>
        <w:t>Ownership of Stock of Another Corporation</w:t>
      </w:r>
      <w:r>
        <w:rPr>
          <w:rFonts w:ascii="Times New Roman" w:cs="Times New Roman" w:eastAsia="Times New Roman" w:hAnsi="Times New Roman"/>
          <w:sz w:val="20"/>
          <w:szCs w:val="20"/>
          <w:color w:val="auto"/>
        </w:rPr>
        <w:t>.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215" w:lineRule="exact"/>
        <w:rPr>
          <w:sz w:val="20"/>
          <w:szCs w:val="20"/>
          <w:color w:val="auto"/>
        </w:rPr>
      </w:pPr>
    </w:p>
    <w:p>
      <w:pPr>
        <w:ind w:right="4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SECTION 4.11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In the absence, disability or refusal of any officer to exercise and perform his or her duties, the Board of Directors may delegate to another officer such powers or duties.</w:t>
      </w:r>
    </w:p>
    <w:p>
      <w:pPr>
        <w:spacing w:after="0" w:line="186" w:lineRule="exact"/>
        <w:rPr>
          <w:sz w:val="20"/>
          <w:szCs w:val="20"/>
          <w:color w:val="auto"/>
        </w:rPr>
      </w:pPr>
    </w:p>
    <w:p>
      <w:pPr>
        <w:jc w:val="both"/>
        <w:ind w:right="380" w:firstLine="1296"/>
        <w:spacing w:after="0" w:line="254" w:lineRule="auto"/>
        <w:rPr>
          <w:sz w:val="20"/>
          <w:szCs w:val="20"/>
          <w:color w:val="auto"/>
        </w:rPr>
      </w:pPr>
      <w:r>
        <w:rPr>
          <w:rFonts w:ascii="Times New Roman" w:cs="Times New Roman" w:eastAsia="Times New Roman" w:hAnsi="Times New Roman"/>
          <w:sz w:val="20"/>
          <w:szCs w:val="20"/>
          <w:color w:val="auto"/>
        </w:rPr>
        <w:t xml:space="preserve">SECTION 4.12 Term; </w:t>
      </w:r>
      <w:r>
        <w:rPr>
          <w:rFonts w:ascii="Times New Roman" w:cs="Times New Roman" w:eastAsia="Times New Roman" w:hAnsi="Times New Roman"/>
          <w:sz w:val="20"/>
          <w:szCs w:val="20"/>
          <w:u w:val="single" w:color="auto"/>
          <w:color w:val="auto"/>
        </w:rPr>
        <w:t>Resignation and Removal</w:t>
      </w:r>
      <w:r>
        <w:rPr>
          <w:rFonts w:ascii="Times New Roman" w:cs="Times New Roman" w:eastAsia="Times New Roman" w:hAnsi="Times New Roman"/>
          <w:sz w:val="20"/>
          <w:szCs w:val="20"/>
          <w:color w:val="auto"/>
        </w:rPr>
        <w:t>. Each officer of the Corporation shall hold office until such officer’s successor is elected and qualified, or until such officer’s earlier death, resignation or removal. Any officer of the Corporation may be removed from office for or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960"/>
          </w:cols>
          <w:pgMar w:left="460" w:top="1305" w:right="479" w:bottom="1440" w:gutter="0" w:footer="0" w:header="0"/>
        </w:sectPr>
      </w:pPr>
    </w:p>
    <w:bookmarkStart w:id="22" w:name="page23"/>
    <w:bookmarkEnd w:id="22"/>
    <w:p>
      <w:pPr>
        <w:ind w:left="40" w:right="660"/>
        <w:spacing w:after="0" w:line="269" w:lineRule="auto"/>
        <w:rPr>
          <w:sz w:val="20"/>
          <w:szCs w:val="20"/>
          <w:color w:val="auto"/>
        </w:rPr>
      </w:pPr>
      <w:r>
        <w:rPr>
          <w:rFonts w:ascii="Times New Roman" w:cs="Times New Roman" w:eastAsia="Times New Roman" w:hAnsi="Times New Roman"/>
          <w:sz w:val="20"/>
          <w:szCs w:val="20"/>
          <w:color w:val="auto"/>
        </w:rPr>
        <w:t>cause at any time by the Board of Directors. Any officer may resign at any time in the same manner prescribed for directors under Section 3.03.</w:t>
      </w:r>
    </w:p>
    <w:p>
      <w:pPr>
        <w:spacing w:after="0" w:line="18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 xml:space="preserve">SECTION 4.13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The Board of Directors shall have the power to fill vacancies occurring in any office.</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Stock</w:t>
      </w:r>
    </w:p>
    <w:p>
      <w:pPr>
        <w:spacing w:after="0" w:line="221" w:lineRule="exact"/>
        <w:rPr>
          <w:sz w:val="20"/>
          <w:szCs w:val="20"/>
          <w:color w:val="auto"/>
        </w:rPr>
      </w:pPr>
    </w:p>
    <w:p>
      <w:pPr>
        <w:ind w:left="40" w:firstLine="1296"/>
        <w:spacing w:after="0" w:line="239" w:lineRule="auto"/>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Shares With Certificates</w:t>
      </w:r>
      <w:r>
        <w:rPr>
          <w:rFonts w:ascii="Times New Roman" w:cs="Times New Roman" w:eastAsia="Times New Roman" w:hAnsi="Times New Roman"/>
          <w:sz w:val="20"/>
          <w:szCs w:val="20"/>
          <w:color w:val="auto"/>
        </w:rPr>
        <w:t xml:space="preserve">. The shares of stock of the Corporation shall be represented by certificates,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Board of Directors may provide by resolution or resolutions that some or all of any or all classes or series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 of the Board of Directors, the Vice Chair of the Board of Directors, the Chief Executive Officer, the President, the Chief Financial Officer, a Vice President, the Treasurer, an Assistant Treasurer, the Secretary and an Assistant Secretary of the Corporation shall be an authorized officer for such purpose). Any or all of the signatures on the certificate may be a facsimile or other electronic signature.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221" w:lineRule="exact"/>
        <w:rPr>
          <w:sz w:val="20"/>
          <w:szCs w:val="20"/>
          <w:color w:val="auto"/>
        </w:rPr>
      </w:pPr>
    </w:p>
    <w:p>
      <w:pPr>
        <w:ind w:left="40" w:right="240" w:firstLine="1296"/>
        <w:spacing w:after="0" w:line="246" w:lineRule="auto"/>
        <w:rPr>
          <w:sz w:val="20"/>
          <w:szCs w:val="20"/>
          <w:color w:val="auto"/>
        </w:rPr>
      </w:pPr>
      <w:r>
        <w:rPr>
          <w:rFonts w:ascii="Times New Roman" w:cs="Times New Roman" w:eastAsia="Times New Roman" w:hAnsi="Times New Roman"/>
          <w:sz w:val="20"/>
          <w:szCs w:val="20"/>
          <w:color w:val="auto"/>
        </w:rPr>
        <w:t xml:space="preserve">SECTION 5.02 </w:t>
      </w:r>
      <w:r>
        <w:rPr>
          <w:rFonts w:ascii="Times New Roman" w:cs="Times New Roman" w:eastAsia="Times New Roman" w:hAnsi="Times New Roman"/>
          <w:sz w:val="20"/>
          <w:szCs w:val="20"/>
          <w:u w:val="single" w:color="auto"/>
          <w:color w:val="auto"/>
        </w:rPr>
        <w:t>Shares Without Certificates</w:t>
      </w:r>
      <w:r>
        <w:rPr>
          <w:rFonts w:ascii="Times New Roman" w:cs="Times New Roman" w:eastAsia="Times New Roman" w:hAnsi="Times New Roman"/>
          <w:sz w:val="20"/>
          <w:szCs w:val="20"/>
          <w:color w:val="auto"/>
        </w:rPr>
        <w:t xml:space="preserve">. If the Board of Directors chooses to issue shares of stock without certificates, the Corporation, if required by the DGCL, shall, within a reasonable time after the issue or transfer of shares without certificates, send the stockholder a written statement of the information required by the DGCL. The Corporation may adopt a system of issuance, recordation and transfer of its shares of stock by electronic or other means not involving the issuance of certificates,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the use of such system by the Corporation is permitted in accordance with applicable law.</w:t>
      </w:r>
    </w:p>
    <w:p>
      <w:pPr>
        <w:spacing w:after="0" w:line="198" w:lineRule="exact"/>
        <w:rPr>
          <w:sz w:val="20"/>
          <w:szCs w:val="20"/>
          <w:color w:val="auto"/>
        </w:rPr>
      </w:pPr>
    </w:p>
    <w:p>
      <w:pPr>
        <w:ind w:right="240" w:firstLine="1296"/>
        <w:spacing w:after="0" w:line="241"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Transfer of Shares</w:t>
      </w:r>
      <w:r>
        <w:rPr>
          <w:rFonts w:ascii="Times New Roman" w:cs="Times New Roman" w:eastAsia="Times New Roman" w:hAnsi="Times New Roman"/>
          <w:sz w:val="20"/>
          <w:szCs w:val="20"/>
          <w:color w:val="auto"/>
        </w:rPr>
        <w:t>. Shares of stock of the Corporation shall be transferable upon its books by the holders thereof, in person or by their duly authorized attorneys or legal representatives, in the manner prescribed by law, the Amended and Restated Certificate of Incorporation and in these Bylaws,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of Directors shall have power and authority to make such rules and regulations as it may deem necessary or proper concerning the issue, transfer and registration of certificates for shares of stock of the Corporation.</w:t>
      </w:r>
    </w:p>
    <w:p>
      <w:pPr>
        <w:spacing w:after="0" w:line="215" w:lineRule="exact"/>
        <w:rPr>
          <w:sz w:val="20"/>
          <w:szCs w:val="20"/>
          <w:color w:val="auto"/>
        </w:rPr>
      </w:pPr>
    </w:p>
    <w:p>
      <w:pPr>
        <w:ind w:right="100" w:firstLine="1296"/>
        <w:spacing w:after="0" w:line="242"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Lost, Stolen, Destroyed or Mutilated Certificates</w:t>
      </w:r>
      <w:r>
        <w:rPr>
          <w:rFonts w:ascii="Times New Roman" w:cs="Times New Roman" w:eastAsia="Times New Roman" w:hAnsi="Times New Roman"/>
          <w:sz w:val="20"/>
          <w:szCs w:val="20"/>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980"/>
          </w:cols>
          <w:pgMar w:left="420" w:top="1305" w:right="499" w:bottom="1440" w:gutter="0" w:footer="0" w:header="0"/>
        </w:sectPr>
      </w:pPr>
    </w:p>
    <w:bookmarkStart w:id="23" w:name="page24"/>
    <w:bookmarkEnd w:id="23"/>
    <w:p>
      <w:pPr>
        <w:ind w:right="380"/>
        <w:spacing w:after="0" w:line="254" w:lineRule="auto"/>
        <w:rPr>
          <w:sz w:val="20"/>
          <w:szCs w:val="20"/>
          <w:color w:val="auto"/>
        </w:rPr>
      </w:pPr>
      <w:r>
        <w:rPr>
          <w:rFonts w:ascii="Times New Roman" w:cs="Times New Roman" w:eastAsia="Times New Roman" w:hAnsi="Times New Roman"/>
          <w:sz w:val="20"/>
          <w:szCs w:val="20"/>
          <w:color w:val="auto"/>
        </w:rPr>
        <w:t>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201" w:lineRule="exact"/>
        <w:rPr>
          <w:sz w:val="20"/>
          <w:szCs w:val="20"/>
          <w:color w:val="auto"/>
        </w:rPr>
      </w:pPr>
    </w:p>
    <w:p>
      <w:pPr>
        <w:ind w:right="60" w:firstLine="1296"/>
        <w:spacing w:after="0" w:line="244" w:lineRule="auto"/>
        <w:rPr>
          <w:sz w:val="20"/>
          <w:szCs w:val="20"/>
          <w:color w:val="auto"/>
        </w:rPr>
      </w:pPr>
      <w:r>
        <w:rPr>
          <w:rFonts w:ascii="Times New Roman" w:cs="Times New Roman" w:eastAsia="Times New Roman" w:hAnsi="Times New Roman"/>
          <w:sz w:val="19"/>
          <w:szCs w:val="19"/>
          <w:color w:val="auto"/>
        </w:rPr>
        <w:t xml:space="preserve">SECTION 5.05 </w:t>
      </w:r>
      <w:r>
        <w:rPr>
          <w:rFonts w:ascii="Times New Roman" w:cs="Times New Roman" w:eastAsia="Times New Roman" w:hAnsi="Times New Roman"/>
          <w:sz w:val="19"/>
          <w:szCs w:val="19"/>
          <w:u w:val="single" w:color="auto"/>
          <w:color w:val="auto"/>
        </w:rPr>
        <w:t>List of Stockholders Entitled To Vote</w:t>
      </w:r>
      <w:r>
        <w:rPr>
          <w:rFonts w:ascii="Times New Roman" w:cs="Times New Roman" w:eastAsia="Times New Roman" w:hAnsi="Times New Roman"/>
          <w:sz w:val="19"/>
          <w:szCs w:val="19"/>
          <w:color w:val="auto"/>
        </w:rPr>
        <w:t>. The Corporation shall prepare, at least ten (10) days before every meeting of stockholders, a complete list of the stockholders entitled to vote at the meeting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the record date for determining the stockholders entitled to vote is less than ten (10) days before the date of the meeting, the list shall reflect the stockholders entitled to vote as of the tenth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day before the meeting date), arranged in alphabetical order, and showing the address of each stockholder and the number of shares registered in the name of each stockholder. Nothing in this Section 5.05 shall require the Corporation to include electronic mail addresses or other electronic contact information on such list. Such list shall be open to the examination of any stockholder, for any purpose germane to the meeting at least ten (10) days ending on the day before the meeting date</w:t>
      </w:r>
    </w:p>
    <w:p>
      <w:pPr>
        <w:spacing w:after="0" w:line="2" w:lineRule="exact"/>
        <w:rPr>
          <w:sz w:val="20"/>
          <w:szCs w:val="20"/>
          <w:color w:val="auto"/>
        </w:rPr>
      </w:pPr>
    </w:p>
    <w:p>
      <w:pPr>
        <w:ind w:right="40" w:firstLine="8"/>
        <w:spacing w:after="0" w:line="238" w:lineRule="auto"/>
        <w:tabs>
          <w:tab w:leader="none" w:pos="32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 reasonably accessible electronic network,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5.05 or to vote in person or by proxy at any meeting of stockholders.</w:t>
      </w:r>
    </w:p>
    <w:p>
      <w:pPr>
        <w:spacing w:after="0" w:line="2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Fixing Date for Determination of Stockholders of Record.</w:t>
      </w:r>
    </w:p>
    <w:p>
      <w:pPr>
        <w:spacing w:after="0" w:line="243" w:lineRule="exact"/>
        <w:rPr>
          <w:sz w:val="20"/>
          <w:szCs w:val="20"/>
          <w:color w:val="auto"/>
        </w:rPr>
      </w:pPr>
    </w:p>
    <w:p>
      <w:pPr>
        <w:ind w:left="80" w:firstLine="1296"/>
        <w:spacing w:after="0" w:line="238" w:lineRule="auto"/>
        <w:tabs>
          <w:tab w:leader="none" w:pos="185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38" w:lineRule="exact"/>
        <w:rPr>
          <w:rFonts w:ascii="Times New Roman" w:cs="Times New Roman" w:eastAsia="Times New Roman" w:hAnsi="Times New Roman"/>
          <w:sz w:val="22"/>
          <w:szCs w:val="22"/>
          <w:color w:val="auto"/>
        </w:rPr>
      </w:pPr>
    </w:p>
    <w:p>
      <w:pPr>
        <w:jc w:val="both"/>
        <w:ind w:left="80" w:right="120" w:firstLine="1296"/>
        <w:spacing w:after="0" w:line="241" w:lineRule="auto"/>
        <w:tabs>
          <w:tab w:leader="none" w:pos="183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960"/>
          </w:cols>
          <w:pgMar w:left="420" w:top="1305" w:right="519" w:bottom="1440" w:gutter="0" w:footer="0" w:header="0"/>
        </w:sectPr>
      </w:pPr>
    </w:p>
    <w:bookmarkStart w:id="24" w:name="page25"/>
    <w:bookmarkEnd w:id="24"/>
    <w:p>
      <w:pPr>
        <w:ind w:left="60" w:right="160"/>
        <w:spacing w:after="0" w:line="246" w:lineRule="auto"/>
        <w:rPr>
          <w:sz w:val="20"/>
          <w:szCs w:val="20"/>
          <w:color w:val="auto"/>
        </w:rPr>
      </w:pPr>
      <w:r>
        <w:rPr>
          <w:rFonts w:ascii="Times New Roman" w:cs="Times New Roman" w:eastAsia="Times New Roman" w:hAnsi="Times New Roman"/>
          <w:sz w:val="20"/>
          <w:szCs w:val="20"/>
          <w:color w:val="auto"/>
        </w:rPr>
        <w:t>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 w:lineRule="exact"/>
        <w:rPr>
          <w:sz w:val="20"/>
          <w:szCs w:val="20"/>
          <w:color w:val="auto"/>
        </w:rPr>
      </w:pPr>
    </w:p>
    <w:p>
      <w:pPr>
        <w:ind w:left="60" w:firstLine="1296"/>
        <w:spacing w:after="0" w:line="238" w:lineRule="auto"/>
        <w:tabs>
          <w:tab w:leader="none" w:pos="181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Unless otherwise restricted by the Amended and Restated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(a)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(b) if prior action by the Board of Directors is required by law, the record date for such purpose shall be at the close of business on the day on which the Board of Directors adopts the resolution taking such prior action.</w:t>
      </w:r>
    </w:p>
    <w:p>
      <w:pPr>
        <w:spacing w:after="0" w:line="215" w:lineRule="exact"/>
        <w:rPr>
          <w:sz w:val="20"/>
          <w:szCs w:val="20"/>
          <w:color w:val="auto"/>
        </w:rPr>
      </w:pPr>
    </w:p>
    <w:p>
      <w:pPr>
        <w:ind w:right="80" w:firstLine="1296"/>
        <w:spacing w:after="0" w:line="242"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Registered Stockholders</w:t>
      </w:r>
      <w:r>
        <w:rPr>
          <w:rFonts w:ascii="Times New Roman" w:cs="Times New Roman" w:eastAsia="Times New Roman" w:hAnsi="Times New Roman"/>
          <w:sz w:val="20"/>
          <w:szCs w:val="20"/>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and Waiver of Notice</w:t>
      </w:r>
    </w:p>
    <w:p>
      <w:pPr>
        <w:spacing w:after="0" w:line="221" w:lineRule="exact"/>
        <w:rPr>
          <w:sz w:val="20"/>
          <w:szCs w:val="20"/>
          <w:color w:val="auto"/>
        </w:rPr>
      </w:pPr>
    </w:p>
    <w:p>
      <w:pPr>
        <w:ind w:right="340" w:firstLine="1296"/>
        <w:spacing w:after="0" w:line="244" w:lineRule="auto"/>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Notice to Stockholders</w:t>
      </w:r>
      <w:r>
        <w:rPr>
          <w:rFonts w:ascii="Times New Roman" w:cs="Times New Roman" w:eastAsia="Times New Roman" w:hAnsi="Times New Roman"/>
          <w:sz w:val="20"/>
          <w:szCs w:val="20"/>
          <w:color w:val="auto"/>
        </w:rPr>
        <w:t>. If mailed, notice to stockholders shall be deemed given when deposited in the United States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226" w:lineRule="exact"/>
        <w:rPr>
          <w:sz w:val="20"/>
          <w:szCs w:val="20"/>
          <w:color w:val="auto"/>
        </w:rPr>
      </w:pPr>
    </w:p>
    <w:p>
      <w:pPr>
        <w:jc w:val="both"/>
        <w:ind w:right="46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Notice to Directors</w:t>
      </w:r>
      <w:r>
        <w:rPr>
          <w:rFonts w:ascii="Times New Roman" w:cs="Times New Roman" w:eastAsia="Times New Roman" w:hAnsi="Times New Roman"/>
          <w:sz w:val="20"/>
          <w:szCs w:val="20"/>
          <w:color w:val="auto"/>
        </w:rPr>
        <w:t>. If mailed or sent by overnight courier, notice to directors shall be deemed given when deposited in the United States mail, postage prepaid or deposited with the overnight courier. Notice to directors by facsimile or other electronic transmission shall be deemed given when the notice is transmitted.</w:t>
      </w:r>
    </w:p>
    <w:p>
      <w:pPr>
        <w:spacing w:after="0" w:line="181"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color w:val="auto"/>
        </w:rPr>
        <w:t xml:space="preserve">SECTION 6.03 </w:t>
      </w:r>
      <w:r>
        <w:rPr>
          <w:rFonts w:ascii="Times New Roman" w:cs="Times New Roman" w:eastAsia="Times New Roman" w:hAnsi="Times New Roman"/>
          <w:sz w:val="20"/>
          <w:szCs w:val="20"/>
          <w:u w:val="single" w:color="auto"/>
          <w:color w:val="auto"/>
        </w:rPr>
        <w:t>Waiver of Notice</w:t>
      </w:r>
      <w:r>
        <w:rPr>
          <w:rFonts w:ascii="Times New Roman" w:cs="Times New Roman" w:eastAsia="Times New Roman" w:hAnsi="Times New Roman"/>
          <w:sz w:val="20"/>
          <w:szCs w:val="20"/>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980"/>
          </w:cols>
          <w:pgMar w:left="440" w:top="1305" w:right="479" w:bottom="1440" w:gutter="0" w:footer="0" w:header="0"/>
        </w:sectPr>
      </w:pPr>
    </w:p>
    <w:bookmarkStart w:id="25" w:name="page26"/>
    <w:bookmarkEnd w:id="25"/>
    <w:p>
      <w:pPr>
        <w:ind w:left="1420"/>
        <w:spacing w:after="0"/>
        <w:rPr>
          <w:sz w:val="20"/>
          <w:szCs w:val="20"/>
          <w:color w:val="auto"/>
        </w:rPr>
      </w:pPr>
      <w:r>
        <w:rPr>
          <w:rFonts w:ascii="Times New Roman" w:cs="Times New Roman" w:eastAsia="Times New Roman" w:hAnsi="Times New Roman"/>
          <w:sz w:val="20"/>
          <w:szCs w:val="20"/>
          <w:color w:val="auto"/>
        </w:rPr>
        <w:t xml:space="preserve">SECTION 7.01 </w:t>
      </w:r>
      <w:r>
        <w:rPr>
          <w:rFonts w:ascii="Times New Roman" w:cs="Times New Roman" w:eastAsia="Times New Roman" w:hAnsi="Times New Roman"/>
          <w:sz w:val="20"/>
          <w:szCs w:val="20"/>
          <w:u w:val="single" w:color="auto"/>
          <w:color w:val="auto"/>
        </w:rPr>
        <w:t>Right to Indemnification</w:t>
      </w:r>
      <w:r>
        <w:rPr>
          <w:rFonts w:ascii="Times New Roman" w:cs="Times New Roman" w:eastAsia="Times New Roman" w:hAnsi="Times New Roman"/>
          <w:sz w:val="20"/>
          <w:szCs w:val="20"/>
          <w:color w:val="auto"/>
        </w:rPr>
        <w:t>. Each person who was or is made a party or is threatened to be made a party to</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or is otherwise involved in any action, suit or proceeding, whether civil, criminal, administrative or investigative (hereinafter a</w:t>
      </w:r>
    </w:p>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by reason of the fact that he or she is or was a director or an officer of the Corporation or, while a director or officer of the</w:t>
      </w:r>
    </w:p>
    <w:p>
      <w:pPr>
        <w:ind w:left="120"/>
        <w:spacing w:after="0"/>
        <w:rPr>
          <w:sz w:val="20"/>
          <w:szCs w:val="20"/>
          <w:color w:val="auto"/>
        </w:rPr>
      </w:pPr>
      <w:r>
        <w:rPr>
          <w:rFonts w:ascii="Times New Roman" w:cs="Times New Roman" w:eastAsia="Times New Roman" w:hAnsi="Times New Roman"/>
          <w:sz w:val="20"/>
          <w:szCs w:val="20"/>
          <w:color w:val="auto"/>
        </w:rPr>
        <w:t>Corporation, is or was serving at the request of the Corporation as a director, officer, employee, agent or trustee of another corporation or</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of a partnership, joint venture, trust or other enterprise, including service with respect to an employee benefit plan (hereinafter an</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whether the basis of such proceeding is alleged action in an official capacity as a director, officer, employee, agent or</w:t>
      </w:r>
    </w:p>
    <w:p>
      <w:pPr>
        <w:ind w:left="120"/>
        <w:spacing w:after="0"/>
        <w:rPr>
          <w:sz w:val="20"/>
          <w:szCs w:val="20"/>
          <w:color w:val="auto"/>
        </w:rPr>
      </w:pPr>
      <w:r>
        <w:rPr>
          <w:rFonts w:ascii="Times New Roman" w:cs="Times New Roman" w:eastAsia="Times New Roman" w:hAnsi="Times New Roman"/>
          <w:sz w:val="20"/>
          <w:szCs w:val="20"/>
          <w:color w:val="auto"/>
        </w:rPr>
        <w:t>trustee or in any other capacity while serving as a director, officer, employee, agent or trustee, shall be indemnified and held harmless by</w:t>
      </w:r>
    </w:p>
    <w:p>
      <w:pPr>
        <w:ind w:left="120"/>
        <w:spacing w:after="0"/>
        <w:rPr>
          <w:sz w:val="20"/>
          <w:szCs w:val="20"/>
          <w:color w:val="auto"/>
        </w:rPr>
      </w:pPr>
      <w:r>
        <w:rPr>
          <w:rFonts w:ascii="Times New Roman" w:cs="Times New Roman" w:eastAsia="Times New Roman" w:hAnsi="Times New Roman"/>
          <w:sz w:val="20"/>
          <w:szCs w:val="20"/>
          <w:color w:val="auto"/>
        </w:rPr>
        <w:t>the Corporation to the fullest extent permitted by Delaware law, as the same exists or may hereafter be amended (but, in the case of any</w:t>
      </w:r>
    </w:p>
    <w:p>
      <w:pPr>
        <w:ind w:left="120"/>
        <w:spacing w:after="0"/>
        <w:rPr>
          <w:sz w:val="20"/>
          <w:szCs w:val="20"/>
          <w:color w:val="auto"/>
        </w:rPr>
      </w:pPr>
      <w:r>
        <w:rPr>
          <w:rFonts w:ascii="Times New Roman" w:cs="Times New Roman" w:eastAsia="Times New Roman" w:hAnsi="Times New Roman"/>
          <w:sz w:val="20"/>
          <w:szCs w:val="20"/>
          <w:color w:val="auto"/>
        </w:rPr>
        <w:t>such amendment, if permitted, only to the extent that such amendment permits the Corporation to provide broader indemnification rights</w:t>
      </w:r>
    </w:p>
    <w:p>
      <w:pPr>
        <w:ind w:left="120"/>
        <w:spacing w:after="0" w:line="225" w:lineRule="auto"/>
        <w:rPr>
          <w:sz w:val="20"/>
          <w:szCs w:val="20"/>
          <w:color w:val="auto"/>
        </w:rPr>
      </w:pPr>
      <w:r>
        <w:rPr>
          <w:rFonts w:ascii="Times New Roman" w:cs="Times New Roman" w:eastAsia="Times New Roman" w:hAnsi="Times New Roman"/>
          <w:sz w:val="20"/>
          <w:szCs w:val="20"/>
          <w:color w:val="auto"/>
        </w:rPr>
        <w:t>than such law permitted the Corporation to provide prior to such amendment), against all expense, liability and loss (including attorneys’</w:t>
      </w:r>
    </w:p>
    <w:p>
      <w:pPr>
        <w:ind w:left="120"/>
        <w:spacing w:after="0"/>
        <w:rPr>
          <w:sz w:val="20"/>
          <w:szCs w:val="20"/>
          <w:color w:val="auto"/>
        </w:rPr>
      </w:pPr>
      <w:r>
        <w:rPr>
          <w:rFonts w:ascii="Times New Roman" w:cs="Times New Roman" w:eastAsia="Times New Roman" w:hAnsi="Times New Roman"/>
          <w:sz w:val="20"/>
          <w:szCs w:val="20"/>
          <w:color w:val="auto"/>
        </w:rPr>
        <w:t>fees, judgments, fines, ERISA excise taxes or penalties and amounts paid in settlement) reasonably incurred or suffered by such</w:t>
      </w:r>
    </w:p>
    <w:p>
      <w:pPr>
        <w:ind w:left="120"/>
        <w:spacing w:after="0"/>
        <w:rPr>
          <w:sz w:val="20"/>
          <w:szCs w:val="20"/>
          <w:color w:val="auto"/>
        </w:rPr>
      </w:pPr>
      <w:r>
        <w:rPr>
          <w:rFonts w:ascii="Times New Roman" w:cs="Times New Roman" w:eastAsia="Times New Roman" w:hAnsi="Times New Roman"/>
          <w:sz w:val="20"/>
          <w:szCs w:val="20"/>
          <w:color w:val="auto"/>
        </w:rPr>
        <w:t xml:space="preserve">indemnitee in connection therewith;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except as provided in Section 7.03 with respect to proceedings to enforce</w:t>
      </w:r>
    </w:p>
    <w:p>
      <w:pPr>
        <w:ind w:left="120"/>
        <w:spacing w:after="0"/>
        <w:rPr>
          <w:sz w:val="20"/>
          <w:szCs w:val="20"/>
          <w:color w:val="auto"/>
        </w:rPr>
      </w:pPr>
      <w:r>
        <w:rPr>
          <w:rFonts w:ascii="Times New Roman" w:cs="Times New Roman" w:eastAsia="Times New Roman" w:hAnsi="Times New Roman"/>
          <w:sz w:val="20"/>
          <w:szCs w:val="20"/>
          <w:color w:val="auto"/>
        </w:rPr>
        <w:t>rights to indemnification or advancement of expenses or with respect to any compulsory counterclaim brought by such indemnitee, the</w:t>
      </w:r>
    </w:p>
    <w:p>
      <w:pPr>
        <w:ind w:left="120"/>
        <w:spacing w:after="0"/>
        <w:rPr>
          <w:sz w:val="20"/>
          <w:szCs w:val="20"/>
          <w:color w:val="auto"/>
        </w:rPr>
      </w:pPr>
      <w:r>
        <w:rPr>
          <w:rFonts w:ascii="Times New Roman" w:cs="Times New Roman" w:eastAsia="Times New Roman" w:hAnsi="Times New Roman"/>
          <w:sz w:val="20"/>
          <w:szCs w:val="20"/>
          <w:color w:val="auto"/>
        </w:rPr>
        <w:t>Corporation shall indemnify any such indemnitee in connection with a proceeding (or part thereof) initiated by such indemnitee only if</w:t>
      </w:r>
    </w:p>
    <w:p>
      <w:pPr>
        <w:ind w:left="120"/>
        <w:spacing w:after="0"/>
        <w:rPr>
          <w:sz w:val="20"/>
          <w:szCs w:val="20"/>
          <w:color w:val="auto"/>
        </w:rPr>
      </w:pPr>
      <w:r>
        <w:rPr>
          <w:rFonts w:ascii="Times New Roman" w:cs="Times New Roman" w:eastAsia="Times New Roman" w:hAnsi="Times New Roman"/>
          <w:sz w:val="20"/>
          <w:szCs w:val="20"/>
          <w:color w:val="auto"/>
        </w:rPr>
        <w:t>such proceeding (or part thereof) was authorized by the Board of Directors.</w:t>
      </w:r>
    </w:p>
    <w:p>
      <w:pPr>
        <w:spacing w:after="0" w:line="221" w:lineRule="exact"/>
        <w:rPr>
          <w:sz w:val="20"/>
          <w:szCs w:val="20"/>
          <w:color w:val="auto"/>
        </w:rPr>
      </w:pPr>
    </w:p>
    <w:p>
      <w:pPr>
        <w:ind w:left="100" w:right="100" w:firstLine="1361"/>
        <w:spacing w:after="0" w:line="241" w:lineRule="auto"/>
        <w:rPr>
          <w:sz w:val="20"/>
          <w:szCs w:val="20"/>
          <w:color w:val="auto"/>
        </w:rPr>
      </w:pPr>
      <w:r>
        <w:rPr>
          <w:rFonts w:ascii="Times New Roman" w:cs="Times New Roman" w:eastAsia="Times New Roman" w:hAnsi="Times New Roman"/>
          <w:sz w:val="20"/>
          <w:szCs w:val="20"/>
          <w:color w:val="auto"/>
        </w:rPr>
        <w:t xml:space="preserve">SECTION 7.02 </w:t>
      </w:r>
      <w:r>
        <w:rPr>
          <w:rFonts w:ascii="Times New Roman" w:cs="Times New Roman" w:eastAsia="Times New Roman" w:hAnsi="Times New Roman"/>
          <w:sz w:val="20"/>
          <w:szCs w:val="20"/>
          <w:u w:val="single" w:color="auto"/>
          <w:color w:val="auto"/>
        </w:rPr>
        <w:t>Right to Advancement of Expenses</w:t>
      </w:r>
      <w:r>
        <w:rPr>
          <w:rFonts w:ascii="Times New Roman" w:cs="Times New Roman" w:eastAsia="Times New Roman" w:hAnsi="Times New Roman"/>
          <w:sz w:val="20"/>
          <w:szCs w:val="20"/>
          <w:color w:val="auto"/>
        </w:rPr>
        <w:t>. In addition to the right to indemnification conferred in Section 7.01,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Article VII (which shall be governed by Section</w:t>
      </w:r>
    </w:p>
    <w:p>
      <w:pPr>
        <w:spacing w:after="0" w:line="3" w:lineRule="exact"/>
        <w:rPr>
          <w:sz w:val="20"/>
          <w:szCs w:val="20"/>
          <w:color w:val="auto"/>
        </w:rPr>
      </w:pPr>
    </w:p>
    <w:p>
      <w:pPr>
        <w:ind w:left="100" w:right="60"/>
        <w:spacing w:after="0" w:line="238" w:lineRule="auto"/>
        <w:rPr>
          <w:sz w:val="20"/>
          <w:szCs w:val="20"/>
          <w:color w:val="auto"/>
        </w:rPr>
      </w:pPr>
      <w:r>
        <w:rPr>
          <w:rFonts w:ascii="Times New Roman" w:cs="Times New Roman" w:eastAsia="Times New Roman" w:hAnsi="Times New Roman"/>
          <w:sz w:val="20"/>
          <w:szCs w:val="20"/>
          <w:color w:val="auto"/>
        </w:rPr>
        <w:t>7.03 (hereinafter an “</w:t>
      </w:r>
      <w:r>
        <w:rPr>
          <w:rFonts w:ascii="Times New Roman" w:cs="Times New Roman" w:eastAsia="Times New Roman" w:hAnsi="Times New Roman"/>
          <w:sz w:val="20"/>
          <w:szCs w:val="20"/>
          <w:u w:val="single" w:color="auto"/>
          <w:color w:val="auto"/>
        </w:rPr>
        <w:t>advancement of expenses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the DGCL requires or in the case of an advance made in a proceeding brought to establish or enforce a right to indemnification or advancement, an advancement of expenses incurred by an indemnitee in his or her capacity as a director or officer (and not in any other capacity in which service was or is rendered by such indemnitee, including, without limitation, service to an employee benefit plan) shall be made solely upon delivery to the Corporation of an undertaking (hereinafter an “</w:t>
      </w:r>
      <w:r>
        <w:rPr>
          <w:rFonts w:ascii="Times New Roman" w:cs="Times New Roman" w:eastAsia="Times New Roman" w:hAnsi="Times New Roman"/>
          <w:sz w:val="20"/>
          <w:szCs w:val="20"/>
          <w:u w:val="single" w:color="auto"/>
          <w:color w:val="auto"/>
        </w:rPr>
        <w:t>undertaking</w:t>
      </w:r>
      <w:r>
        <w:rPr>
          <w:rFonts w:ascii="Times New Roman" w:cs="Times New Roman" w:eastAsia="Times New Roman" w:hAnsi="Times New Roman"/>
          <w:sz w:val="20"/>
          <w:szCs w:val="20"/>
          <w:color w:val="auto"/>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20"/>
          <w:szCs w:val="20"/>
          <w:u w:val="single" w:color="auto"/>
          <w:color w:val="auto"/>
        </w:rPr>
        <w:t>final adjudication</w:t>
      </w:r>
      <w:r>
        <w:rPr>
          <w:rFonts w:ascii="Times New Roman" w:cs="Times New Roman" w:eastAsia="Times New Roman" w:hAnsi="Times New Roman"/>
          <w:sz w:val="20"/>
          <w:szCs w:val="20"/>
          <w:color w:val="auto"/>
        </w:rPr>
        <w:t>”) that such indemnitee is not entitled to be indemnified or entitled to advancement of expenses under Sections 7.01 and 7.02 or otherwise.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7.03 </w:t>
      </w:r>
      <w:r>
        <w:rPr>
          <w:rFonts w:ascii="Times New Roman" w:cs="Times New Roman" w:eastAsia="Times New Roman" w:hAnsi="Times New Roman"/>
          <w:sz w:val="20"/>
          <w:szCs w:val="20"/>
          <w:u w:val="single" w:color="auto"/>
          <w:color w:val="auto"/>
        </w:rPr>
        <w:t>Right of Indemnitee to Bring Suit.</w:t>
      </w:r>
      <w:r>
        <w:rPr>
          <w:rFonts w:ascii="Times New Roman" w:cs="Times New Roman" w:eastAsia="Times New Roman" w:hAnsi="Times New Roman"/>
          <w:sz w:val="20"/>
          <w:szCs w:val="20"/>
          <w:color w:val="auto"/>
        </w:rPr>
        <w:t xml:space="preserve"> If a claim under Section or 7.02 is not paid in full by the Corporation within (a) 60 days after a written claim for indemnification has been received by the Corporation or (b)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140"/>
          </w:cols>
          <w:pgMar w:left="320" w:top="1305" w:right="439" w:bottom="1440" w:gutter="0" w:footer="0" w:header="0"/>
        </w:sectPr>
      </w:pPr>
    </w:p>
    <w:bookmarkStart w:id="26" w:name="page27"/>
    <w:bookmarkEnd w:id="26"/>
    <w:p>
      <w:pPr>
        <w:spacing w:after="0" w:line="241" w:lineRule="auto"/>
        <w:rPr>
          <w:sz w:val="20"/>
          <w:szCs w:val="20"/>
          <w:color w:val="auto"/>
        </w:rPr>
      </w:pPr>
      <w:r>
        <w:rPr>
          <w:rFonts w:ascii="Times New Roman" w:cs="Times New Roman" w:eastAsia="Times New Roman" w:hAnsi="Times New Roman"/>
          <w:sz w:val="20"/>
          <w:szCs w:val="20"/>
          <w:color w:val="auto"/>
        </w:rPr>
        <w:t>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21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 xml:space="preserve">SECTION 7.04 </w:t>
      </w:r>
      <w:r>
        <w:rPr>
          <w:rFonts w:ascii="Times New Roman" w:cs="Times New Roman" w:eastAsia="Times New Roman" w:hAnsi="Times New Roman"/>
          <w:sz w:val="20"/>
          <w:szCs w:val="20"/>
          <w:u w:val="single" w:color="auto"/>
          <w:color w:val="auto"/>
        </w:rPr>
        <w:t>Indemnification Not Exclusive.</w:t>
      </w:r>
    </w:p>
    <w:p>
      <w:pPr>
        <w:spacing w:after="0" w:line="256" w:lineRule="exact"/>
        <w:rPr>
          <w:sz w:val="20"/>
          <w:szCs w:val="20"/>
          <w:color w:val="auto"/>
        </w:rPr>
      </w:pPr>
    </w:p>
    <w:p>
      <w:pPr>
        <w:ind w:left="180" w:right="240" w:firstLine="1286"/>
        <w:spacing w:after="0"/>
        <w:tabs>
          <w:tab w:leader="none" w:pos="195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provision of indemnification to or the advancement of expenses and costs to any indemnitee under this Article VII, or the entitlement of any indemnitee to indemnification or advancement of expenses and costs under this Article VII,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230" w:lineRule="exact"/>
        <w:rPr>
          <w:rFonts w:ascii="Times New Roman" w:cs="Times New Roman" w:eastAsia="Times New Roman" w:hAnsi="Times New Roman"/>
          <w:sz w:val="22"/>
          <w:szCs w:val="22"/>
          <w:color w:val="auto"/>
        </w:rPr>
      </w:pPr>
    </w:p>
    <w:p>
      <w:pPr>
        <w:ind w:left="140" w:right="100" w:firstLine="1297"/>
        <w:spacing w:after="0" w:line="237" w:lineRule="auto"/>
        <w:tabs>
          <w:tab w:leader="none" w:pos="1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Amended and Restated Certificate of Incorporation or these Bylaws of the Corporation (or any other agreement between the Corporation and such persons, as applicable)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it may have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7.04(B) of Article VII, entitled to enforce this Section 7.04(B) of Article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05" w:right="339" w:bottom="1440" w:gutter="0" w:footer="0" w:header="0"/>
        </w:sectPr>
      </w:pPr>
    </w:p>
    <w:bookmarkStart w:id="27" w:name="page28"/>
    <w:bookmarkEnd w:id="27"/>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For purposes of this Section 7.04(B) of Article VII, the following terms shall have the following meanings:</w:t>
      </w:r>
    </w:p>
    <w:p>
      <w:pPr>
        <w:spacing w:after="0" w:line="243" w:lineRule="exact"/>
        <w:rPr>
          <w:sz w:val="20"/>
          <w:szCs w:val="20"/>
          <w:color w:val="auto"/>
        </w:rPr>
      </w:pPr>
    </w:p>
    <w:p>
      <w:pPr>
        <w:ind w:left="20" w:right="120" w:firstLine="649"/>
        <w:spacing w:after="0" w:line="242" w:lineRule="auto"/>
        <w:tabs>
          <w:tab w:leader="none" w:pos="118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indemnitee-related entities</w:t>
      </w:r>
      <w:r>
        <w:rPr>
          <w:rFonts w:ascii="Times New Roman" w:cs="Times New Roman" w:eastAsia="Times New Roman" w:hAnsi="Times New Roman"/>
          <w:sz w:val="20"/>
          <w:szCs w:val="20"/>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215" w:lineRule="exact"/>
        <w:rPr>
          <w:rFonts w:ascii="Times New Roman" w:cs="Times New Roman" w:eastAsia="Times New Roman" w:hAnsi="Times New Roman"/>
          <w:sz w:val="20"/>
          <w:szCs w:val="20"/>
          <w:color w:val="auto"/>
        </w:rPr>
      </w:pPr>
    </w:p>
    <w:p>
      <w:pPr>
        <w:ind w:left="20" w:right="20" w:firstLine="649"/>
        <w:spacing w:after="0" w:line="246" w:lineRule="auto"/>
        <w:tabs>
          <w:tab w:leader="none" w:pos="118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jointly indemnifiable claims</w:t>
      </w:r>
      <w:r>
        <w:rPr>
          <w:rFonts w:ascii="Times New Roman" w:cs="Times New Roman" w:eastAsia="Times New Roman" w:hAnsi="Times New Roman"/>
          <w:sz w:val="20"/>
          <w:szCs w:val="20"/>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any agreement or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212" w:lineRule="exact"/>
        <w:rPr>
          <w:sz w:val="20"/>
          <w:szCs w:val="20"/>
          <w:color w:val="auto"/>
        </w:rPr>
      </w:pPr>
    </w:p>
    <w:p>
      <w:pPr>
        <w:ind w:left="20" w:firstLine="1296"/>
        <w:spacing w:after="0" w:line="241" w:lineRule="auto"/>
        <w:rPr>
          <w:sz w:val="20"/>
          <w:szCs w:val="20"/>
          <w:color w:val="auto"/>
        </w:rPr>
      </w:pPr>
      <w:r>
        <w:rPr>
          <w:rFonts w:ascii="Times New Roman" w:cs="Times New Roman" w:eastAsia="Times New Roman" w:hAnsi="Times New Roman"/>
          <w:sz w:val="20"/>
          <w:szCs w:val="20"/>
          <w:color w:val="auto"/>
        </w:rPr>
        <w:t xml:space="preserve">SECTION 7.05 </w:t>
      </w:r>
      <w:r>
        <w:rPr>
          <w:rFonts w:ascii="Times New Roman" w:cs="Times New Roman" w:eastAsia="Times New Roman" w:hAnsi="Times New Roman"/>
          <w:sz w:val="20"/>
          <w:szCs w:val="20"/>
          <w:u w:val="single" w:color="auto"/>
          <w:color w:val="auto"/>
        </w:rPr>
        <w:t>Corporate Obligations; Reliance</w:t>
      </w:r>
      <w:r>
        <w:rPr>
          <w:rFonts w:ascii="Times New Roman" w:cs="Times New Roman" w:eastAsia="Times New Roman" w:hAnsi="Times New Roman"/>
          <w:sz w:val="20"/>
          <w:szCs w:val="20"/>
          <w:color w:val="auto"/>
        </w:rPr>
        <w:t>. The rights granted pursuant to the provisions of this Article VII shall vest at the time a person becomes a director or officer of the Corporation and shall be deemed to create a binding contractual obligation on the part of the Corporation to the persons who from time to time are elected as officers or directors of the Corporation, and such persons in acting in their capacities as officers or directors of the Corporation or any subsidiary shall be entitled to rely on such provisions of this Article VII without giving notice thereof to the Corporation.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203" w:lineRule="exact"/>
        <w:rPr>
          <w:sz w:val="20"/>
          <w:szCs w:val="20"/>
          <w:color w:val="auto"/>
        </w:rPr>
      </w:pPr>
    </w:p>
    <w:p>
      <w:pPr>
        <w:ind w:left="20" w:right="16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7.06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207" w:lineRule="exact"/>
        <w:rPr>
          <w:sz w:val="20"/>
          <w:szCs w:val="20"/>
          <w:color w:val="auto"/>
        </w:rPr>
      </w:pPr>
    </w:p>
    <w:p>
      <w:pPr>
        <w:ind w:right="400" w:firstLine="1296"/>
        <w:spacing w:after="0" w:line="244" w:lineRule="auto"/>
        <w:rPr>
          <w:sz w:val="20"/>
          <w:szCs w:val="20"/>
          <w:color w:val="auto"/>
        </w:rPr>
      </w:pPr>
      <w:r>
        <w:rPr>
          <w:rFonts w:ascii="Times New Roman" w:cs="Times New Roman" w:eastAsia="Times New Roman" w:hAnsi="Times New Roman"/>
          <w:sz w:val="20"/>
          <w:szCs w:val="20"/>
          <w:color w:val="auto"/>
        </w:rPr>
        <w:t xml:space="preserve">SECTION 7.07 </w:t>
      </w:r>
      <w:r>
        <w:rPr>
          <w:rFonts w:ascii="Times New Roman" w:cs="Times New Roman" w:eastAsia="Times New Roman" w:hAnsi="Times New Roman"/>
          <w:sz w:val="20"/>
          <w:szCs w:val="20"/>
          <w:u w:val="single" w:color="auto"/>
          <w:color w:val="auto"/>
        </w:rPr>
        <w:t>Indemnification of Employees and Agents of the Corporation</w:t>
      </w:r>
      <w:r>
        <w:rPr>
          <w:rFonts w:ascii="Times New Roman" w:cs="Times New Roman" w:eastAsia="Times New Roman" w:hAnsi="Times New Roman"/>
          <w:sz w:val="20"/>
          <w:szCs w:val="20"/>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spacing w:after="0" w:line="20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21" w:lineRule="exact"/>
        <w:rPr>
          <w:sz w:val="20"/>
          <w:szCs w:val="20"/>
          <w:color w:val="auto"/>
        </w:rPr>
      </w:pPr>
    </w:p>
    <w:p>
      <w:pPr>
        <w:ind w:right="360" w:firstLine="1296"/>
        <w:spacing w:after="0" w:line="274" w:lineRule="auto"/>
        <w:rPr>
          <w:sz w:val="20"/>
          <w:szCs w:val="20"/>
          <w:color w:val="auto"/>
        </w:rPr>
      </w:pPr>
      <w:r>
        <w:rPr>
          <w:rFonts w:ascii="Times New Roman" w:cs="Times New Roman" w:eastAsia="Times New Roman" w:hAnsi="Times New Roman"/>
          <w:sz w:val="19"/>
          <w:szCs w:val="19"/>
          <w:color w:val="auto"/>
        </w:rPr>
        <w:t xml:space="preserve">SECTION 8.01 </w:t>
      </w:r>
      <w:r>
        <w:rPr>
          <w:rFonts w:ascii="Times New Roman" w:cs="Times New Roman" w:eastAsia="Times New Roman" w:hAnsi="Times New Roman"/>
          <w:sz w:val="19"/>
          <w:szCs w:val="19"/>
          <w:u w:val="single" w:color="auto"/>
          <w:color w:val="auto"/>
        </w:rPr>
        <w:t>Electronic Transmission</w:t>
      </w:r>
      <w:r>
        <w:rPr>
          <w:rFonts w:ascii="Times New Roman" w:cs="Times New Roman" w:eastAsia="Times New Roman" w:hAnsi="Times New Roman"/>
          <w:sz w:val="19"/>
          <w:szCs w:val="19"/>
          <w:color w:val="auto"/>
        </w:rPr>
        <w:t>. For purposes of these Bylaws, “</w:t>
      </w:r>
      <w:r>
        <w:rPr>
          <w:rFonts w:ascii="Times New Roman" w:cs="Times New Roman" w:eastAsia="Times New Roman" w:hAnsi="Times New Roman"/>
          <w:sz w:val="19"/>
          <w:szCs w:val="19"/>
          <w:u w:val="single" w:color="auto"/>
          <w:color w:val="auto"/>
        </w:rPr>
        <w:t>electronic transmission</w:t>
      </w:r>
      <w:r>
        <w:rPr>
          <w:rFonts w:ascii="Times New Roman" w:cs="Times New Roman" w:eastAsia="Times New Roman" w:hAnsi="Times New Roman"/>
          <w:sz w:val="19"/>
          <w:szCs w:val="19"/>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940"/>
          </w:cols>
          <w:pgMar w:left="440" w:top="1440" w:right="519" w:bottom="1440" w:gutter="0" w:footer="0" w:header="0"/>
        </w:sectPr>
      </w:pPr>
    </w:p>
    <w:bookmarkStart w:id="28" w:name="page29"/>
    <w:bookmarkEnd w:id="28"/>
    <w:p>
      <w:pPr>
        <w:spacing w:after="0" w:line="108" w:lineRule="exact"/>
        <w:rPr>
          <w:sz w:val="20"/>
          <w:szCs w:val="20"/>
          <w:color w:val="auto"/>
        </w:rPr>
      </w:pPr>
    </w:p>
    <w:p>
      <w:pPr>
        <w:jc w:val="both"/>
        <w:ind w:right="760" w:firstLine="1296"/>
        <w:spacing w:after="0" w:line="274" w:lineRule="auto"/>
        <w:rPr>
          <w:sz w:val="20"/>
          <w:szCs w:val="20"/>
          <w:color w:val="auto"/>
        </w:rPr>
      </w:pPr>
      <w:r>
        <w:rPr>
          <w:rFonts w:ascii="Times New Roman" w:cs="Times New Roman" w:eastAsia="Times New Roman" w:hAnsi="Times New Roman"/>
          <w:sz w:val="19"/>
          <w:szCs w:val="19"/>
          <w:color w:val="auto"/>
        </w:rPr>
        <w:t xml:space="preserve">SECTION 8.02 </w:t>
      </w:r>
      <w:r>
        <w:rPr>
          <w:rFonts w:ascii="Times New Roman" w:cs="Times New Roman" w:eastAsia="Times New Roman" w:hAnsi="Times New Roman"/>
          <w:sz w:val="19"/>
          <w:szCs w:val="19"/>
          <w:u w:val="single" w:color="auto"/>
          <w:color w:val="auto"/>
        </w:rPr>
        <w:t>Corporate Seal</w:t>
      </w:r>
      <w:r>
        <w:rPr>
          <w:rFonts w:ascii="Times New Roman" w:cs="Times New Roman" w:eastAsia="Times New Roman" w:hAnsi="Times New Roman"/>
          <w:sz w:val="19"/>
          <w:szCs w:val="19"/>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83" w:lineRule="exact"/>
        <w:rPr>
          <w:sz w:val="20"/>
          <w:szCs w:val="20"/>
          <w:color w:val="auto"/>
        </w:rPr>
      </w:pPr>
    </w:p>
    <w:p>
      <w:pPr>
        <w:ind w:right="10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SECTION 8.03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The fiscal year of the Corporation shall end on the Saturday closest to December 31 of each year, or such other day as the Board of Directors may designate.</w:t>
      </w:r>
    </w:p>
    <w:p>
      <w:pPr>
        <w:spacing w:after="0" w:line="186" w:lineRule="exact"/>
        <w:rPr>
          <w:sz w:val="20"/>
          <w:szCs w:val="20"/>
          <w:color w:val="auto"/>
        </w:rPr>
      </w:pPr>
    </w:p>
    <w:p>
      <w:pPr>
        <w:ind w:right="440" w:firstLine="1296"/>
        <w:spacing w:after="0" w:line="255" w:lineRule="auto"/>
        <w:rPr>
          <w:sz w:val="20"/>
          <w:szCs w:val="20"/>
          <w:color w:val="auto"/>
        </w:rPr>
      </w:pPr>
      <w:r>
        <w:rPr>
          <w:rFonts w:ascii="Times New Roman" w:cs="Times New Roman" w:eastAsia="Times New Roman" w:hAnsi="Times New Roman"/>
          <w:sz w:val="20"/>
          <w:szCs w:val="20"/>
          <w:color w:val="auto"/>
        </w:rPr>
        <w:t xml:space="preserve">SECTION 8.04 </w:t>
      </w:r>
      <w:r>
        <w:rPr>
          <w:rFonts w:ascii="Times New Roman" w:cs="Times New Roman" w:eastAsia="Times New Roman" w:hAnsi="Times New Roman"/>
          <w:sz w:val="20"/>
          <w:szCs w:val="20"/>
          <w:u w:val="single" w:color="auto"/>
          <w:color w:val="auto"/>
        </w:rPr>
        <w:t>Section Headings</w:t>
      </w:r>
      <w:r>
        <w:rPr>
          <w:rFonts w:ascii="Times New Roman" w:cs="Times New Roman" w:eastAsia="Times New Roman" w:hAnsi="Times New Roman"/>
          <w:sz w:val="20"/>
          <w:szCs w:val="20"/>
          <w:color w:val="auto"/>
        </w:rPr>
        <w:t>. Section headings in these Bylaws are for convenience of reference only and shall not be given any substantive effect in limiting or otherwise construing any provision herein.</w:t>
      </w:r>
    </w:p>
    <w:p>
      <w:pPr>
        <w:spacing w:after="0" w:line="200" w:lineRule="exact"/>
        <w:rPr>
          <w:sz w:val="20"/>
          <w:szCs w:val="20"/>
          <w:color w:val="auto"/>
        </w:rPr>
      </w:pPr>
    </w:p>
    <w:p>
      <w:pPr>
        <w:jc w:val="both"/>
        <w:ind w:right="160" w:firstLine="1296"/>
        <w:spacing w:after="0" w:line="254" w:lineRule="auto"/>
        <w:rPr>
          <w:sz w:val="20"/>
          <w:szCs w:val="20"/>
          <w:color w:val="auto"/>
        </w:rPr>
      </w:pPr>
      <w:r>
        <w:rPr>
          <w:rFonts w:ascii="Times New Roman" w:cs="Times New Roman" w:eastAsia="Times New Roman" w:hAnsi="Times New Roman"/>
          <w:sz w:val="20"/>
          <w:szCs w:val="20"/>
          <w:color w:val="auto"/>
        </w:rPr>
        <w:t xml:space="preserve">SECTION 8.05 </w:t>
      </w:r>
      <w:r>
        <w:rPr>
          <w:rFonts w:ascii="Times New Roman" w:cs="Times New Roman" w:eastAsia="Times New Roman" w:hAnsi="Times New Roman"/>
          <w:sz w:val="20"/>
          <w:szCs w:val="20"/>
          <w:u w:val="single" w:color="auto"/>
          <w:color w:val="auto"/>
        </w:rPr>
        <w:t>Inconsistent Provisions</w:t>
      </w:r>
      <w:r>
        <w:rPr>
          <w:rFonts w:ascii="Times New Roman" w:cs="Times New Roman" w:eastAsia="Times New Roman" w:hAnsi="Times New Roman"/>
          <w:sz w:val="20"/>
          <w:szCs w:val="20"/>
          <w:color w:val="auto"/>
        </w:rPr>
        <w:t>. In the event that any provision of these Bylaws is or becomes inconsistent with any provision of the Amended and Restated Certificate of Incorporation, the DGCL or any other applicable law, such provision of these Bylaws shall not be given any effect to the extent of such inconsistency but shall otherwise be given full force and effect.</w:t>
      </w:r>
    </w:p>
    <w:p>
      <w:pPr>
        <w:spacing w:after="0" w:line="1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221"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9"/>
          <w:szCs w:val="19"/>
          <w:color w:val="auto"/>
        </w:rPr>
        <w:t xml:space="preserve">SECTION 9.01 </w:t>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The Board of Directors is authorized to make, repeal, alter, amend and rescind, in whole or in part, these Bylaws without the assent or vote of the stockholders in any manner not inconsistent with the laws of the State of Delaware or the Amended and Restated Certificate of Incorporation. In addition to any vote of the holders of any class or series of capital stock of the Corporation required by the Amended and Restated Certificate of Incorporation (including any certificate of designation relating to any series of Preferred Stock (as defined in the Amended and Restated Certificate of Incorporation)), by these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Bylaws or to adopt any provision inconsistent therewith.</w:t>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Emergency Bylaws</w:t>
      </w:r>
    </w:p>
    <w:p>
      <w:pPr>
        <w:spacing w:after="0" w:line="221"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9"/>
          <w:szCs w:val="19"/>
          <w:color w:val="auto"/>
        </w:rPr>
        <w:t xml:space="preserve">SECTION 10.01 </w:t>
      </w:r>
      <w:r>
        <w:rPr>
          <w:rFonts w:ascii="Times New Roman" w:cs="Times New Roman" w:eastAsia="Times New Roman" w:hAnsi="Times New Roman"/>
          <w:sz w:val="19"/>
          <w:szCs w:val="19"/>
          <w:u w:val="single" w:color="auto"/>
          <w:color w:val="auto"/>
        </w:rPr>
        <w:t>Emergency Bylaws</w:t>
      </w:r>
      <w:r>
        <w:rPr>
          <w:rFonts w:ascii="Times New Roman" w:cs="Times New Roman" w:eastAsia="Times New Roman" w:hAnsi="Times New Roman"/>
          <w:sz w:val="19"/>
          <w:szCs w:val="19"/>
          <w:color w:val="auto"/>
        </w:rPr>
        <w:t>. This Article X shall be operative during any emergency, disaster or catastrophe, as referred to in Section 110 of the DGCL or other similar emergency condition (including a pandemic), as a result of which a quorum of the Board of Directors or a committee thereof cannot readily be convened for action (each, an “</w:t>
      </w:r>
      <w:r>
        <w:rPr>
          <w:rFonts w:ascii="Times New Roman" w:cs="Times New Roman" w:eastAsia="Times New Roman" w:hAnsi="Times New Roman"/>
          <w:sz w:val="19"/>
          <w:szCs w:val="19"/>
          <w:u w:val="single" w:color="auto"/>
          <w:color w:val="auto"/>
        </w:rPr>
        <w:t>Emergency</w:t>
      </w:r>
      <w:r>
        <w:rPr>
          <w:rFonts w:ascii="Times New Roman" w:cs="Times New Roman" w:eastAsia="Times New Roman" w:hAnsi="Times New Roman"/>
          <w:sz w:val="19"/>
          <w:szCs w:val="19"/>
          <w:color w:val="auto"/>
        </w:rPr>
        <w:t>”), notwithstanding any different or conflicting provision in the preceding Sections of these Bylaws or in the Amended and Restated Certificate of Incorporation. To the extent not inconsistent with the provisions of this Article X, the preceding Sections of these Bylaws and the provisions of the Amended and Restated Certificate of Incorporation shall remain in effect during such Emergency, and upon termination of such Emergency, the provisions of this Article X shall cease to be operative unless and until another Emergency shall occur.</w:t>
      </w:r>
    </w:p>
    <w:p>
      <w:pPr>
        <w:spacing w:after="0" w:line="205" w:lineRule="exact"/>
        <w:rPr>
          <w:sz w:val="20"/>
          <w:szCs w:val="20"/>
          <w:color w:val="auto"/>
        </w:rPr>
      </w:pPr>
    </w:p>
    <w:p>
      <w:pPr>
        <w:ind w:right="10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Meetings; Notice</w:t>
      </w:r>
      <w:r>
        <w:rPr>
          <w:rFonts w:ascii="Times New Roman" w:cs="Times New Roman" w:eastAsia="Times New Roman" w:hAnsi="Times New Roman"/>
          <w:sz w:val="20"/>
          <w:szCs w:val="20"/>
          <w:color w:val="auto"/>
        </w:rPr>
        <w:t>. During any Emergency, a meeting of the Board of Directors or any committee thereof may be called by any member of the Board of Directors or such committee or the Chair of the Board, the Chief Executive Officer, the President or the Secretary. Notice of the place, date and time of the meeting shall be given by any available means of communication by the person calling the meeting to such of the directors or committee members and Designated Officers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0920"/>
          </w:cols>
          <w:pgMar w:left="440" w:top="1440" w:right="539" w:bottom="1440" w:gutter="0" w:footer="0" w:header="0"/>
        </w:sectPr>
      </w:pPr>
    </w:p>
    <w:bookmarkStart w:id="29" w:name="page30"/>
    <w:bookmarkEnd w:id="29"/>
    <w:p>
      <w:pPr>
        <w:ind w:right="20"/>
        <w:spacing w:after="0" w:line="242" w:lineRule="auto"/>
        <w:rPr>
          <w:sz w:val="20"/>
          <w:szCs w:val="20"/>
          <w:color w:val="auto"/>
        </w:rPr>
      </w:pPr>
      <w:r>
        <w:rPr>
          <w:rFonts w:ascii="Times New Roman" w:cs="Times New Roman" w:eastAsia="Times New Roman" w:hAnsi="Times New Roman"/>
          <w:sz w:val="20"/>
          <w:szCs w:val="20"/>
          <w:color w:val="auto"/>
        </w:rPr>
        <w:t>defined below) as, in the judgment of the person calling the meeting, it may be feasible to reach. Such notice shall be given at such time in advance of the meeting as, in the judgment of the person calling the meeting, circumstances permit. For purposes of this Article X, the term “</w:t>
      </w:r>
      <w:r>
        <w:rPr>
          <w:rFonts w:ascii="Times New Roman" w:cs="Times New Roman" w:eastAsia="Times New Roman" w:hAnsi="Times New Roman"/>
          <w:sz w:val="20"/>
          <w:szCs w:val="20"/>
          <w:u w:val="single" w:color="auto"/>
          <w:color w:val="auto"/>
        </w:rPr>
        <w:t>Designated Officer</w:t>
      </w:r>
      <w:r>
        <w:rPr>
          <w:rFonts w:ascii="Times New Roman" w:cs="Times New Roman" w:eastAsia="Times New Roman" w:hAnsi="Times New Roman"/>
          <w:sz w:val="20"/>
          <w:szCs w:val="20"/>
          <w:color w:val="auto"/>
        </w:rPr>
        <w:t>” means an officer identified on a numbered list of officers of the Corporation who shall be deemed to be, in the order in which they appear on the list up until a quorum is obtained, directors of the Corporation, or members of a committee of the Board of Directors, as the case may be, for purposes of obtaining a quorum during an Emergency, if a quorum of directors or committee members, as the case may be, cannot otherwise be obtained during such Emergency, which officers have been designated by the Board of Directors from time to time but in any event prior to such time or times as an Emergency may have occurred.</w:t>
      </w:r>
    </w:p>
    <w:p>
      <w:pPr>
        <w:spacing w:after="0" w:line="213" w:lineRule="exact"/>
        <w:rPr>
          <w:sz w:val="20"/>
          <w:szCs w:val="20"/>
          <w:color w:val="auto"/>
        </w:rPr>
      </w:pPr>
    </w:p>
    <w:p>
      <w:pPr>
        <w:ind w:firstLine="1296"/>
        <w:spacing w:after="0" w:line="242"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 At any meeting of the Board of Directors called in accordance with Section 10.2, the presence or participation of three (3) directors shall constitute a quorum for the transaction of business, and at any meeting of any committee of the Board of Directors called in accordance with Section 10.2, the presence or participation of one (1) committee member shall constitute a quorum for the transaction of business. In the event that the requisite number of directors is not able to attend a meeting of the Board of Directors or any committee thereof, then the Designated Officers in attendance shall serve as directors, or committee members, as the case may be, for the meeting, without any additional quorum requirement and will have full powers to act as directors, or committee members, as the case may be, of the Corporation.</w:t>
      </w:r>
    </w:p>
    <w:p>
      <w:pPr>
        <w:spacing w:after="0" w:line="213" w:lineRule="exact"/>
        <w:rPr>
          <w:sz w:val="20"/>
          <w:szCs w:val="20"/>
          <w:color w:val="auto"/>
        </w:rPr>
      </w:pPr>
    </w:p>
    <w:p>
      <w:pPr>
        <w:ind w:right="2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Liability</w:t>
      </w:r>
      <w:r>
        <w:rPr>
          <w:rFonts w:ascii="Times New Roman" w:cs="Times New Roman" w:eastAsia="Times New Roman" w:hAnsi="Times New Roman"/>
          <w:sz w:val="20"/>
          <w:szCs w:val="20"/>
          <w:color w:val="auto"/>
        </w:rPr>
        <w:t>. No officer, director or employee of the Corporation acting in accordance with the provisions of this Article X shall be liable except for willful misconduct.</w:t>
      </w:r>
    </w:p>
    <w:p>
      <w:pPr>
        <w:spacing w:after="0" w:line="186" w:lineRule="exact"/>
        <w:rPr>
          <w:sz w:val="20"/>
          <w:szCs w:val="20"/>
          <w:color w:val="auto"/>
        </w:rPr>
      </w:pPr>
    </w:p>
    <w:p>
      <w:pPr>
        <w:ind w:right="380" w:firstLine="1296"/>
        <w:spacing w:after="0" w:line="254"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At any meeting called in accordance with Section 10.2, the Board of Directors, or any committee thereof, as the case may be, may modify, amend or add to the provisions of this Article X as it deems it to be in the best interests of the Corporation and as is practical or necessary for the circumstances of the Emergency.</w:t>
      </w:r>
    </w:p>
    <w:p>
      <w:pPr>
        <w:spacing w:after="0" w:line="201" w:lineRule="exact"/>
        <w:rPr>
          <w:sz w:val="20"/>
          <w:szCs w:val="20"/>
          <w:color w:val="auto"/>
        </w:rPr>
      </w:pPr>
    </w:p>
    <w:p>
      <w:pPr>
        <w:ind w:right="100" w:firstLine="1296"/>
        <w:spacing w:after="0" w:line="247"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Repeal or Change</w:t>
      </w:r>
      <w:r>
        <w:rPr>
          <w:rFonts w:ascii="Times New Roman" w:cs="Times New Roman" w:eastAsia="Times New Roman" w:hAnsi="Times New Roman"/>
          <w:sz w:val="20"/>
          <w:szCs w:val="20"/>
          <w:color w:val="auto"/>
        </w:rPr>
        <w:t>. The provisions of this Article X shall be subject to repeal or change by further action of the Board of Directors or by action of the stockholders pursuant to Section 9.01, but no such repeal or change shall modify the provisions of Section 10.4 with regard to action taken prior to the time of such repeal or change.</w:t>
      </w: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26</w:t>
      </w:r>
    </w:p>
    <w:sectPr>
      <w:pgSz w:w="11900" w:h="16838" w:orient="portrait"/>
      <w:cols w:equalWidth="0" w:num="1">
        <w:col w:w="10900"/>
      </w:cols>
      <w:pgMar w:left="440" w:top="13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Letter"/>
      <w:start w:val="4"/>
    </w:lvl>
  </w:abstractNum>
  <w:abstractNum w:abstractNumId="4">
    <w:nsid w:val="257130A3"/>
    <w:multiLevelType w:val="hybridMultilevel"/>
    <w:lvl w:ilvl="0">
      <w:lvlJc w:val="left"/>
      <w:lvlText w:val="(%1)"/>
      <w:numFmt w:val="upperLetter"/>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
    </w:lvl>
    <w:lvl w:ilvl="1">
      <w:lvlJc w:val="left"/>
      <w:lvlText w:val="(%2)"/>
      <w:numFmt w:val="decimal"/>
      <w:start w:val="3"/>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Roman"/>
      <w:start w:val="1"/>
    </w:lvl>
  </w:abstractNum>
  <w:abstractNum w:abstractNumId="9">
    <w:nsid w:val="721DA317"/>
    <w:multiLevelType w:val="hybridMultilevel"/>
    <w:lvl w:ilvl="0">
      <w:lvlJc w:val="left"/>
      <w:lvlText w:val="(%1)"/>
      <w:numFmt w:val="lowerRoman"/>
      <w:start w:val="5"/>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lowerLetter"/>
      <w:start w:val="3"/>
    </w:lvl>
  </w:abstractNum>
  <w:abstractNum w:abstractNumId="13">
    <w:nsid w:val="75A2A8D4"/>
    <w:multiLevelType w:val="hybridMultilevel"/>
    <w:lvl w:ilvl="0">
      <w:lvlJc w:val="left"/>
      <w:lvlText w:val="(%1)"/>
      <w:numFmt w:val="lowerRoman"/>
      <w:start w:val="1"/>
    </w:lvl>
  </w:abstractNum>
  <w:abstractNum w:abstractNumId="14">
    <w:nsid w:val="8EDBDAB"/>
    <w:multiLevelType w:val="hybridMultilevel"/>
    <w:lvl w:ilvl="0">
      <w:lvlJc w:val="left"/>
      <w:lvlText w:val="(%1)"/>
      <w:numFmt w:val="lowerRoman"/>
      <w:start w:val="5"/>
    </w:lvl>
  </w:abstractNum>
  <w:abstractNum w:abstractNumId="15">
    <w:nsid w:val="79838CB2"/>
    <w:multiLevelType w:val="hybridMultilevel"/>
    <w:lvl w:ilvl="0">
      <w:lvlJc w:val="left"/>
      <w:lvlText w:val="(%1)"/>
      <w:numFmt w:val="lowerRoman"/>
      <w:start w:val="9"/>
    </w:lvl>
  </w:abstractNum>
  <w:abstractNum w:abstractNumId="16">
    <w:nsid w:val="4353D0CD"/>
    <w:multiLevelType w:val="hybridMultilevel"/>
    <w:lvl w:ilvl="0">
      <w:lvlJc w:val="left"/>
      <w:lvlText w:val="(%1)"/>
      <w:numFmt w:val="lowerRoman"/>
      <w:start w:val="17"/>
    </w:lvl>
  </w:abstractNum>
  <w:abstractNum w:abstractNumId="17">
    <w:nsid w:val="B03E0C6"/>
    <w:multiLevelType w:val="hybridMultilevel"/>
    <w:lvl w:ilvl="0">
      <w:lvlJc w:val="left"/>
      <w:lvlText w:val="%1"/>
      <w:numFmt w:val="decimal"/>
      <w:start w:val="1"/>
    </w:lvl>
    <w:lvl w:ilvl="1">
      <w:lvlJc w:val="left"/>
      <w:lvlText w:val="(%2)"/>
      <w:numFmt w:val="lowerLetter"/>
      <w:start w:val="4"/>
    </w:lvl>
  </w:abstractNum>
  <w:abstractNum w:abstractNumId="18">
    <w:nsid w:val="189A769B"/>
    <w:multiLevelType w:val="hybridMultilevel"/>
    <w:lvl w:ilvl="0">
      <w:lvlJc w:val="left"/>
      <w:lvlText w:val="(%1)"/>
      <w:numFmt w:val="decimal"/>
      <w:start w:val="4"/>
    </w:lvl>
    <w:lvl w:ilvl="1">
      <w:lvlJc w:val="left"/>
      <w:lvlText w:val="%2"/>
      <w:numFmt w:val="lowerLetter"/>
      <w:start w:val="1"/>
    </w:lvl>
  </w:abstractNum>
  <w:abstractNum w:abstractNumId="19">
    <w:nsid w:val="54E49EB4"/>
    <w:multiLevelType w:val="hybridMultilevel"/>
    <w:lvl w:ilvl="0">
      <w:lvlJc w:val="left"/>
      <w:lvlText w:val="(%1)"/>
      <w:numFmt w:val="decimal"/>
      <w:start w:val="5"/>
    </w:lvl>
  </w:abstractNum>
  <w:abstractNum w:abstractNumId="20">
    <w:nsid w:val="71F32454"/>
    <w:multiLevelType w:val="hybridMultilevel"/>
    <w:lvl w:ilvl="0">
      <w:lvlJc w:val="left"/>
      <w:lvlText w:val="(%1)"/>
      <w:numFmt w:val="upperLetter"/>
      <w:start w:val="2"/>
    </w:lvl>
  </w:abstractNum>
  <w:abstractNum w:abstractNumId="21">
    <w:nsid w:val="2CA88611"/>
    <w:multiLevelType w:val="hybridMultilevel"/>
    <w:lvl w:ilvl="0">
      <w:lvlJc w:val="left"/>
      <w:lvlText w:val="(%1)"/>
      <w:numFmt w:val="decimal"/>
      <w:start w:val="1"/>
    </w:lvl>
    <w:lvl w:ilvl="1">
      <w:lvlJc w:val="left"/>
      <w:lvlText w:val="(%2)"/>
      <w:numFmt w:val="decimal"/>
      <w:start w:val="2"/>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1"/>
      <w:numFmt w:val="lowerRoman"/>
      <w:start w:val="1"/>
    </w:lvl>
    <w:lvl w:ilvl="1">
      <w:lvlJc w:val="left"/>
      <w:lvlText w:val="(%2)"/>
      <w:numFmt w:val="decimal"/>
      <w:start w:val="5"/>
    </w:lvl>
  </w:abstractNum>
  <w:abstractNum w:abstractNumId="24">
    <w:nsid w:val="3A95F874"/>
    <w:multiLevelType w:val="hybridMultilevel"/>
    <w:lvl w:ilvl="0">
      <w:lvlJc w:val="left"/>
      <w:lvlText w:val="(%1)"/>
      <w:numFmt w:val="lowerRoman"/>
      <w:start w:val="5"/>
    </w:lvl>
    <w:lvl w:ilvl="1">
      <w:lvlJc w:val="left"/>
      <w:lvlText w:val="%2"/>
      <w:numFmt w:val="decimal"/>
      <w:start w:val="1"/>
    </w:lvl>
  </w:abstractNum>
  <w:abstractNum w:abstractNumId="25">
    <w:nsid w:val="8138641"/>
    <w:multiLevelType w:val="hybridMultilevel"/>
    <w:lvl w:ilvl="0">
      <w:lvlJc w:val="left"/>
      <w:lvlText w:val="(%1)"/>
      <w:numFmt w:val="decimal"/>
      <w:start w:val="6"/>
    </w:lvl>
  </w:abstractNum>
  <w:abstractNum w:abstractNumId="26">
    <w:nsid w:val="1E7FF521"/>
    <w:multiLevelType w:val="hybridMultilevel"/>
    <w:lvl w:ilvl="0">
      <w:lvlJc w:val="left"/>
      <w:lvlText w:val="(%1)"/>
      <w:numFmt w:val="upperLetter"/>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upperLetter"/>
      <w:start w:val="1"/>
    </w:lvl>
  </w:abstractNum>
  <w:abstractNum w:abstractNumId="29">
    <w:nsid w:val="6CEAF087"/>
    <w:multiLevelType w:val="hybridMultilevel"/>
    <w:lvl w:ilvl="0">
      <w:lvlJc w:val="left"/>
      <w:lvlText w:val="(%1)"/>
      <w:numFmt w:val="upperLetter"/>
      <w:start w:val="1"/>
    </w:lvl>
  </w:abstractNum>
  <w:abstractNum w:abstractNumId="30">
    <w:nsid w:val="22221A70"/>
    <w:multiLevelType w:val="hybridMultilevel"/>
    <w:lvl w:ilvl="0">
      <w:lvlJc w:val="left"/>
      <w:lvlText w:val="(%1)"/>
      <w:numFmt w:val="upperLetter"/>
      <w:start w:val="3"/>
    </w:lvl>
  </w:abstractNum>
  <w:abstractNum w:abstractNumId="31">
    <w:nsid w:val="4516DDE9"/>
    <w:multiLevelType w:val="hybridMultilevel"/>
    <w:lvl w:ilvl="0">
      <w:lvlJc w:val="left"/>
      <w:lvlText w:val="%1"/>
      <w:numFmt w:val="upperLetter"/>
      <w:start w:val="1"/>
    </w:lvl>
    <w:lvl w:ilvl="1">
      <w:lvlJc w:val="left"/>
      <w:lvlText w:val="(%2)"/>
      <w:numFmt w:val="upperLetter"/>
      <w:start w:val="1"/>
    </w:lvl>
  </w:abstractNum>
  <w:abstractNum w:abstractNumId="32">
    <w:nsid w:val="3006C83E"/>
    <w:multiLevelType w:val="hybridMultilevel"/>
    <w:lvl w:ilvl="0">
      <w:lvlJc w:val="left"/>
      <w:lvlText w:val="(%1)"/>
      <w:numFmt w:val="upperLetter"/>
      <w:start w:val="2"/>
    </w:lvl>
    <w:lvl w:ilvl="1">
      <w:lvlJc w:val="left"/>
      <w:lvlText w:val="%2"/>
      <w:numFmt w:val="upp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2023-12-12T15:15:09Z</dcterms:created>
  <dcterms:modified xsi:type="dcterms:W3CDTF">2023-12-12T15:15:09Z</dcterms:modified>
</cp:coreProperties>
</file>