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KKR Group Holdings Corp.</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07/01/2018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9"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74"/>
        <w:spacing w:after="0" w:line="268" w:lineRule="auto"/>
        <w:rPr>
          <w:sz w:val="20"/>
          <w:szCs w:val="20"/>
          <w:color w:val="auto"/>
        </w:rPr>
      </w:pPr>
      <w:r>
        <w:rPr>
          <w:rFonts w:ascii="Arial" w:cs="Arial" w:eastAsia="Arial" w:hAnsi="Arial"/>
          <w:sz w:val="18"/>
          <w:szCs w:val="18"/>
          <w:color w:val="0000FF"/>
        </w:rPr>
        <w:t>C/O KOHLBERG KRAVIS ROBERTS &amp; CO. L.P.</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9 WEST 57TH STREET, SUITE 4200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367"/>
              <w:spacing w:after="0"/>
              <w:rPr>
                <w:sz w:val="20"/>
                <w:szCs w:val="20"/>
                <w:color w:val="auto"/>
              </w:rPr>
            </w:pPr>
            <w:r>
              <w:rPr>
                <w:rFonts w:ascii="Arial" w:cs="Arial" w:eastAsia="Arial" w:hAnsi="Arial"/>
                <w:sz w:val="18"/>
                <w:szCs w:val="18"/>
                <w:color w:val="0000FF"/>
              </w:rPr>
              <w:t>32,398,495</w:t>
            </w:r>
          </w:p>
        </w:tc>
        <w:tc>
          <w:tcPr>
            <w:tcW w:w="104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(1)(2)(3)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73" w:lineRule="auto"/>
        <w:tabs>
          <w:tab w:leader="none" w:pos="175"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Pursuant to an internal reorganization in connection with the conversion of KKR &amp; Co. L.P., a Delaware limited partnership, into a Delaware corporation named KKR &amp; Co. Inc., which became effective on July 1, 2018, KKR &amp; Co. L.P. contributed all of its interests in two wholly-owned subsidiaries, KKR Group Holdings L.P. and KKR Group Limited, to a newly formed and wholly-owned subsidiary, KKR Group Holdings Corp., and KKR Group Holdings L.P. and KKR Group Limited were liquidated. KKR Group Holdings Corp. is now a general partner of KKR Fund Holdings L.P. and the sole shareholder of KKR Fund Holdings GP Limited and may be deemed to be the beneficial owner of the securities reported herein. Each of KKR Group Holdings L.P. and KKR Group Limited are separately filing an "exit" Form 4 to reflect the above. This internal reorganization did not involve any purchase or sale of securities of National Vision Holdings, Inc. (the "Issuer").</w:t>
      </w:r>
    </w:p>
    <w:p>
      <w:pPr>
        <w:spacing w:after="0" w:line="11" w:lineRule="exact"/>
        <w:rPr>
          <w:rFonts w:ascii="Arial" w:cs="Arial" w:eastAsia="Arial" w:hAnsi="Arial"/>
          <w:sz w:val="12"/>
          <w:szCs w:val="12"/>
          <w:color w:val="008000"/>
        </w:rPr>
      </w:pPr>
    </w:p>
    <w:p>
      <w:pPr>
        <w:ind w:left="40" w:right="120" w:firstLine="9"/>
        <w:spacing w:after="0" w:line="273" w:lineRule="auto"/>
        <w:tabs>
          <w:tab w:leader="none" w:pos="175"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These securities of the Issuer are held by KKR Vision Aggregator L.P. The general partner of KKR Vision Aggregator L.P. is KKR Vision Aggregator GP LLC. The sole member of KKR Vision Aggregator GP LLC is KKR North America Fund XI L.P. The general partner of KKR North America Fund XI L.P. is KKR Associates North America XI L.P. The general partner of KKR Associates North America XI L.P. is KKR North America XI Limited. The sole shareholder of KKR North America XI Limited is KKR Fund Holdings L.P. KKR Fund Holdings GP Limited is a general partner of KKR Fund Holdings L.P. KKR Group Holdings Corp. is a general partner of KKR Fund Holdings L.P. and the sole shareholder of KKR Fund Holdings GP Limited. KKR &amp; Co. Inc. is the sole shareholder of KKR Group Holdings Corp. KKR Management LLC is the controlling shareholder of KKR &amp; Co. Inc. Messrs. Henry R. Kravis and George R. Roberts are the designated members of KKR Management LLC.</w:t>
      </w:r>
    </w:p>
    <w:p>
      <w:pPr>
        <w:spacing w:after="0" w:line="11" w:lineRule="exact"/>
        <w:rPr>
          <w:rFonts w:ascii="Arial" w:cs="Arial" w:eastAsia="Arial" w:hAnsi="Arial"/>
          <w:sz w:val="12"/>
          <w:szCs w:val="12"/>
          <w:color w:val="008000"/>
        </w:rPr>
      </w:pPr>
    </w:p>
    <w:p>
      <w:pPr>
        <w:ind w:left="40" w:right="20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Reporting Person may be deemed to be the beneficial owner of all or a portion of the securities reported herein. The filing of this statement shall not be deemed to be an admission that, for purposes of Section 16 of the Securities Exchange Act of 1934, as amended (the "Exchange Act") or otherwise, the Reporting Person is the beneficial owner of any securities reported herein, and the Reporting Person disclaims beneficial ownership of such securities except to the extent of its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480"/>
        <w:spacing w:after="0" w:line="239" w:lineRule="auto"/>
        <w:rPr>
          <w:sz w:val="20"/>
          <w:szCs w:val="20"/>
          <w:color w:val="auto"/>
        </w:rPr>
      </w:pPr>
      <w:r>
        <w:rPr>
          <w:rFonts w:ascii="Arial" w:cs="Arial" w:eastAsia="Arial" w:hAnsi="Arial"/>
          <w:sz w:val="14"/>
          <w:szCs w:val="14"/>
          <w:color w:val="008000"/>
        </w:rPr>
        <w:t>The acquisition of beneficial ownership is exempt from Section 16 of the Exchange Act, pursuant to Section 16(b) of the Exchange Act and Rule 16a-2(c) thereunder. Exhibit List: Exhibit 24 - Power of Attorney.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KKR GROUP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8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CORP. By: /s/ Terence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07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7745" cy="8890"/>
                    </a:xfrm>
                    <a:prstGeom prst="rect">
                      <a:avLst/>
                    </a:prstGeom>
                    <a:noFill/>
                  </pic:spPr>
                </pic:pic>
              </a:graphicData>
            </a:graphic>
          </wp:anchor>
        </w:drawing>
      </w:r>
    </w:p>
    <w:p>
      <w:pPr>
        <w:ind w:left="6860"/>
        <w:spacing w:after="0" w:line="211" w:lineRule="auto"/>
        <w:tabs>
          <w:tab w:leader="none" w:pos="9140" w:val="left"/>
        </w:tabs>
        <w:rPr>
          <w:sz w:val="20"/>
          <w:szCs w:val="20"/>
          <w:color w:val="auto"/>
        </w:rPr>
      </w:pPr>
      <w:r>
        <w:rPr>
          <w:rFonts w:ascii="Arial" w:cs="Arial" w:eastAsia="Arial" w:hAnsi="Arial"/>
          <w:sz w:val="18"/>
          <w:szCs w:val="18"/>
          <w:color w:val="0000FF"/>
        </w:rPr>
        <w:t>Gallagher Name: Terence</w:t>
      </w:r>
      <w:r>
        <w:rPr>
          <w:sz w:val="20"/>
          <w:szCs w:val="20"/>
          <w:color w:val="auto"/>
        </w:rPr>
        <w:tab/>
      </w:r>
      <w:r>
        <w:rPr>
          <w:rFonts w:ascii="Arial" w:cs="Arial" w:eastAsia="Arial" w:hAnsi="Arial"/>
          <w:sz w:val="23"/>
          <w:szCs w:val="23"/>
          <w:color w:val="0000FF"/>
          <w:vertAlign w:val="subscript"/>
        </w:rPr>
        <w:t>07/02/2018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143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36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89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96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William J. Janetschek,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51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382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382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5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Know all men by these presents that William J. Janetschek does hereby make, constitute and appoint David J. Sorkin, Terence P.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449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J. Janetschek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1" Type="http://schemas.openxmlformats.org/officeDocument/2006/relationships/hyperlink" Target="http://www.sec.gov/cgi-bin/browse-edgar?action=getcompany&amp;CIK=0001743754"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2019-12-08T15:54:26Z</dcterms:created>
  <dcterms:modified xsi:type="dcterms:W3CDTF">2019-12-08T15:54:26Z</dcterms:modified>
</cp:coreProperties>
</file>