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Rasmussen Melissa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2"/>
          </w:tcPr>
          <w:p>
            <w:pPr>
              <w:ind w:left="8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National Vision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215"/>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02/28/2021</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211455</wp:posOffset>
            </wp:positionV>
            <wp:extent cx="6967220" cy="131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5720"/>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383</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center"/>
              <w:ind w:right="341"/>
              <w:spacing w:after="0"/>
              <w:rPr>
                <w:sz w:val="20"/>
                <w:szCs w:val="20"/>
                <w:color w:val="auto"/>
              </w:rPr>
            </w:pPr>
            <w:r>
              <w:rPr>
                <w:rFonts w:ascii="Arial" w:cs="Arial" w:eastAsia="Arial" w:hAnsi="Arial"/>
                <w:sz w:val="17"/>
                <w:szCs w:val="17"/>
                <w:color w:val="0000FF"/>
              </w:rPr>
              <w:t>494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02/28/2021</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136</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2"/>
                <w:szCs w:val="22"/>
                <w:color w:val="auto"/>
              </w:rPr>
            </w:pPr>
          </w:p>
        </w:tc>
        <w:tc>
          <w:tcPr>
            <w:tcW w:w="1320" w:type="dxa"/>
            <w:vAlign w:val="bottom"/>
            <w:gridSpan w:val="3"/>
          </w:tcPr>
          <w:p>
            <w:pPr>
              <w:jc w:val="right"/>
              <w:ind w:right="441"/>
              <w:spacing w:after="0"/>
              <w:rPr>
                <w:sz w:val="20"/>
                <w:szCs w:val="20"/>
                <w:color w:val="auto"/>
              </w:rPr>
            </w:pPr>
            <w:r>
              <w:rPr>
                <w:rFonts w:ascii="Arial" w:cs="Arial" w:eastAsia="Arial" w:hAnsi="Arial"/>
                <w:sz w:val="17"/>
                <w:szCs w:val="17"/>
                <w:color w:val="0000FF"/>
              </w:rPr>
              <w:t>358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(4)</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02/28/2021</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383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11,743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-2066925</wp:posOffset>
            </wp:positionV>
            <wp:extent cx="7033260" cy="211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1010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include 111 shares that were acquired pursuant to the employee stock purchase plan, which acquisitions are exempt from Section 16.</w:t>
      </w:r>
    </w:p>
    <w:p>
      <w:pPr>
        <w:spacing w:after="0" w:line="45" w:lineRule="exact"/>
        <w:rPr>
          <w:rFonts w:ascii="Arial" w:cs="Arial" w:eastAsia="Arial" w:hAnsi="Arial"/>
          <w:sz w:val="13"/>
          <w:szCs w:val="13"/>
          <w:color w:val="008000"/>
        </w:rPr>
      </w:pPr>
    </w:p>
    <w:p>
      <w:pPr>
        <w:ind w:left="40" w:right="4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2021, 383 restricted stock units vested and 136 shares of the Company's common stock were withheld to satisfy tax withholding obligations. The closing price on February 26, 2021 (as February 28, 2021 fell on a weekend) of the Company's common stock on NASDAQ was $47.49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1,149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03/02/2021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2487" TargetMode="External"/><Relationship Id="rId14"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2021-03-02T15:42:18Z</dcterms:created>
  <dcterms:modified xsi:type="dcterms:W3CDTF">2021-03-02T15:42:18Z</dcterms:modified>
</cp:coreProperties>
</file>