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0"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before="0" w:after="120"/>
        <w:jc w:val="center"/>
        <w:rPr/>
      </w:pPr>
      <w:r>
        <w:rPr/>
      </w:r>
    </w:p>
    <w:p>
      <w:pPr>
        <w:pStyle w:val="TextBody"/>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8-K </w:t>
      </w:r>
    </w:p>
    <w:p>
      <w:pPr>
        <w:pStyle w:val="TextBody"/>
        <w:spacing w:lineRule="auto" w:line="276" w:before="10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spacing w:before="100" w:after="283"/>
        <w:jc w:val="center"/>
        <w:rPr/>
      </w:pPr>
      <w:r>
        <w:rPr/>
      </w:r>
    </w:p>
    <w:p>
      <w:pPr>
        <w:pStyle w:val="TextBody"/>
        <w:spacing w:lineRule="auto" w:line="276" w:before="0" w:after="10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Pursuant to Section 13 or 15(d) of the Securities Exchange Act of 1934</w:t>
      </w:r>
    </w:p>
    <w:p>
      <w:pPr>
        <w:pStyle w:val="TextBody"/>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Date of Report (Date of Earliest Event reported):</w:t>
      </w:r>
    </w:p>
    <w:p>
      <w:pPr>
        <w:pStyle w:val="TextBody"/>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September 27, 2021 </w:t>
      </w:r>
    </w:p>
    <w:p>
      <w:pPr>
        <w:pStyle w:val="TextBody"/>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spacing w:lineRule="auto" w:line="276"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National Vision Holdings, Inc. </w:t>
      </w:r>
    </w:p>
    <w:p>
      <w:pPr>
        <w:pStyle w:val="TextBody"/>
        <w:spacing w:lineRule="auto" w:line="276"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76" w:before="10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spacing w:before="100" w:after="283"/>
        <w:jc w:val="center"/>
        <w:rPr/>
      </w:pPr>
      <w:r>
        <w:rPr/>
      </w:r>
    </w:p>
    <w:p>
      <w:pPr>
        <w:pStyle w:val="TextBody"/>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001-38257 </w:t>
      </w:r>
    </w:p>
    <w:tbl>
      <w:tblPr>
        <w:tblW w:w="4377" w:type="dxa"/>
        <w:jc w:val="center"/>
        <w:tblInd w:w="0" w:type="dxa"/>
        <w:tblCellMar>
          <w:top w:w="28" w:type="dxa"/>
          <w:left w:w="28" w:type="dxa"/>
          <w:bottom w:w="28" w:type="dxa"/>
          <w:right w:w="28" w:type="dxa"/>
        </w:tblCellMar>
      </w:tblPr>
      <w:tblGrid>
        <w:gridCol w:w="348"/>
        <w:gridCol w:w="307"/>
        <w:gridCol w:w="307"/>
        <w:gridCol w:w="341"/>
        <w:gridCol w:w="341"/>
        <w:gridCol w:w="342"/>
        <w:gridCol w:w="307"/>
        <w:gridCol w:w="307"/>
        <w:gridCol w:w="322"/>
        <w:gridCol w:w="424"/>
        <w:gridCol w:w="424"/>
        <w:gridCol w:w="607"/>
      </w:tblGrid>
      <w:tr>
        <w:trPr/>
        <w:tc>
          <w:tcPr>
            <w:tcW w:w="34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46-4841717</w:t>
            </w:r>
          </w:p>
        </w:tc>
      </w:tr>
      <w:tr>
        <w:trPr/>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2435 Commerce Ave.</w:t>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Building 2200</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30096</w:t>
            </w:r>
          </w:p>
        </w:tc>
      </w:tr>
      <w:tr>
        <w:trPr/>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Duluth,</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Georgia</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29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(770) 822</w:t>
        <w:noBreakHyphen/>
        <w:t xml:space="preserve">3600 </w:t>
      </w:r>
    </w:p>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76" w:before="100" w:after="12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60" w:after="60"/>
        <w:ind w:left="0" w:right="0" w:hanging="360"/>
        <w:rPr/>
      </w:pPr>
      <w:r>
        <w:rPr>
          <w:color w:val="000000"/>
        </w:rPr>
        <w:t>☐    </w:t>
      </w:r>
      <w:r>
        <w:rPr>
          <w:rFonts w:ascii="Times New Roman;sans-serif" w:hAnsi="Times New Roman;sans-serif"/>
          <w:b w:val="false"/>
          <w:color w:val="000000"/>
          <w:sz w:val="20"/>
        </w:rPr>
        <w:t>Written communications pursuant to Rule 425 under the Securities Act (17 CFR 230.42</w:t>
      </w:r>
    </w:p>
    <w:p>
      <w:pPr>
        <w:pStyle w:val="TextBody"/>
        <w:spacing w:lineRule="auto" w:line="288" w:before="60" w:after="60"/>
        <w:ind w:left="0" w:right="0" w:hanging="36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60" w:after="60"/>
        <w:ind w:left="0" w:right="0" w:hanging="36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60" w:after="120"/>
        <w:ind w:left="0" w:right="0" w:hanging="36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43" w:type="dxa"/>
        <w:jc w:val="left"/>
        <w:tblInd w:w="0" w:type="dxa"/>
        <w:tblCellMar>
          <w:top w:w="28" w:type="dxa"/>
          <w:left w:w="28" w:type="dxa"/>
          <w:bottom w:w="28" w:type="dxa"/>
          <w:right w:w="28" w:type="dxa"/>
        </w:tblCellMar>
      </w:tblPr>
      <w:tblGrid>
        <w:gridCol w:w="1254"/>
        <w:gridCol w:w="1098"/>
        <w:gridCol w:w="1113"/>
        <w:gridCol w:w="109"/>
        <w:gridCol w:w="109"/>
        <w:gridCol w:w="109"/>
        <w:gridCol w:w="539"/>
        <w:gridCol w:w="539"/>
        <w:gridCol w:w="541"/>
        <w:gridCol w:w="109"/>
        <w:gridCol w:w="109"/>
        <w:gridCol w:w="109"/>
        <w:gridCol w:w="1085"/>
        <w:gridCol w:w="1085"/>
        <w:gridCol w:w="1535"/>
      </w:tblGrid>
      <w:tr>
        <w:trPr/>
        <w:tc>
          <w:tcPr>
            <w:tcW w:w="125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Title of each class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EYE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88" w:before="0" w:after="120"/>
        <w:ind w:left="0" w:right="0" w:firstLine="720"/>
        <w:rPr/>
      </w:pPr>
      <w:r>
        <w:rPr>
          <w:rFonts w:ascii="Times New Roman;sans-serif" w:hAnsi="Times New Roman;sans-serif"/>
          <w:b w:val="false"/>
          <w:color w:val="000000"/>
          <w:sz w:val="20"/>
        </w:rPr>
        <w:t xml:space="preserve">Emerging growth company </w:t>
      </w:r>
      <w:r>
        <w:rPr>
          <w:color w:val="000000"/>
        </w:rPr>
        <w:t xml:space="preserve">☐ </w:t>
      </w:r>
    </w:p>
    <w:p>
      <w:pPr>
        <w:pStyle w:val="TextBody"/>
        <w:spacing w:lineRule="auto" w:line="288" w:before="0" w:after="120"/>
        <w:rPr/>
      </w:pPr>
      <w:r>
        <w:rPr>
          <w:color w:val="000000"/>
        </w:rPr>
        <w:t>    </w:t>
      </w: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20"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spacing w:lineRule="auto" w:line="288" w:before="0" w:after="0"/>
        <w:ind w:left="0" w:right="0" w:firstLine="720"/>
        <w:jc w:val="both"/>
        <w:rPr/>
      </w:pPr>
      <w:r>
        <w:rPr>
          <w:rFonts w:ascii="Times New Roman;sans-serif" w:hAnsi="Times New Roman;sans-serif"/>
          <w:b w:val="false"/>
          <w:color w:val="000000"/>
          <w:sz w:val="20"/>
        </w:rPr>
        <w:t>On September 27, 2021, National Vision, Inc. (“</w:t>
      </w:r>
      <w:r>
        <w:rPr>
          <w:rFonts w:ascii="Times New Roman;sans-serif" w:hAnsi="Times New Roman;sans-serif"/>
          <w:b w:val="false"/>
          <w:color w:val="000000"/>
          <w:sz w:val="20"/>
          <w:u w:val="single"/>
        </w:rPr>
        <w:t>NVI</w:t>
      </w:r>
      <w:r>
        <w:rPr>
          <w:color w:val="000000"/>
        </w:rPr>
        <w:t>”</w:t>
      </w:r>
      <w:r>
        <w:rPr>
          <w:rFonts w:ascii="Times New Roman;sans-serif" w:hAnsi="Times New Roman;sans-serif"/>
          <w:b w:val="false"/>
          <w:color w:val="000000"/>
          <w:sz w:val="20"/>
        </w:rPr>
        <w:t>), a wholly-owned subsidiary of National Vision Holdings,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xml:space="preserve">), announced that Joan Blackwood, Chief Marketing Officer, will be departing NVI as of December 31, 2021 to pursue other opportunities. In connection with her departure, Ms. Blackwood will become entitled to certain payments and benefits that are currently provided in the Company’s Executive Severance Plan, which was previously filed as </w:t>
      </w:r>
      <w:r>
        <w:rPr>
          <w:rFonts w:ascii="Times New Roman;sans-serif" w:hAnsi="Times New Roman;sans-serif"/>
          <w:b w:val="false"/>
          <w:color w:val="000000"/>
          <w:sz w:val="20"/>
          <w:highlight w:val="white"/>
        </w:rPr>
        <w:t>Exhibit 10.1 to the Company’s Current Report on Form 8-K filed on December 18, 2018.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by the undersigned hereunto duly authorized. </w:t>
      </w:r>
    </w:p>
    <w:tbl>
      <w:tblPr>
        <w:tblW w:w="7972" w:type="dxa"/>
        <w:jc w:val="center"/>
        <w:tblInd w:w="0" w:type="dxa"/>
        <w:tblCellMar>
          <w:top w:w="28" w:type="dxa"/>
          <w:left w:w="28" w:type="dxa"/>
          <w:bottom w:w="28" w:type="dxa"/>
          <w:right w:w="28" w:type="dxa"/>
        </w:tblCellMar>
      </w:tblPr>
      <w:tblGrid>
        <w:gridCol w:w="802"/>
        <w:gridCol w:w="707"/>
        <w:gridCol w:w="711"/>
        <w:gridCol w:w="109"/>
        <w:gridCol w:w="109"/>
        <w:gridCol w:w="109"/>
        <w:gridCol w:w="208"/>
        <w:gridCol w:w="208"/>
        <w:gridCol w:w="213"/>
        <w:gridCol w:w="109"/>
        <w:gridCol w:w="109"/>
        <w:gridCol w:w="109"/>
        <w:gridCol w:w="1308"/>
        <w:gridCol w:w="1308"/>
        <w:gridCol w:w="1853"/>
      </w:tblGrid>
      <w:tr>
        <w:trPr/>
        <w:tc>
          <w:tcPr>
            <w:tcW w:w="80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Vision Holdings, Inc.</w:t>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27,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Jared Brandman</w:t>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Jared Brandman</w:t>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450</Words>
  <CharactersWithSpaces>3310</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