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890"/>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352"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10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May 11, 2023</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9" w:lineRule="exact"/>
        <w:rPr>
          <w:sz w:val="24"/>
          <w:szCs w:val="24"/>
          <w:color w:val="auto"/>
        </w:rPr>
      </w:pPr>
    </w:p>
    <w:tbl>
      <w:tblPr>
        <w:tblLayout w:type="fixed"/>
        <w:tblInd w:w="1900" w:type="dxa"/>
        <w:tblCellMar>
          <w:top w:w="0" w:type="dxa"/>
          <w:left w:w="0" w:type="dxa"/>
          <w:bottom w:w="0" w:type="dxa"/>
          <w:right w:w="0" w:type="dxa"/>
        </w:tblCellMar>
      </w:tblPr>
      <w:tr>
        <w:trPr>
          <w:trHeight w:val="210"/>
        </w:trPr>
        <w:tc>
          <w:tcPr>
            <w:tcW w:w="5500" w:type="dxa"/>
            <w:vAlign w:val="bottom"/>
          </w:tcPr>
          <w:p>
            <w:pPr>
              <w:jc w:val="center"/>
              <w:ind w:left="1859"/>
              <w:spacing w:after="0"/>
              <w:rPr>
                <w:sz w:val="20"/>
                <w:szCs w:val="20"/>
                <w:color w:val="auto"/>
              </w:rPr>
            </w:pPr>
            <w:r>
              <w:rPr>
                <w:rFonts w:ascii="Arial" w:cs="Arial" w:eastAsia="Arial" w:hAnsi="Arial"/>
                <w:sz w:val="16"/>
                <w:szCs w:val="16"/>
                <w:b w:val="1"/>
                <w:bCs w:val="1"/>
                <w:color w:val="auto"/>
                <w:w w:val="91"/>
              </w:rPr>
              <w:t>Commission file number 001-38257</w:t>
            </w:r>
          </w:p>
        </w:tc>
        <w:tc>
          <w:tcPr>
            <w:tcW w:w="1280" w:type="dxa"/>
            <w:vAlign w:val="bottom"/>
          </w:tcPr>
          <w:p>
            <w:pPr>
              <w:spacing w:after="0"/>
              <w:rPr>
                <w:sz w:val="18"/>
                <w:szCs w:val="18"/>
                <w:color w:val="auto"/>
              </w:rPr>
            </w:pPr>
          </w:p>
        </w:tc>
      </w:tr>
      <w:tr>
        <w:trPr>
          <w:trHeight w:val="324"/>
        </w:trPr>
        <w:tc>
          <w:tcPr>
            <w:tcW w:w="5500" w:type="dxa"/>
            <w:vAlign w:val="bottom"/>
          </w:tcPr>
          <w:p>
            <w:pPr>
              <w:jc w:val="center"/>
              <w:ind w:right="2859"/>
              <w:spacing w:after="0"/>
              <w:rPr>
                <w:sz w:val="20"/>
                <w:szCs w:val="20"/>
                <w:color w:val="auto"/>
              </w:rPr>
            </w:pPr>
            <w:r>
              <w:rPr>
                <w:rFonts w:ascii="Arial" w:cs="Arial" w:eastAsia="Arial" w:hAnsi="Arial"/>
                <w:sz w:val="16"/>
                <w:szCs w:val="16"/>
                <w:b w:val="1"/>
                <w:bCs w:val="1"/>
                <w:color w:val="auto"/>
                <w:w w:val="91"/>
              </w:rPr>
              <w:t>Delaware</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5500" w:type="dxa"/>
            <w:vAlign w:val="bottom"/>
          </w:tcPr>
          <w:p>
            <w:pPr>
              <w:jc w:val="center"/>
              <w:ind w:right="2859"/>
              <w:spacing w:after="0"/>
              <w:rPr>
                <w:sz w:val="20"/>
                <w:szCs w:val="20"/>
                <w:color w:val="auto"/>
              </w:rPr>
            </w:pPr>
            <w:r>
              <w:rPr>
                <w:rFonts w:ascii="Arial" w:cs="Arial" w:eastAsia="Arial" w:hAnsi="Arial"/>
                <w:sz w:val="16"/>
                <w:szCs w:val="16"/>
                <w:color w:val="auto"/>
                <w:w w:val="93"/>
              </w:rPr>
              <w:t>(State or other jurisdiction of</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06"/>
        </w:trPr>
        <w:tc>
          <w:tcPr>
            <w:tcW w:w="5500" w:type="dxa"/>
            <w:vAlign w:val="bottom"/>
          </w:tcPr>
          <w:p>
            <w:pPr>
              <w:jc w:val="center"/>
              <w:ind w:right="2859"/>
              <w:spacing w:after="0"/>
              <w:rPr>
                <w:sz w:val="20"/>
                <w:szCs w:val="20"/>
                <w:color w:val="auto"/>
              </w:rPr>
            </w:pPr>
            <w:r>
              <w:rPr>
                <w:rFonts w:ascii="Arial" w:cs="Arial" w:eastAsia="Arial" w:hAnsi="Arial"/>
                <w:sz w:val="16"/>
                <w:szCs w:val="16"/>
                <w:color w:val="auto"/>
                <w:w w:val="94"/>
              </w:rPr>
              <w:t>incorporation or organization)</w:t>
            </w: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Identification No.)</w:t>
            </w:r>
          </w:p>
        </w:tc>
      </w:tr>
      <w:tr>
        <w:trPr>
          <w:trHeight w:val="270"/>
        </w:trPr>
        <w:tc>
          <w:tcPr>
            <w:tcW w:w="5500" w:type="dxa"/>
            <w:vAlign w:val="bottom"/>
          </w:tcPr>
          <w:p>
            <w:pPr>
              <w:jc w:val="center"/>
              <w:ind w:right="2859"/>
              <w:spacing w:after="0"/>
              <w:rPr>
                <w:sz w:val="20"/>
                <w:szCs w:val="20"/>
                <w:color w:val="auto"/>
              </w:rPr>
            </w:pPr>
            <w:r>
              <w:rPr>
                <w:rFonts w:ascii="Arial" w:cs="Arial" w:eastAsia="Arial" w:hAnsi="Arial"/>
                <w:sz w:val="16"/>
                <w:szCs w:val="16"/>
                <w:b w:val="1"/>
                <w:bCs w:val="1"/>
                <w:color w:val="auto"/>
                <w:w w:val="89"/>
              </w:rPr>
              <w:t>2435 Commerce Ave.</w:t>
            </w:r>
          </w:p>
        </w:tc>
        <w:tc>
          <w:tcPr>
            <w:tcW w:w="1280" w:type="dxa"/>
            <w:vAlign w:val="bottom"/>
          </w:tcPr>
          <w:p>
            <w:pPr>
              <w:spacing w:after="0"/>
              <w:rPr>
                <w:sz w:val="23"/>
                <w:szCs w:val="23"/>
                <w:color w:val="auto"/>
              </w:rPr>
            </w:pPr>
          </w:p>
        </w:tc>
      </w:tr>
      <w:tr>
        <w:trPr>
          <w:trHeight w:val="216"/>
        </w:trPr>
        <w:tc>
          <w:tcPr>
            <w:tcW w:w="5500" w:type="dxa"/>
            <w:vAlign w:val="bottom"/>
          </w:tcPr>
          <w:p>
            <w:pPr>
              <w:jc w:val="center"/>
              <w:ind w:right="2859"/>
              <w:spacing w:after="0"/>
              <w:rPr>
                <w:sz w:val="20"/>
                <w:szCs w:val="20"/>
                <w:color w:val="auto"/>
              </w:rPr>
            </w:pPr>
            <w:r>
              <w:rPr>
                <w:rFonts w:ascii="Arial" w:cs="Arial" w:eastAsia="Arial" w:hAnsi="Arial"/>
                <w:sz w:val="16"/>
                <w:szCs w:val="16"/>
                <w:b w:val="1"/>
                <w:bCs w:val="1"/>
                <w:color w:val="auto"/>
                <w:w w:val="92"/>
              </w:rPr>
              <w:t>Building 2200</w:t>
            </w:r>
          </w:p>
        </w:tc>
        <w:tc>
          <w:tcPr>
            <w:tcW w:w="128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5500" w:type="dxa"/>
            <w:vAlign w:val="bottom"/>
          </w:tcPr>
          <w:p>
            <w:pPr>
              <w:jc w:val="center"/>
              <w:ind w:right="2859"/>
              <w:spacing w:after="0"/>
              <w:rPr>
                <w:sz w:val="20"/>
                <w:szCs w:val="20"/>
                <w:color w:val="auto"/>
              </w:rPr>
            </w:pPr>
            <w:r>
              <w:rPr>
                <w:rFonts w:ascii="Arial" w:cs="Arial" w:eastAsia="Arial" w:hAnsi="Arial"/>
                <w:sz w:val="16"/>
                <w:szCs w:val="16"/>
                <w:b w:val="1"/>
                <w:bCs w:val="1"/>
                <w:color w:val="auto"/>
                <w:w w:val="93"/>
              </w:rPr>
              <w:t>Duluth, Georgia</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(Zip Code)</w:t>
            </w:r>
          </w:p>
        </w:tc>
      </w:tr>
      <w:tr>
        <w:trPr>
          <w:trHeight w:val="216"/>
        </w:trPr>
        <w:tc>
          <w:tcPr>
            <w:tcW w:w="5500" w:type="dxa"/>
            <w:vAlign w:val="bottom"/>
          </w:tcPr>
          <w:p>
            <w:pPr>
              <w:jc w:val="center"/>
              <w:ind w:right="2859"/>
              <w:spacing w:after="0"/>
              <w:rPr>
                <w:sz w:val="20"/>
                <w:szCs w:val="20"/>
                <w:color w:val="auto"/>
              </w:rPr>
            </w:pPr>
            <w:r>
              <w:rPr>
                <w:rFonts w:ascii="Arial" w:cs="Arial" w:eastAsia="Arial" w:hAnsi="Arial"/>
                <w:sz w:val="16"/>
                <w:szCs w:val="16"/>
                <w:color w:val="auto"/>
                <w:w w:val="93"/>
              </w:rPr>
              <w:t>(Address of principal executive offices)</w:t>
            </w:r>
          </w:p>
        </w:tc>
        <w:tc>
          <w:tcPr>
            <w:tcW w:w="1280" w:type="dxa"/>
            <w:vAlign w:val="bottom"/>
          </w:tcPr>
          <w:p>
            <w:pPr>
              <w:spacing w:after="0"/>
              <w:rPr>
                <w:sz w:val="18"/>
                <w:szCs w:val="18"/>
                <w:color w:val="auto"/>
              </w:rPr>
            </w:pPr>
          </w:p>
        </w:tc>
      </w:tr>
      <w:tr>
        <w:trPr>
          <w:trHeight w:val="280"/>
        </w:trPr>
        <w:tc>
          <w:tcPr>
            <w:tcW w:w="5500" w:type="dxa"/>
            <w:vAlign w:val="bottom"/>
          </w:tcPr>
          <w:p>
            <w:pPr>
              <w:jc w:val="center"/>
              <w:ind w:left="187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80" w:type="dxa"/>
            <w:vAlign w:val="bottom"/>
          </w:tcPr>
          <w:p>
            <w:pPr>
              <w:spacing w:after="0"/>
              <w:rPr>
                <w:sz w:val="24"/>
                <w:szCs w:val="24"/>
                <w:color w:val="auto"/>
              </w:rPr>
            </w:pPr>
          </w:p>
        </w:tc>
      </w:tr>
      <w:tr>
        <w:trPr>
          <w:trHeight w:val="206"/>
        </w:trPr>
        <w:tc>
          <w:tcPr>
            <w:tcW w:w="5500" w:type="dxa"/>
            <w:vAlign w:val="bottom"/>
          </w:tcPr>
          <w:p>
            <w:pPr>
              <w:jc w:val="center"/>
              <w:ind w:left="1859"/>
              <w:spacing w:after="0"/>
              <w:rPr>
                <w:sz w:val="20"/>
                <w:szCs w:val="20"/>
                <w:color w:val="auto"/>
              </w:rPr>
            </w:pPr>
            <w:r>
              <w:rPr>
                <w:rFonts w:ascii="Arial" w:cs="Arial" w:eastAsia="Arial" w:hAnsi="Arial"/>
                <w:sz w:val="16"/>
                <w:szCs w:val="16"/>
                <w:color w:val="auto"/>
                <w:w w:val="91"/>
              </w:rPr>
              <w:t>(Registrant’s telephone number, including area code)</w:t>
            </w:r>
          </w:p>
        </w:tc>
        <w:tc>
          <w:tcPr>
            <w:tcW w:w="1280" w:type="dxa"/>
            <w:vAlign w:val="bottom"/>
          </w:tcPr>
          <w:p>
            <w:pPr>
              <w:spacing w:after="0"/>
              <w:rPr>
                <w:sz w:val="17"/>
                <w:szCs w:val="17"/>
                <w:color w:val="auto"/>
              </w:rPr>
            </w:pPr>
          </w:p>
        </w:tc>
      </w:tr>
    </w:tbl>
    <w:p>
      <w:pPr>
        <w:spacing w:after="0" w:line="8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364"/>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EYE</w:t>
            </w:r>
          </w:p>
        </w:tc>
        <w:tc>
          <w:tcPr>
            <w:tcW w:w="120" w:type="dxa"/>
            <w:vAlign w:val="bottom"/>
          </w:tcPr>
          <w:p>
            <w:pPr>
              <w:spacing w:after="0"/>
              <w:rPr>
                <w:sz w:val="19"/>
                <w:szCs w:val="19"/>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0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25400"/>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11, 2023, National Vision Holdings, Inc. (“</w:t>
      </w:r>
      <w:r>
        <w:rPr>
          <w:rFonts w:ascii="Arial" w:cs="Arial" w:eastAsia="Arial" w:hAnsi="Arial"/>
          <w:sz w:val="18"/>
          <w:szCs w:val="18"/>
          <w:u w:val="single" w:color="auto"/>
          <w:color w:val="auto"/>
        </w:rPr>
        <w:t>National Vision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announcing financial results for the quarter ended April 1, 2023. A copy of the release is furnished herewith as Exhibit 99.1 and incorporated by reference herein.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Item 2.02 of this Current Report on Form 8-K, including Exhibit 99.1, is being furnished to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pursuant to Item 2.02 of Form 8-K and shall not be deemed to be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60" w:type="dxa"/>
            <w:vAlign w:val="bottom"/>
          </w:tcPr>
          <w:p>
            <w:pPr>
              <w:ind w:left="2140"/>
              <w:spacing w:after="0"/>
              <w:rPr>
                <w:sz w:val="20"/>
                <w:szCs w:val="20"/>
                <w:color w:val="auto"/>
              </w:rPr>
            </w:pPr>
            <w:r>
              <w:rPr>
                <w:rFonts w:ascii="Arial" w:cs="Arial" w:eastAsia="Arial" w:hAnsi="Arial"/>
                <w:sz w:val="18"/>
                <w:szCs w:val="18"/>
                <w:b w:val="1"/>
                <w:bCs w:val="1"/>
                <w:color w:val="auto"/>
              </w:rPr>
              <w:t>EXHIBIT INDEX</w:t>
            </w:r>
          </w:p>
        </w:tc>
      </w:tr>
      <w:tr>
        <w:trPr>
          <w:trHeight w:val="311"/>
        </w:trPr>
        <w:tc>
          <w:tcPr>
            <w:tcW w:w="4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106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460" w:type="dxa"/>
            <w:vAlign w:val="bottom"/>
          </w:tcPr>
          <w:p>
            <w:pPr>
              <w:spacing w:after="0"/>
              <w:rPr>
                <w:sz w:val="24"/>
                <w:szCs w:val="24"/>
                <w:color w:val="auto"/>
              </w:rPr>
            </w:pPr>
          </w:p>
        </w:tc>
      </w:tr>
      <w:tr>
        <w:trPr>
          <w:trHeight w:val="209"/>
        </w:trPr>
        <w:tc>
          <w:tcPr>
            <w:tcW w:w="340" w:type="dxa"/>
            <w:vAlign w:val="bottom"/>
            <w:gridSpan w:val="2"/>
          </w:tcPr>
          <w:p>
            <w:pPr>
              <w:ind w:left="40"/>
              <w:spacing w:after="0"/>
              <w:rPr>
                <w:sz w:val="20"/>
                <w:szCs w:val="20"/>
                <w:color w:val="auto"/>
              </w:rPr>
            </w:pPr>
            <w:r>
              <w:rPr>
                <w:rFonts w:ascii="Arial" w:cs="Arial" w:eastAsia="Arial" w:hAnsi="Arial"/>
                <w:sz w:val="18"/>
                <w:szCs w:val="18"/>
                <w:color w:val="0000FF"/>
                <w:w w:val="79"/>
              </w:rPr>
              <w:t>99.</w:t>
            </w:r>
            <w:r>
              <w:rPr>
                <w:rFonts w:ascii="Arial" w:cs="Arial" w:eastAsia="Arial" w:hAnsi="Arial"/>
                <w:sz w:val="18"/>
                <w:szCs w:val="18"/>
                <w:u w:val="single" w:color="auto"/>
                <w:color w:val="0000FF"/>
                <w:w w:val="79"/>
              </w:rPr>
              <w:t>1</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May 11, 2023.</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00" w:type="dxa"/>
            <w:vAlign w:val="bottom"/>
            <w:gridSpan w:val="2"/>
          </w:tcPr>
          <w:p>
            <w:pPr>
              <w:spacing w:after="0" w:line="20" w:lineRule="exact"/>
              <w:rPr>
                <w:sz w:val="1"/>
                <w:szCs w:val="1"/>
                <w:color w:val="auto"/>
              </w:rPr>
            </w:pPr>
          </w:p>
        </w:tc>
      </w:tr>
      <w:tr>
        <w:trPr>
          <w:trHeight w:val="250"/>
        </w:trPr>
        <w:tc>
          <w:tcPr>
            <w:tcW w:w="340" w:type="dxa"/>
            <w:vAlign w:val="bottom"/>
            <w:gridSpan w:val="2"/>
          </w:tcPr>
          <w:p>
            <w:pPr>
              <w:ind w:left="40"/>
              <w:spacing w:after="0"/>
              <w:rPr>
                <w:sz w:val="20"/>
                <w:szCs w:val="20"/>
                <w:color w:val="auto"/>
              </w:rPr>
            </w:pPr>
            <w:r>
              <w:rPr>
                <w:rFonts w:ascii="Arial" w:cs="Arial" w:eastAsia="Arial" w:hAnsi="Arial"/>
                <w:sz w:val="18"/>
                <w:szCs w:val="18"/>
                <w:color w:val="auto"/>
                <w:w w:val="93"/>
              </w:rPr>
              <w:t>104</w:t>
            </w: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91"/>
        </w:trPr>
        <w:tc>
          <w:tcPr>
            <w:tcW w:w="2780" w:type="dxa"/>
            <w:vAlign w:val="bottom"/>
          </w:tcPr>
          <w:p>
            <w:pPr>
              <w:spacing w:after="0"/>
              <w:rPr>
                <w:sz w:val="20"/>
                <w:szCs w:val="20"/>
                <w:color w:val="auto"/>
              </w:rPr>
            </w:pPr>
            <w:r>
              <w:rPr>
                <w:rFonts w:ascii="Arial" w:cs="Arial" w:eastAsia="Arial" w:hAnsi="Arial"/>
                <w:sz w:val="18"/>
                <w:szCs w:val="18"/>
                <w:color w:val="auto"/>
              </w:rPr>
              <w:t>Date: May 11, 2023</w:t>
            </w:r>
          </w:p>
        </w:tc>
        <w:tc>
          <w:tcPr>
            <w:tcW w:w="2700" w:type="dxa"/>
            <w:vAlign w:val="bottom"/>
          </w:tcPr>
          <w:p>
            <w:pPr>
              <w:ind w:left="136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24"/>
        </w:trPr>
        <w:tc>
          <w:tcPr>
            <w:tcW w:w="2780" w:type="dxa"/>
            <w:vAlign w:val="bottom"/>
          </w:tcPr>
          <w:p>
            <w:pPr>
              <w:spacing w:after="0"/>
              <w:rPr>
                <w:sz w:val="19"/>
                <w:szCs w:val="19"/>
                <w:color w:val="auto"/>
              </w:rPr>
            </w:pPr>
          </w:p>
        </w:tc>
        <w:tc>
          <w:tcPr>
            <w:tcW w:w="2700" w:type="dxa"/>
            <w:vAlign w:val="bottom"/>
          </w:tcPr>
          <w:p>
            <w:pPr>
              <w:ind w:left="1360"/>
              <w:spacing w:after="0"/>
              <w:rPr>
                <w:sz w:val="20"/>
                <w:szCs w:val="20"/>
                <w:color w:val="auto"/>
              </w:rPr>
            </w:pPr>
            <w:r>
              <w:rPr>
                <w:rFonts w:ascii="Arial" w:cs="Arial" w:eastAsia="Arial" w:hAnsi="Arial"/>
                <w:sz w:val="18"/>
                <w:szCs w:val="18"/>
                <w:color w:val="auto"/>
              </w:rPr>
              <w:t>Name:</w:t>
            </w:r>
          </w:p>
        </w:tc>
        <w:tc>
          <w:tcPr>
            <w:tcW w:w="516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42"/>
        </w:trPr>
        <w:tc>
          <w:tcPr>
            <w:tcW w:w="2780" w:type="dxa"/>
            <w:vAlign w:val="bottom"/>
          </w:tcPr>
          <w:p>
            <w:pPr>
              <w:spacing w:after="0"/>
              <w:rPr>
                <w:sz w:val="21"/>
                <w:szCs w:val="21"/>
                <w:color w:val="auto"/>
              </w:rPr>
            </w:pPr>
          </w:p>
        </w:tc>
        <w:tc>
          <w:tcPr>
            <w:tcW w:w="2700" w:type="dxa"/>
            <w:vAlign w:val="bottom"/>
          </w:tcPr>
          <w:p>
            <w:pPr>
              <w:ind w:left="1360"/>
              <w:spacing w:after="0"/>
              <w:rPr>
                <w:sz w:val="20"/>
                <w:szCs w:val="20"/>
                <w:color w:val="auto"/>
              </w:rPr>
            </w:pPr>
            <w:r>
              <w:rPr>
                <w:rFonts w:ascii="Arial" w:cs="Arial" w:eastAsia="Arial" w:hAnsi="Arial"/>
                <w:sz w:val="18"/>
                <w:szCs w:val="18"/>
                <w:color w:val="auto"/>
              </w:rPr>
              <w:t>Title:</w:t>
            </w:r>
          </w:p>
        </w:tc>
        <w:tc>
          <w:tcPr>
            <w:tcW w:w="516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00"/>
          </w:cols>
          <w:pgMar w:left="320" w:top="891" w:right="37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1105535"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Reports First Quarter 2023 Financial Results</w:t>
      </w:r>
    </w:p>
    <w:p>
      <w:pPr>
        <w:spacing w:after="0" w:line="26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of $562.4 million, an increase of 6.6% from Q1 2022</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3.0% and Adjusted Comparable Store Sales Growth of 0.8% from Q1 2022</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of $18.3 million and Diluted EPS of $0.22 compared to $30.1 million and $0.34, respectively in Q1 2022</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of $39.9 million compared to $45.3 million in Q1 2022</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Diluted EPS of $0.31 compared to $0.33 in Q1 2022</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Reaffirms fiscal 2023 outlook</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May 11, 2023 </w:t>
      </w:r>
      <w:r>
        <w:rPr>
          <w:rFonts w:ascii="Arial" w:cs="Arial" w:eastAsia="Arial" w:hAnsi="Arial"/>
          <w:sz w:val="18"/>
          <w:szCs w:val="18"/>
          <w:color w:val="auto"/>
        </w:rPr>
        <w:t>-- National Vision Holdings, Inc. (NASDAQ: EYE) (“National Vision” or the “Company”) today reported its financial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quarter ended April 1, 2023.</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Reade Fahs, chief executive officer, stated, “Amidst an uncertain macro environment, we delivered positive comparable sales growth for the first quarter driven primarily by strength in our managed care business. Although we continue to experience exam capacity constraints and softness from our core uninsured customer, we are encouraged by the early results we are seeing with Optometrist recruiting and retention initiatives. We remain focused on executing against our strategic initiatives to evolve our operating model to thrive amidst the new realities facing our business and the industry and are reaffirming our guidance for fiscal 2023.”</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Adjusted Comparable Store Sales Growth, Adjusted Operating Income, Adjusted EBITDA, Adjusted Diluted EPS, Adjusted Operating Margin, Adjusted EBITDA Margin, and EBITDA are not measures recognized under generally accepted accounting principles (“GAAP”). Please see “Non-GAAP Financial Measures” and “Reconciliation of Non-GAAP to GAAP Financial Measures” below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2023 Summary</w:t>
      </w:r>
    </w:p>
    <w:p>
      <w:pPr>
        <w:spacing w:after="0" w:line="27" w:lineRule="exact"/>
        <w:rPr>
          <w:sz w:val="20"/>
          <w:szCs w:val="20"/>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increased 6.6% to $562.4 million compared to the first quarter of 2022. Net revenue was positively impacted by 2.0% due to the timing of unearned revenue on net revenue.</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growth was 3.0% and Adjusted Comparable Store Sales Growth was 0.8%.</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opened eight new stores, closed five stores, and ended the quarter with 1,357 stores. Overall, store count grew 5.0% from April 2, 2022 to April 1, 2023.</w:t>
      </w:r>
    </w:p>
    <w:p>
      <w:pPr>
        <w:jc w:val="both"/>
        <w:ind w:left="340" w:hanging="332"/>
        <w:spacing w:after="0" w:line="265" w:lineRule="auto"/>
        <w:tabs>
          <w:tab w:leader="none" w:pos="340" w:val="left"/>
        </w:tabs>
        <w:numPr>
          <w:ilvl w:val="0"/>
          <w:numId w:val="4"/>
        </w:numPr>
        <w:rPr>
          <w:rFonts w:ascii="Arial" w:cs="Arial" w:eastAsia="Arial" w:hAnsi="Arial"/>
          <w:sz w:val="17"/>
          <w:szCs w:val="17"/>
          <w:i w:val="1"/>
          <w:iCs w:val="1"/>
          <w:color w:val="auto"/>
        </w:rPr>
      </w:pPr>
      <w:r>
        <w:rPr>
          <w:rFonts w:ascii="Arial" w:cs="Arial" w:eastAsia="Arial" w:hAnsi="Arial"/>
          <w:sz w:val="17"/>
          <w:szCs w:val="17"/>
          <w:color w:val="auto"/>
        </w:rPr>
        <w:t>Costs applicable to revenue increased 7.6% to $254.1 million compared to the first quarter of 2022. As a percentage of net revenue, costs applicable to revenue increased 50 basis points to 45.2% compared to the first quarter of 2022. This increase as a percentage of net revenue was primarily driven by the deleverage of optometrist-related costs, partially offset by higher eyeglass margin and increased eyeglass mix.</w:t>
      </w:r>
    </w:p>
    <w:p>
      <w:pPr>
        <w:jc w:val="both"/>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increased 9.3% to $249.9 million compared to the first quarter of 2022. As a percentage of net revenue, SG&amp;A increased 110 basis points to 44.4% compared to the first quarter of 2022. This increase as a percentage of net revenue was primarily driven by higher performance-based incentive compensation and higher payroll, partially offset by advertising leverage.</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decreased 39.4% to $18.3 million compared to the first quarter of 2022. Net income margin decreased 250 basis points to 3.2% compared to the first quarter of 2022.</w:t>
      </w:r>
    </w:p>
    <w:p>
      <w:pPr>
        <w:ind w:left="340" w:hanging="332"/>
        <w:spacing w:after="0" w:line="265" w:lineRule="auto"/>
        <w:tabs>
          <w:tab w:leader="none" w:pos="340" w:val="left"/>
        </w:tabs>
        <w:numPr>
          <w:ilvl w:val="0"/>
          <w:numId w:val="4"/>
        </w:numPr>
        <w:rPr>
          <w:rFonts w:ascii="Arial" w:cs="Arial" w:eastAsia="Arial" w:hAnsi="Arial"/>
          <w:sz w:val="17"/>
          <w:szCs w:val="17"/>
          <w:i w:val="1"/>
          <w:iCs w:val="1"/>
          <w:color w:val="auto"/>
        </w:rPr>
      </w:pPr>
      <w:r>
        <w:rPr>
          <w:rFonts w:ascii="Arial" w:cs="Arial" w:eastAsia="Arial" w:hAnsi="Arial"/>
          <w:sz w:val="17"/>
          <w:szCs w:val="17"/>
          <w:color w:val="auto"/>
        </w:rPr>
        <w:t>Diluted EPS decreased 34.6% to $0.22 compared to the first quarter of 2022. Adjusted Diluted EPS decreased 5.4% to $0.31 compared to the first quarter of 2022. The net change in margin on unearned revenue benefited Diluted EPS by $0.06 and Adjusted Diluted EPS by $0.06.</w:t>
      </w:r>
    </w:p>
    <w:p>
      <w:pPr>
        <w:jc w:val="both"/>
        <w:ind w:left="34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Operating Income decreased 12.0% to $39.9 million compared to the first quarter of 2022. Adjusted Operating Margin decreased 150 basis points to 7.1% compared to the first quarter of 2022. The net change in margin on unearned revenue benefited net income by $6.1 million and Adjusted Operating Income by $8.2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 as of April 1, 2023</w:t>
      </w:r>
    </w:p>
    <w:p>
      <w:pPr>
        <w:spacing w:after="0" w:line="121" w:lineRule="exact"/>
        <w:rPr>
          <w:sz w:val="20"/>
          <w:szCs w:val="20"/>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cash balance was $246.9 million as of April 1, 2023. The Company had no borrowings under its $300.0 million first lien revolving credit facility, exclusive of letters of credit of $6.4 million.</w:t>
      </w:r>
    </w:p>
    <w:p>
      <w:pPr>
        <w:sectPr>
          <w:pgSz w:w="11900" w:h="16838" w:orient="portrait"/>
          <w:cols w:equalWidth="0" w:num="1">
            <w:col w:w="11240"/>
          </w:cols>
          <w:pgMar w:left="320" w:top="121" w:right="339" w:bottom="1440" w:gutter="0" w:footer="0" w:header="0"/>
        </w:sectPr>
      </w:pPr>
    </w:p>
    <w:bookmarkStart w:id="5" w:name="page6"/>
    <w:bookmarkEnd w:id="5"/>
    <w:p>
      <w:pPr>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debt was $566.9 million as of April 1, 2023, consisting of outstanding first lien term loans, convertible senior notes (“2025 Notes”) and finance lease obligations, net of unamortized discounts.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flows from operating activities for the first quarter of 2023 were $74.1 million compared to $47.1 million for the first quarter of 2022.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for the first quarter of 2023 totaled $27.7 million compared to $28.1 million for the first quarter of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252525"/>
        </w:rPr>
      </w:pPr>
      <w:r>
        <w:rPr>
          <w:rFonts w:ascii="Arial" w:cs="Arial" w:eastAsia="Arial" w:hAnsi="Arial"/>
          <w:sz w:val="18"/>
          <w:szCs w:val="18"/>
          <w:color w:val="auto"/>
        </w:rPr>
        <w:t>In the first quarter, the Company repurchased an additional 1.1 million shares of its common stock for $25.0 million. The Company has $25.0 million remaining under the current share repurchase authorization.</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Outlook</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fiscal 2023 outlook reflects current expected or estimated impacts related to macro-economic factors, including inflation, geopolitical instability and risks of recession, as well as constraints on exam capacity; however, the ultimate impact of these factors on the Company’s financial outlook remains uncertain with dynamic market conditions and the outlook shown below assumes no material deterioration to the Company’s current business operations as a result of such factors.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Company reaffirms the previously provided outlook for its key operating metrics, while updating its expectations for tax rate from 26% to 26% - 28%.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the following outlook for the 52 weeks ending December 30, 2023:</w:t>
      </w:r>
    </w:p>
    <w:p>
      <w:pPr>
        <w:spacing w:after="0" w:line="139"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Fiscal 2023 Outlook</w:t>
      </w:r>
    </w:p>
    <w:p>
      <w:pPr>
        <w:spacing w:after="0" w:line="47"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- 70</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Adjusted Comparable Store Sales Growth</w:t>
            </w:r>
          </w:p>
        </w:tc>
        <w:tc>
          <w:tcPr>
            <w:tcW w:w="3600" w:type="dxa"/>
            <w:vAlign w:val="bottom"/>
          </w:tcPr>
          <w:p>
            <w:pPr>
              <w:jc w:val="right"/>
              <w:spacing w:after="0"/>
              <w:rPr>
                <w:sz w:val="20"/>
                <w:szCs w:val="20"/>
                <w:color w:val="auto"/>
              </w:rPr>
            </w:pPr>
            <w:r>
              <w:rPr>
                <w:rFonts w:ascii="Arial" w:cs="Arial" w:eastAsia="Arial" w:hAnsi="Arial"/>
                <w:sz w:val="18"/>
                <w:szCs w:val="18"/>
                <w:color w:val="auto"/>
              </w:rPr>
              <w:t>0%</w:t>
            </w:r>
          </w:p>
        </w:tc>
        <w:tc>
          <w:tcPr>
            <w:tcW w:w="1540" w:type="dxa"/>
            <w:vAlign w:val="bottom"/>
          </w:tcPr>
          <w:p>
            <w:pPr>
              <w:ind w:left="20"/>
              <w:spacing w:after="0"/>
              <w:rPr>
                <w:sz w:val="20"/>
                <w:szCs w:val="20"/>
                <w:color w:val="auto"/>
              </w:rPr>
            </w:pPr>
            <w:r>
              <w:rPr>
                <w:rFonts w:ascii="Arial" w:cs="Arial" w:eastAsia="Arial" w:hAnsi="Arial"/>
                <w:sz w:val="18"/>
                <w:szCs w:val="18"/>
                <w:color w:val="auto"/>
              </w:rPr>
              <w:t>- 3%</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5140" w:type="dxa"/>
            <w:vAlign w:val="bottom"/>
            <w:gridSpan w:val="2"/>
            <w:shd w:val="clear" w:color="auto" w:fill="CCEEFF"/>
          </w:tcPr>
          <w:p>
            <w:pPr>
              <w:jc w:val="center"/>
              <w:ind w:left="2070"/>
              <w:spacing w:after="0"/>
              <w:rPr>
                <w:sz w:val="20"/>
                <w:szCs w:val="20"/>
                <w:color w:val="auto"/>
              </w:rPr>
            </w:pPr>
            <w:r>
              <w:rPr>
                <w:rFonts w:ascii="Arial" w:cs="Arial" w:eastAsia="Arial" w:hAnsi="Arial"/>
                <w:sz w:val="18"/>
                <w:szCs w:val="18"/>
                <w:color w:val="auto"/>
                <w:w w:val="93"/>
              </w:rPr>
              <w:t>$2.075 - $2.135 billion</w:t>
            </w: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5140" w:type="dxa"/>
            <w:vAlign w:val="bottom"/>
            <w:gridSpan w:val="2"/>
          </w:tcPr>
          <w:p>
            <w:pPr>
              <w:jc w:val="center"/>
              <w:ind w:left="2070"/>
              <w:spacing w:after="0"/>
              <w:rPr>
                <w:sz w:val="20"/>
                <w:szCs w:val="20"/>
                <w:color w:val="auto"/>
              </w:rPr>
            </w:pPr>
            <w:r>
              <w:rPr>
                <w:rFonts w:ascii="Arial" w:cs="Arial" w:eastAsia="Arial" w:hAnsi="Arial"/>
                <w:sz w:val="18"/>
                <w:szCs w:val="18"/>
                <w:color w:val="auto"/>
                <w:w w:val="95"/>
              </w:rPr>
              <w:t>$48 - $66 million</w:t>
            </w:r>
          </w:p>
        </w:tc>
      </w:tr>
      <w:tr>
        <w:trPr>
          <w:trHeight w:val="236"/>
        </w:trPr>
        <w:tc>
          <w:tcPr>
            <w:tcW w:w="586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3"/>
                <w:szCs w:val="23"/>
                <w:color w:val="auto"/>
                <w:vertAlign w:val="superscript"/>
              </w:rPr>
              <w:t>1</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$0.60</w:t>
            </w:r>
          </w:p>
        </w:tc>
      </w:tr>
      <w:tr>
        <w:trPr>
          <w:trHeight w:val="229"/>
        </w:trPr>
        <w:tc>
          <w:tcPr>
            <w:tcW w:w="5860" w:type="dxa"/>
            <w:vAlign w:val="bottom"/>
          </w:tcPr>
          <w:p>
            <w:pPr>
              <w:ind w:left="20"/>
              <w:spacing w:after="0" w:line="23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2</w:t>
            </w:r>
          </w:p>
        </w:tc>
        <w:tc>
          <w:tcPr>
            <w:tcW w:w="5140" w:type="dxa"/>
            <w:vAlign w:val="bottom"/>
            <w:gridSpan w:val="2"/>
          </w:tcPr>
          <w:p>
            <w:pPr>
              <w:jc w:val="center"/>
              <w:ind w:left="2070"/>
              <w:spacing w:after="0"/>
              <w:rPr>
                <w:sz w:val="20"/>
                <w:szCs w:val="20"/>
                <w:color w:val="auto"/>
              </w:rPr>
            </w:pPr>
            <w:r>
              <w:rPr>
                <w:rFonts w:ascii="Arial" w:cs="Arial" w:eastAsia="Arial" w:hAnsi="Arial"/>
                <w:sz w:val="18"/>
                <w:szCs w:val="18"/>
                <w:color w:val="auto"/>
                <w:w w:val="93"/>
              </w:rPr>
              <w:t>$104 - $106 million</w:t>
            </w:r>
          </w:p>
        </w:tc>
      </w:tr>
      <w:tr>
        <w:trPr>
          <w:trHeight w:val="243"/>
        </w:trPr>
        <w:tc>
          <w:tcPr>
            <w:tcW w:w="58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Interest</w:t>
            </w:r>
            <w:r>
              <w:rPr>
                <w:rFonts w:ascii="Arial" w:cs="Arial" w:eastAsia="Arial" w:hAnsi="Arial"/>
                <w:sz w:val="23"/>
                <w:szCs w:val="23"/>
                <w:color w:val="auto"/>
                <w:vertAlign w:val="superscript"/>
              </w:rPr>
              <w:t>3</w:t>
            </w:r>
          </w:p>
        </w:tc>
        <w:tc>
          <w:tcPr>
            <w:tcW w:w="5140" w:type="dxa"/>
            <w:vAlign w:val="bottom"/>
            <w:gridSpan w:val="2"/>
            <w:shd w:val="clear" w:color="auto" w:fill="CCEEFF"/>
          </w:tcPr>
          <w:p>
            <w:pPr>
              <w:jc w:val="center"/>
              <w:ind w:left="2090"/>
              <w:spacing w:after="0"/>
              <w:rPr>
                <w:sz w:val="20"/>
                <w:szCs w:val="20"/>
                <w:color w:val="auto"/>
              </w:rPr>
            </w:pPr>
            <w:r>
              <w:rPr>
                <w:rFonts w:ascii="Arial" w:cs="Arial" w:eastAsia="Arial" w:hAnsi="Arial"/>
                <w:sz w:val="18"/>
                <w:szCs w:val="18"/>
                <w:color w:val="auto"/>
                <w:w w:val="97"/>
              </w:rPr>
              <w:t>~$3 million</w:t>
            </w:r>
          </w:p>
        </w:tc>
      </w:tr>
      <w:tr>
        <w:trPr>
          <w:trHeight w:val="229"/>
        </w:trPr>
        <w:tc>
          <w:tcPr>
            <w:tcW w:w="5860" w:type="dxa"/>
            <w:vAlign w:val="bottom"/>
          </w:tcPr>
          <w:p>
            <w:pPr>
              <w:ind w:left="20"/>
              <w:spacing w:after="0" w:line="230" w:lineRule="exact"/>
              <w:rPr>
                <w:sz w:val="20"/>
                <w:szCs w:val="20"/>
                <w:color w:val="auto"/>
              </w:rPr>
            </w:pPr>
            <w:r>
              <w:rPr>
                <w:rFonts w:ascii="Arial" w:cs="Arial" w:eastAsia="Arial" w:hAnsi="Arial"/>
                <w:sz w:val="18"/>
                <w:szCs w:val="18"/>
                <w:color w:val="auto"/>
              </w:rPr>
              <w:t>Tax Rate</w:t>
            </w:r>
            <w:r>
              <w:rPr>
                <w:rFonts w:ascii="Arial" w:cs="Arial" w:eastAsia="Arial" w:hAnsi="Arial"/>
                <w:sz w:val="23"/>
                <w:szCs w:val="23"/>
                <w:color w:val="auto"/>
                <w:vertAlign w:val="superscript"/>
              </w:rPr>
              <w:t>4</w:t>
            </w:r>
          </w:p>
        </w:tc>
        <w:tc>
          <w:tcPr>
            <w:tcW w:w="3600" w:type="dxa"/>
            <w:vAlign w:val="bottom"/>
          </w:tcPr>
          <w:p>
            <w:pPr>
              <w:jc w:val="right"/>
              <w:spacing w:after="0"/>
              <w:rPr>
                <w:sz w:val="20"/>
                <w:szCs w:val="20"/>
                <w:color w:val="auto"/>
              </w:rPr>
            </w:pPr>
            <w:r>
              <w:rPr>
                <w:rFonts w:ascii="Arial" w:cs="Arial" w:eastAsia="Arial" w:hAnsi="Arial"/>
                <w:sz w:val="18"/>
                <w:szCs w:val="18"/>
                <w:color w:val="auto"/>
              </w:rPr>
              <w:t>26%</w:t>
            </w:r>
          </w:p>
        </w:tc>
        <w:tc>
          <w:tcPr>
            <w:tcW w:w="1540" w:type="dxa"/>
            <w:vAlign w:val="bottom"/>
          </w:tcPr>
          <w:p>
            <w:pPr>
              <w:ind w:left="20"/>
              <w:spacing w:after="0"/>
              <w:rPr>
                <w:sz w:val="20"/>
                <w:szCs w:val="20"/>
                <w:color w:val="auto"/>
              </w:rPr>
            </w:pPr>
            <w:r>
              <w:rPr>
                <w:rFonts w:ascii="Arial" w:cs="Arial" w:eastAsia="Arial" w:hAnsi="Arial"/>
                <w:sz w:val="18"/>
                <w:szCs w:val="18"/>
                <w:color w:val="auto"/>
              </w:rPr>
              <w:t>- 28%</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5140" w:type="dxa"/>
            <w:vAlign w:val="bottom"/>
            <w:gridSpan w:val="2"/>
            <w:shd w:val="clear" w:color="auto" w:fill="CCEEFF"/>
          </w:tcPr>
          <w:p>
            <w:pPr>
              <w:jc w:val="center"/>
              <w:ind w:left="2070"/>
              <w:spacing w:after="0"/>
              <w:rPr>
                <w:sz w:val="20"/>
                <w:szCs w:val="20"/>
                <w:color w:val="auto"/>
              </w:rPr>
            </w:pPr>
            <w:r>
              <w:rPr>
                <w:rFonts w:ascii="Arial" w:cs="Arial" w:eastAsia="Arial" w:hAnsi="Arial"/>
                <w:sz w:val="18"/>
                <w:szCs w:val="18"/>
                <w:color w:val="auto"/>
                <w:w w:val="93"/>
              </w:rPr>
              <w:t>$115 - $120 million</w:t>
            </w:r>
          </w:p>
        </w:tc>
      </w:tr>
    </w:tbl>
    <w:p>
      <w:pPr>
        <w:spacing w:after="0" w:line="274" w:lineRule="exact"/>
        <w:rPr>
          <w:sz w:val="20"/>
          <w:szCs w:val="20"/>
          <w:color w:val="auto"/>
        </w:rPr>
      </w:pPr>
    </w:p>
    <w:p>
      <w:pPr>
        <w:ind w:left="140" w:right="220"/>
        <w:spacing w:after="0" w:line="246" w:lineRule="auto"/>
        <w:rPr>
          <w:sz w:val="20"/>
          <w:szCs w:val="20"/>
          <w:color w:val="auto"/>
        </w:rPr>
      </w:pPr>
      <w:r>
        <w:rPr>
          <w:rFonts w:ascii="Arial" w:cs="Arial" w:eastAsia="Arial" w:hAnsi="Arial"/>
          <w:sz w:val="16"/>
          <w:szCs w:val="16"/>
          <w:i w:val="1"/>
          <w:iCs w:val="1"/>
          <w:color w:val="auto"/>
        </w:rPr>
        <w:t>1 - Assumes 80.2 million shares, and does not include 12.9 million shares attributable to the 2025 Notes as they are anticipated to be anti-dilutive to earnings per share for fiscal year 2023</w:t>
      </w:r>
    </w:p>
    <w:p>
      <w:pPr>
        <w:ind w:left="140"/>
        <w:spacing w:after="0" w:line="213" w:lineRule="auto"/>
        <w:rPr>
          <w:sz w:val="20"/>
          <w:szCs w:val="20"/>
          <w:color w:val="auto"/>
        </w:rPr>
      </w:pPr>
      <w:r>
        <w:rPr>
          <w:rFonts w:ascii="Arial" w:cs="Arial" w:eastAsia="Arial" w:hAnsi="Arial"/>
          <w:sz w:val="16"/>
          <w:szCs w:val="16"/>
          <w:i w:val="1"/>
          <w:iCs w:val="1"/>
          <w:color w:val="auto"/>
        </w:rPr>
        <w:t>2 - Includes amortization of acquisition intangibles of approximately $7.5 million, which is excluded in the definition of Adjusted Operating Income</w:t>
      </w:r>
    </w:p>
    <w:p>
      <w:pPr>
        <w:ind w:left="140"/>
        <w:spacing w:after="0" w:line="225" w:lineRule="auto"/>
        <w:rPr>
          <w:sz w:val="20"/>
          <w:szCs w:val="20"/>
          <w:color w:val="auto"/>
        </w:rPr>
      </w:pPr>
      <w:r>
        <w:rPr>
          <w:rFonts w:ascii="Arial" w:cs="Arial" w:eastAsia="Arial" w:hAnsi="Arial"/>
          <w:sz w:val="15"/>
          <w:szCs w:val="15"/>
          <w:i w:val="1"/>
          <w:iCs w:val="1"/>
          <w:color w:val="auto"/>
        </w:rPr>
        <w:t>3 - Before the impact of gains or losses on change in fair value of derivatives and charges related to amortization of debt discounts and deferred financing costs</w:t>
      </w:r>
    </w:p>
    <w:p>
      <w:pPr>
        <w:ind w:left="140"/>
        <w:spacing w:after="0"/>
        <w:rPr>
          <w:sz w:val="20"/>
          <w:szCs w:val="20"/>
          <w:color w:val="auto"/>
        </w:rPr>
      </w:pPr>
      <w:r>
        <w:rPr>
          <w:rFonts w:ascii="Arial" w:cs="Arial" w:eastAsia="Arial" w:hAnsi="Arial"/>
          <w:sz w:val="16"/>
          <w:szCs w:val="16"/>
          <w:i w:val="1"/>
          <w:iCs w:val="1"/>
          <w:color w:val="auto"/>
        </w:rPr>
        <w:t>4 - Excluding the impact of vesting of restricted stock units and stock option exercises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fiscal 2023 outlook information provided above includes Adjusted Operating Income and Adjusted Diluted EPS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fiscal 2023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2023 outlook. The Company uses these forward-looking measures internally to assess and benchmark its results and strategic plans. See “Forward-Looking Statements” below.</w:t>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Details</w:t>
      </w:r>
    </w:p>
    <w:p>
      <w:pPr>
        <w:spacing w:after="0" w:line="16"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 xml:space="preserve">A conference call to discuss the first quarter 2023 financial results is scheduled for today, May 11, 2023, at 8:30 a.m. Eastern Time. To pre-register for the conference call and obtain a dial-in number and passcode please refer to the “Investors” section of the Company’s website at </w:t>
      </w:r>
      <w:r>
        <w:rPr>
          <w:rFonts w:ascii="Arial" w:cs="Arial" w:eastAsia="Arial" w:hAnsi="Arial"/>
          <w:sz w:val="18"/>
          <w:szCs w:val="18"/>
          <w:u w:val="single" w:color="auto"/>
          <w:color w:val="0E32E1"/>
        </w:rPr>
        <w:t>www.nationalvision.com/investors</w:t>
      </w:r>
      <w:r>
        <w:rPr>
          <w:rFonts w:ascii="Arial" w:cs="Arial" w:eastAsia="Arial" w:hAnsi="Arial"/>
          <w:sz w:val="18"/>
          <w:szCs w:val="18"/>
          <w:color w:val="000000"/>
        </w:rPr>
        <w:t>. A live audio webcast of the conference call will be available on the “Investors” section of the Company’s website at</w:t>
      </w:r>
      <w:r>
        <w:rPr>
          <w:rFonts w:ascii="Arial" w:cs="Arial" w:eastAsia="Arial" w:hAnsi="Arial"/>
          <w:sz w:val="18"/>
          <w:szCs w:val="18"/>
          <w:color w:val="0E32E1"/>
        </w:rPr>
        <w:t xml:space="preserve"> </w:t>
      </w:r>
      <w:r>
        <w:rPr>
          <w:rFonts w:ascii="Arial" w:cs="Arial" w:eastAsia="Arial" w:hAnsi="Arial"/>
          <w:sz w:val="18"/>
          <w:szCs w:val="18"/>
          <w:u w:val="single" w:color="auto"/>
          <w:color w:val="0E32E1"/>
        </w:rPr>
        <w:t>www.nationalvision.com/investors</w:t>
      </w:r>
      <w:r>
        <w:rPr>
          <w:rFonts w:ascii="Arial" w:cs="Arial" w:eastAsia="Arial" w:hAnsi="Arial"/>
          <w:sz w:val="18"/>
          <w:szCs w:val="18"/>
          <w:color w:val="000000"/>
        </w:rPr>
        <w:t>, where presentation materials will be posted prior to the conference call. A replay of the audio webcast will also be</w:t>
      </w:r>
      <w:r>
        <w:rPr>
          <w:rFonts w:ascii="Arial" w:cs="Arial" w:eastAsia="Arial" w:hAnsi="Arial"/>
          <w:sz w:val="18"/>
          <w:szCs w:val="18"/>
          <w:color w:val="0E32E1"/>
        </w:rPr>
        <w:t xml:space="preserve"> </w:t>
      </w:r>
      <w:r>
        <w:rPr>
          <w:rFonts w:ascii="Arial" w:cs="Arial" w:eastAsia="Arial" w:hAnsi="Arial"/>
          <w:sz w:val="18"/>
          <w:szCs w:val="18"/>
          <w:color w:val="000000"/>
        </w:rPr>
        <w:t>archived on the “Investors” section of the Company’s website.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National Vision Holdings, Inc. is the second largest optical retail company in the United States (by sales) with more than 1,300 retail stores in 44 states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2023 Outlook” as well as other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the COVID-19 pandemic and future resurgences, and related impacts including federal, state, and local governmental actions in response thereto; customer behavior in response to the pandemic, including the impact of such behavior on in-store traffic and sales; market volatility and an overall decline in the health of the economy and other factors impacting consumer spending, including inflation and uncertainty in financial markets (including as a result of recent bank failures and events affecting financial institutions); our ability to recruit and retain vision care professionals for our stores and remote medicine offerings in general and in light of the pandemic; our ability to compete successfully; our ability to successfully open new stores and enter new markets; our ability to expand our remote medicine offerings and electronic health records capabilities; our ability to maintain the performance of our Host and Legacy brands and our current operating relationships with our Host and Legacy partners; our ability to maintain sufficient levels of cash flow from our operations to execute or sustain our growth strategy or obtain additional financing at satisfactory terms or at all; the impact of wage rate increases, inflation, cost increases and increases in raw material prices and energy prices; our growth strategy straining our existing resources and causing the performance of our existing stores to suffer; our ability to successfully and efficiently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our ability to manage our inventory; seasonal fluctuations in our operating results and inventory levels; risks associated with our e-commerce and omni-channel business; the loss of, or disruption in the operations of, one or more of our distribution centers and/or optical laboratories, resulting in the inability to fulfill customer orders and deliver our products in a timely manner; risk of losses arising from our investments in technological innovators in the optical retail industry; risks associated with environmental, social and governance issues, including climate change; risks associated with vendors from whom our products are sourced, including our dependence on a limited number of suppliers; our ability to develop, maintain and extend relationships with managed vision care companies, vision insurance providers and other third-party payors; our ability to effectively operate our information technology systems and prevent interruption or security breach; our reliance on third-party coverage and reimbursement, including government programs, for an increasing portion of our revenues; our ability to adhere to extensive state, local and federal vision care and healthcare laws and regulations; our compliance with managed vision care laws and regulations; our ability to adhere to changing state, local and federal privacy, data security and data protection laws and regulations; product liability, product recall or personal injury issues; our failure to comply with, or changes in, laws,</w:t>
      </w:r>
    </w:p>
    <w:p>
      <w:pPr>
        <w:sectPr>
          <w:pgSz w:w="11900" w:h="16838" w:orient="portrait"/>
          <w:cols w:equalWidth="0" w:num="1">
            <w:col w:w="11240"/>
          </w:cols>
          <w:pgMar w:left="320" w:top="1134" w:right="339" w:bottom="1440" w:gutter="0" w:footer="0" w:header="0"/>
        </w:sectPr>
      </w:pPr>
    </w:p>
    <w:bookmarkStart w:id="7" w:name="page8"/>
    <w:bookmarkEnd w:id="7"/>
    <w:p>
      <w:pPr>
        <w:jc w:val="both"/>
        <w:spacing w:after="0" w:line="269" w:lineRule="auto"/>
        <w:rPr>
          <w:sz w:val="20"/>
          <w:szCs w:val="20"/>
          <w:color w:val="auto"/>
        </w:rPr>
      </w:pPr>
      <w:r>
        <w:rPr>
          <w:rFonts w:ascii="Arial" w:cs="Arial" w:eastAsia="Arial" w:hAnsi="Arial"/>
          <w:sz w:val="17"/>
          <w:szCs w:val="17"/>
          <w:color w:val="auto"/>
        </w:rPr>
        <w:t>regulations, enforcement activities and other requirements; the impact of any adverse litigation judgments or settlements resulting from legal proceedings relating to our business operations; our ability to adequately protect our intellectual property;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convertible notes; and risks related to owning our common stock (including the timing, manner and volume of repurchases of common stock pursuant to our share repurchase program),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EBITDA: </w:t>
      </w:r>
      <w:r>
        <w:rPr>
          <w:rFonts w:ascii="Arial" w:cs="Arial" w:eastAsia="Arial" w:hAnsi="Arial"/>
          <w:sz w:val="17"/>
          <w:szCs w:val="17"/>
          <w:color w:val="auto"/>
        </w:rPr>
        <w:t>We define EBITDA as net income, plus interest expense (income), net, income tax provision (benefit), and depreciation and amortization.</w:t>
      </w:r>
    </w:p>
    <w:p>
      <w:pPr>
        <w:spacing w:after="0" w:line="1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Adjusted Operating Income: </w:t>
      </w:r>
      <w:r>
        <w:rPr>
          <w:rFonts w:ascii="Arial" w:cs="Arial" w:eastAsia="Arial" w:hAnsi="Arial"/>
          <w:sz w:val="16"/>
          <w:szCs w:val="16"/>
          <w:color w:val="auto"/>
        </w:rPr>
        <w:t>We define Adjusted Operating Income as net income, plus interest expense (income), net and income tax provision (benefit),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adjusted to exclude stock based compensation expense, loss on extinguishment of debt, asset impairment, litigation settlement, secondary offering expenses, management realignment expenses, long-term incentive plan expenses, amortization of acquisition intangibles, and certain other expenses.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Operating Margin: </w:t>
      </w:r>
      <w:r>
        <w:rPr>
          <w:rFonts w:ascii="Arial" w:cs="Arial" w:eastAsia="Arial" w:hAnsi="Arial"/>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Adjusted EBITDA: </w:t>
      </w:r>
      <w:r>
        <w:rPr>
          <w:rFonts w:ascii="Arial" w:cs="Arial" w:eastAsia="Arial" w:hAnsi="Arial"/>
          <w:sz w:val="17"/>
          <w:szCs w:val="17"/>
          <w:color w:val="auto"/>
        </w:rPr>
        <w:t>We define Adjusted EBITDA as net income, plus interest expense (income), net, income tax provision (benefit) and depreciation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amortization, further adjusted to exclude stock based compensation expense, loss on extinguishment of debt, asset impairment, litigation settlement, secondary offering expenses, management realignment expenses, long-term incentive plan expenses, and certain other expenses.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as a percentage of net revenue.</w:t>
      </w:r>
    </w:p>
    <w:p>
      <w:pPr>
        <w:sectPr>
          <w:pgSz w:w="11900" w:h="16838" w:orient="portrait"/>
          <w:cols w:equalWidth="0" w:num="1">
            <w:col w:w="11240"/>
          </w:cols>
          <w:pgMar w:left="320" w:top="895" w:right="339" w:bottom="144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Adjusted Diluted EPS: </w:t>
      </w:r>
      <w:r>
        <w:rPr>
          <w:rFonts w:ascii="Arial" w:cs="Arial" w:eastAsia="Arial" w:hAnsi="Arial"/>
          <w:sz w:val="18"/>
          <w:szCs w:val="18"/>
          <w:color w:val="auto"/>
        </w:rPr>
        <w:t>We define Adjusted Diluted EPS as diluted earnings per share, adjusted for the per share impact of stock 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loss on extinguishment of debt, asset impairment, litigation settlement, secondary offering expenses, management realignment expenses, long-term incentive plan expenses, amortization of acquisition intangibles, amortization of debt discounts and deferred financing costs of the term loan borrowings, amortization of the conversion feature and deferred financing costs related to the 2025 Notes when not required under U.S. GAAP to be added back for diluted earnings per share, losses (gains) on change in fair value of derivatives, certain other expenses, and tax expense (benefit) from stock-based compensation, less the tax effect of these adjustments.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Adjusted SG&amp;A: </w:t>
      </w:r>
      <w:r>
        <w:rPr>
          <w:rFonts w:ascii="Arial" w:cs="Arial" w:eastAsia="Arial" w:hAnsi="Arial"/>
          <w:sz w:val="18"/>
          <w:szCs w:val="18"/>
          <w:color w:val="auto"/>
        </w:rPr>
        <w:t>We define Adjusted SG&amp;A as SG&amp;A, adjusted to exclude stock based compensation expense, litigation settlement, secondary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management realignment expenses, long-term incentive plan expense, and certain other expenses.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SG&amp;A Percent of Net Revenue: </w:t>
      </w:r>
      <w:r>
        <w:rPr>
          <w:rFonts w:ascii="Arial" w:cs="Arial" w:eastAsia="Arial" w:hAnsi="Arial"/>
          <w:sz w:val="17"/>
          <w:szCs w:val="17"/>
          <w:color w:val="auto"/>
        </w:rPr>
        <w:t>We define Adjusted SG&amp;A Percent of Net Revenue as Adjusted SG&amp;A as a percentage of net revenue.</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Adjusted Comparable Store Sales Growth: </w:t>
      </w:r>
      <w:r>
        <w:rPr>
          <w:rFonts w:ascii="Arial" w:cs="Arial" w:eastAsia="Arial" w:hAnsi="Arial"/>
          <w:sz w:val="16"/>
          <w:szCs w:val="16"/>
          <w:color w:val="auto"/>
        </w:rPr>
        <w:t>We measure Adjusted Comparable Store Sales Growth as the increase or decrease in sales recorded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89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As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ind w:right="7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April 1, 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3"/>
              </w:rPr>
              <w:t>December 31, 2022</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229,425</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80,045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79,892</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123,158</w:t>
            </w: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41,361</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473,836</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361,868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359,775</w:t>
            </w:r>
          </w:p>
        </w:tc>
        <w:tc>
          <w:tcPr>
            <w:tcW w:w="0" w:type="dxa"/>
            <w:vAlign w:val="bottom"/>
          </w:tcPr>
          <w:p>
            <w:pPr>
              <w:spacing w:after="0"/>
              <w:rPr>
                <w:sz w:val="1"/>
                <w:szCs w:val="1"/>
                <w:color w:val="auto"/>
              </w:rPr>
            </w:pPr>
          </w:p>
        </w:tc>
      </w:tr>
      <w:tr>
        <w:trPr>
          <w:trHeight w:val="236"/>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Trademarks and trade names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intangible assets, net</w:t>
            </w:r>
          </w:p>
        </w:tc>
        <w:tc>
          <w:tcPr>
            <w:tcW w:w="3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34,669</w:t>
            </w: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Right of use assets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389,697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382,825</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21,981</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noncurrent assets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1,825,887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1,817,410</w:t>
            </w:r>
          </w:p>
        </w:tc>
        <w:tc>
          <w:tcPr>
            <w:tcW w:w="0" w:type="dxa"/>
            <w:vAlign w:val="bottom"/>
          </w:tcPr>
          <w:p>
            <w:pPr>
              <w:spacing w:after="0"/>
              <w:rPr>
                <w:sz w:val="1"/>
                <w:szCs w:val="1"/>
                <w:color w:val="auto"/>
              </w:rPr>
            </w:pPr>
          </w:p>
        </w:tc>
      </w:tr>
      <w:tr>
        <w:trPr>
          <w:trHeight w:val="25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2,291,246</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65,276</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Arial" w:cs="Arial" w:eastAsia="Arial" w:hAnsi="Arial"/>
                <w:sz w:val="18"/>
                <w:szCs w:val="18"/>
                <w:color w:val="auto"/>
              </w:rPr>
              <w:t>Other payables and accrued expenses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103,188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94,225</w:t>
            </w: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revenue</w:t>
            </w:r>
          </w:p>
        </w:tc>
        <w:tc>
          <w:tcPr>
            <w:tcW w:w="3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41,239</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64,359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62,201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operating lease obligations</w:t>
            </w:r>
          </w:p>
        </w:tc>
        <w:tc>
          <w:tcPr>
            <w:tcW w:w="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72,024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77,186</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344,264</w:t>
            </w:r>
          </w:p>
        </w:tc>
        <w:tc>
          <w:tcPr>
            <w:tcW w:w="0" w:type="dxa"/>
            <w:vAlign w:val="bottom"/>
          </w:tcPr>
          <w:p>
            <w:pPr>
              <w:spacing w:after="0"/>
              <w:rPr>
                <w:sz w:val="1"/>
                <w:szCs w:val="1"/>
                <w:color w:val="auto"/>
              </w:rPr>
            </w:pPr>
          </w:p>
        </w:tc>
      </w:tr>
      <w:tr>
        <w:trPr>
          <w:trHeight w:val="162"/>
        </w:trPr>
        <w:tc>
          <w:tcPr>
            <w:tcW w:w="7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563,702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563,388</w:t>
            </w:r>
          </w:p>
        </w:tc>
        <w:tc>
          <w:tcPr>
            <w:tcW w:w="0" w:type="dxa"/>
            <w:vAlign w:val="bottom"/>
          </w:tcPr>
          <w:p>
            <w:pPr>
              <w:spacing w:after="0"/>
              <w:rPr>
                <w:sz w:val="1"/>
                <w:szCs w:val="1"/>
                <w:color w:val="auto"/>
              </w:rPr>
            </w:pPr>
          </w:p>
        </w:tc>
      </w:tr>
      <w:tr>
        <w:trPr>
          <w:trHeight w:val="23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operating lease obligations</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371,687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358,110</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21,852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Deferred income taxes, net</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93,870</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1,045,869</w:t>
            </w:r>
          </w:p>
        </w:tc>
        <w:tc>
          <w:tcPr>
            <w:tcW w:w="0" w:type="dxa"/>
            <w:vAlign w:val="bottom"/>
          </w:tcPr>
          <w:p>
            <w:pPr>
              <w:spacing w:after="0"/>
              <w:rPr>
                <w:sz w:val="1"/>
                <w:szCs w:val="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89"/>
              </w:rPr>
              <w:t>Common stock, $0.01 par value; 200,000 shares authorized; 84,555 and 84,273 shares issued as</w:t>
            </w: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220"/>
              <w:spacing w:after="0" w:line="189" w:lineRule="exact"/>
              <w:rPr>
                <w:sz w:val="20"/>
                <w:szCs w:val="20"/>
                <w:color w:val="auto"/>
              </w:rPr>
            </w:pPr>
            <w:r>
              <w:rPr>
                <w:rFonts w:ascii="Arial" w:cs="Arial" w:eastAsia="Arial" w:hAnsi="Arial"/>
                <w:sz w:val="18"/>
                <w:szCs w:val="18"/>
                <w:color w:val="auto"/>
                <w:w w:val="90"/>
              </w:rPr>
              <w:t>of April 1, 2023 and December 31, 2022, respectively; 78,085 and 78,992 shares outstanding as</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of April 1, 2023 and December 31, 2022, respectively</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767,112</w:t>
            </w:r>
          </w:p>
        </w:tc>
        <w:tc>
          <w:tcPr>
            <w:tcW w:w="0" w:type="dxa"/>
            <w:vAlign w:val="bottom"/>
          </w:tcPr>
          <w:p>
            <w:pPr>
              <w:spacing w:after="0"/>
              <w:rPr>
                <w:sz w:val="1"/>
                <w:szCs w:val="1"/>
                <w:color w:val="auto"/>
              </w:rPr>
            </w:pPr>
          </w:p>
        </w:tc>
      </w:tr>
      <w:tr>
        <w:trPr>
          <w:trHeight w:val="237"/>
        </w:trPr>
        <w:tc>
          <w:tcPr>
            <w:tcW w:w="718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3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338,787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320,517</w:t>
            </w:r>
          </w:p>
        </w:tc>
        <w:tc>
          <w:tcPr>
            <w:tcW w:w="0" w:type="dxa"/>
            <w:vAlign w:val="bottom"/>
          </w:tcPr>
          <w:p>
            <w:pPr>
              <w:spacing w:after="0"/>
              <w:rPr>
                <w:sz w:val="1"/>
                <w:szCs w:val="1"/>
                <w:color w:val="auto"/>
              </w:rPr>
            </w:pPr>
          </w:p>
        </w:tc>
      </w:tr>
      <w:tr>
        <w:trPr>
          <w:trHeight w:val="176"/>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94"/>
              </w:rPr>
              <w:t>Treasury stock, at cost; 6,470 and 5,281 shares as of April 1, 2023 and December 31, 2022,</w:t>
            </w:r>
          </w:p>
        </w:tc>
        <w:tc>
          <w:tcPr>
            <w:tcW w:w="3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(213,788)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(186,179)</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896,726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901,113</w:t>
            </w: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2,312,366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2,291,246</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Three Months Ended</w:t>
            </w:r>
          </w:p>
        </w:tc>
      </w:tr>
      <w:tr>
        <w:trPr>
          <w:trHeight w:val="223"/>
        </w:trPr>
        <w:tc>
          <w:tcPr>
            <w:tcW w:w="7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April 1,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April 2, 2022</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464,761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433,253</w:t>
            </w:r>
          </w:p>
        </w:tc>
      </w:tr>
      <w:tr>
        <w:trPr>
          <w:trHeight w:val="243"/>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94,458</w:t>
            </w:r>
          </w:p>
        </w:tc>
      </w:tr>
      <w:tr>
        <w:trPr>
          <w:trHeight w:val="223"/>
        </w:trPr>
        <w:tc>
          <w:tcPr>
            <w:tcW w:w="7000" w:type="dxa"/>
            <w:vAlign w:val="bottom"/>
          </w:tcPr>
          <w:p>
            <w:pPr>
              <w:ind w:left="340"/>
              <w:spacing w:after="0"/>
              <w:rPr>
                <w:sz w:val="20"/>
                <w:szCs w:val="20"/>
                <w:color w:val="auto"/>
              </w:rPr>
            </w:pPr>
            <w:r>
              <w:rPr>
                <w:rFonts w:ascii="Arial" w:cs="Arial" w:eastAsia="Arial" w:hAnsi="Arial"/>
                <w:sz w:val="18"/>
                <w:szCs w:val="18"/>
                <w:color w:val="auto"/>
              </w:rPr>
              <w:t>Total net revenue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562,369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527,711</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700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164,219</w:t>
            </w:r>
          </w:p>
        </w:tc>
      </w:tr>
      <w:tr>
        <w:trPr>
          <w:trHeight w:val="236"/>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71,818</w:t>
            </w:r>
          </w:p>
        </w:tc>
      </w:tr>
      <w:tr>
        <w:trPr>
          <w:trHeight w:val="223"/>
        </w:trPr>
        <w:tc>
          <w:tcPr>
            <w:tcW w:w="7000" w:type="dxa"/>
            <w:vAlign w:val="bottom"/>
          </w:tcPr>
          <w:p>
            <w:pPr>
              <w:ind w:left="340"/>
              <w:spacing w:after="0"/>
              <w:rPr>
                <w:sz w:val="20"/>
                <w:szCs w:val="20"/>
                <w:color w:val="auto"/>
              </w:rPr>
            </w:pPr>
            <w:r>
              <w:rPr>
                <w:rFonts w:ascii="Arial" w:cs="Arial" w:eastAsia="Arial" w:hAnsi="Arial"/>
                <w:sz w:val="18"/>
                <w:szCs w:val="18"/>
                <w:color w:val="auto"/>
              </w:rPr>
              <w:t>Total costs applicable to revenue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254,052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236,037</w:t>
            </w:r>
          </w:p>
        </w:tc>
      </w:tr>
      <w:tr>
        <w:trPr>
          <w:trHeight w:val="24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228,554</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25,151</w:t>
            </w:r>
          </w:p>
        </w:tc>
      </w:tr>
      <w:tr>
        <w:trPr>
          <w:trHeight w:val="237"/>
        </w:trPr>
        <w:tc>
          <w:tcPr>
            <w:tcW w:w="700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36"/>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3"/>
        </w:trPr>
        <w:tc>
          <w:tcPr>
            <w:tcW w:w="700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254,342</w:t>
            </w:r>
          </w:p>
        </w:tc>
      </w:tr>
      <w:tr>
        <w:trPr>
          <w:trHeight w:val="23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37,332</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41,476</w:t>
            </w:r>
          </w:p>
        </w:tc>
      </w:tr>
      <w:tr>
        <w:trPr>
          <w:trHeight w:val="24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11,329</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700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3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3"/>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81,428</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94,904</w:t>
            </w:r>
          </w:p>
        </w:tc>
      </w:tr>
      <w:tr>
        <w:trPr>
          <w:trHeight w:val="270"/>
        </w:trPr>
        <w:tc>
          <w:tcPr>
            <w:tcW w:w="7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3"/>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30,147</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Unrealized gain on hedge instruments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Tax provision of unrealized gain on hedge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6"/>
        </w:trPr>
        <w:tc>
          <w:tcPr>
            <w:tcW w:w="70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18,458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30,335</w:t>
            </w:r>
          </w:p>
        </w:tc>
      </w:tr>
      <w:tr>
        <w:trPr>
          <w:trHeight w:val="20"/>
        </w:trPr>
        <w:tc>
          <w:tcPr>
            <w:tcW w:w="7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line="312" w:lineRule="auto"/>
        <w:rPr>
          <w:sz w:val="20"/>
          <w:szCs w:val="20"/>
          <w:color w:val="auto"/>
        </w:rPr>
      </w:pPr>
      <w:r>
        <w:rPr>
          <w:rFonts w:ascii="Arial" w:cs="Arial" w:eastAsia="Arial" w:hAnsi="Arial"/>
          <w:sz w:val="13"/>
          <w:szCs w:val="13"/>
          <w:i w:val="1"/>
          <w:iCs w:val="1"/>
          <w:color w:val="auto"/>
        </w:rPr>
        <w:t>Note: Diluted EPS for the first quarter of 2023 and 2022 is calculated using the if-converted method for the 2025 Notes. We added back $2.4 million and $2.3 million of interest expense (after tax) related to the 2025 Notes for the first quarter of 2023 and 2022, respectively, and assumed conversion of the 2025 Notes at the beginning of each respective period.</w:t>
      </w:r>
    </w:p>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Three Months Ended</w:t>
            </w:r>
          </w:p>
        </w:tc>
      </w:tr>
      <w:tr>
        <w:trPr>
          <w:trHeight w:val="223"/>
        </w:trPr>
        <w:tc>
          <w:tcPr>
            <w:tcW w:w="8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April 1,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April 2, 2022</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18,270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30,147</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25,151</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deferred financing costs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37"/>
        </w:trPr>
        <w:tc>
          <w:tcPr>
            <w:tcW w:w="818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3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expense (benefit)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Stock based compensation expense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3,734</w:t>
            </w:r>
          </w:p>
        </w:tc>
      </w:tr>
      <w:tr>
        <w:trPr>
          <w:trHeight w:val="243"/>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Losses (gains) on change in fair value of derivatives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Inventory adjustments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(4,570)</w:t>
            </w:r>
          </w:p>
        </w:tc>
      </w:tr>
      <w:tr>
        <w:trPr>
          <w:trHeight w:val="243"/>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 of use assets and lease liabilities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r>
      <w:tr>
        <w:trPr>
          <w:trHeight w:val="237"/>
        </w:trPr>
        <w:tc>
          <w:tcPr>
            <w:tcW w:w="8180" w:type="dxa"/>
            <w:vAlign w:val="bottom"/>
          </w:tcPr>
          <w:p>
            <w:pPr>
              <w:ind w:left="220"/>
              <w:spacing w:after="0"/>
              <w:rPr>
                <w:sz w:val="20"/>
                <w:szCs w:val="20"/>
                <w:color w:val="auto"/>
              </w:rPr>
            </w:pPr>
            <w:r>
              <w:rPr>
                <w:rFonts w:ascii="Arial" w:cs="Arial" w:eastAsia="Arial" w:hAnsi="Arial"/>
                <w:sz w:val="18"/>
                <w:szCs w:val="18"/>
                <w:color w:val="auto"/>
              </w:rPr>
              <w:t>Deferred and unearned revenue</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13,814</w:t>
            </w:r>
          </w:p>
        </w:tc>
      </w:tr>
      <w:tr>
        <w:trPr>
          <w:trHeight w:val="236"/>
        </w:trPr>
        <w:tc>
          <w:tcPr>
            <w:tcW w:w="8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(23,786)</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74,064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47,117</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18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(28,097)</w:t>
            </w:r>
          </w:p>
        </w:tc>
      </w:tr>
      <w:tr>
        <w:trPr>
          <w:trHeight w:val="23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(28,077)</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Repayments on long-term debt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(10,649)</w:t>
            </w:r>
          </w:p>
        </w:tc>
      </w:tr>
      <w:tr>
        <w:trPr>
          <w:trHeight w:val="230"/>
        </w:trPr>
        <w:tc>
          <w:tcPr>
            <w:tcW w:w="8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 on finance lease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financing activities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306,876</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248,411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315,975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disclosure information:</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2,322</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(received) for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Capital expenditures accrued at the end of the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7,634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10,129</w:t>
            </w:r>
          </w:p>
        </w:tc>
      </w:tr>
    </w:tbl>
    <w:p>
      <w:pPr>
        <w:sectPr>
          <w:pgSz w:w="11900" w:h="16838" w:orient="portrait"/>
          <w:cols w:equalWidth="0" w:num="1">
            <w:col w:w="11240"/>
          </w:cols>
          <w:pgMar w:left="320" w:top="87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Reconciliation of Adjusted Operating Income to Net Income</w:t>
            </w:r>
          </w:p>
        </w:tc>
        <w:tc>
          <w:tcPr>
            <w:tcW w:w="180" w:type="dxa"/>
            <w:vAlign w:val="bottom"/>
          </w:tcPr>
          <w:p>
            <w:pPr>
              <w:spacing w:after="0"/>
              <w:rPr>
                <w:sz w:val="20"/>
                <w:szCs w:val="20"/>
                <w:color w:val="auto"/>
              </w:rPr>
            </w:pPr>
          </w:p>
        </w:tc>
        <w:tc>
          <w:tcPr>
            <w:tcW w:w="2880" w:type="dxa"/>
            <w:vAlign w:val="bottom"/>
            <w:gridSpan w:val="4"/>
            <w:vMerge w:val="restart"/>
          </w:tcPr>
          <w:p>
            <w:pPr>
              <w:jc w:val="right"/>
              <w:ind w:right="67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7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April 1, 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April 2, 2022</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18,270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30,147</w:t>
            </w:r>
          </w:p>
        </w:tc>
        <w:tc>
          <w:tcPr>
            <w:tcW w:w="0" w:type="dxa"/>
            <w:vAlign w:val="bottom"/>
          </w:tcPr>
          <w:p>
            <w:pPr>
              <w:spacing w:after="0"/>
              <w:rPr>
                <w:sz w:val="1"/>
                <w:szCs w:val="1"/>
                <w:color w:val="auto"/>
              </w:rPr>
            </w:pPr>
          </w:p>
        </w:tc>
      </w:tr>
      <w:tr>
        <w:trPr>
          <w:trHeight w:val="237"/>
        </w:trPr>
        <w:tc>
          <w:tcPr>
            <w:tcW w:w="738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3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10,175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11,329</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based compensation expense </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43"/>
        </w:trPr>
        <w:tc>
          <w:tcPr>
            <w:tcW w:w="73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(c)</w:t>
            </w:r>
          </w:p>
        </w:tc>
        <w:tc>
          <w:tcPr>
            <w:tcW w:w="18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(f)</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37"/>
        </w:trPr>
        <w:tc>
          <w:tcPr>
            <w:tcW w:w="7380" w:type="dxa"/>
            <w:vAlign w:val="bottom"/>
          </w:tcPr>
          <w:p>
            <w:pPr>
              <w:ind w:left="140"/>
              <w:spacing w:after="0"/>
              <w:rPr>
                <w:sz w:val="20"/>
                <w:szCs w:val="20"/>
                <w:color w:val="auto"/>
              </w:rPr>
            </w:pPr>
            <w:r>
              <w:rPr>
                <w:rFonts w:ascii="Arial" w:cs="Arial" w:eastAsia="Arial" w:hAnsi="Arial"/>
                <w:sz w:val="18"/>
                <w:szCs w:val="18"/>
                <w:b w:val="1"/>
                <w:bCs w:val="1"/>
                <w:color w:val="auto"/>
              </w:rPr>
              <w:t>Adjusted Operating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39,873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45,304</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b w:val="1"/>
                <w:bCs w:val="1"/>
                <w:color w:val="auto"/>
              </w:rPr>
              <w:t>Net income margin</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Adjusted Operating Margin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30"/>
        </w:trPr>
        <w:tc>
          <w:tcPr>
            <w:tcW w:w="7380" w:type="dxa"/>
            <w:vAlign w:val="bottom"/>
          </w:tcPr>
          <w:p>
            <w:pPr>
              <w:ind w:left="80"/>
              <w:spacing w:after="0"/>
              <w:rPr>
                <w:sz w:val="20"/>
                <w:szCs w:val="20"/>
                <w:color w:val="auto"/>
              </w:rPr>
            </w:pPr>
            <w:r>
              <w:rPr>
                <w:rFonts w:ascii="Arial" w:cs="Arial" w:eastAsia="Arial" w:hAnsi="Arial"/>
                <w:sz w:val="18"/>
                <w:szCs w:val="18"/>
                <w:i w:val="1"/>
                <w:iCs w:val="1"/>
                <w:color w:val="auto"/>
              </w:rPr>
              <w:t>Note: Percentages reflect line item as a percentage of net revenue, adjusted for rounding.</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Reconciliation of EBITDA and Adjusted EBITDA to Net Income</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April 1,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April 2, 2022</w:t>
            </w:r>
          </w:p>
        </w:tc>
        <w:tc>
          <w:tcPr>
            <w:tcW w:w="0" w:type="dxa"/>
            <w:vAlign w:val="bottom"/>
          </w:tcPr>
          <w:p>
            <w:pPr>
              <w:spacing w:after="0"/>
              <w:rPr>
                <w:sz w:val="1"/>
                <w:szCs w:val="1"/>
                <w:color w:val="auto"/>
              </w:rPr>
            </w:pPr>
          </w:p>
        </w:tc>
      </w:tr>
      <w:tr>
        <w:trPr>
          <w:trHeight w:val="237"/>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18,270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30,147</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11,329</w:t>
            </w:r>
          </w:p>
        </w:tc>
        <w:tc>
          <w:tcPr>
            <w:tcW w:w="0" w:type="dxa"/>
            <w:vAlign w:val="bottom"/>
          </w:tcPr>
          <w:p>
            <w:pPr>
              <w:spacing w:after="0"/>
              <w:rPr>
                <w:sz w:val="1"/>
                <w:szCs w:val="1"/>
                <w:color w:val="auto"/>
              </w:rPr>
            </w:pPr>
          </w:p>
        </w:tc>
      </w:tr>
      <w:tr>
        <w:trPr>
          <w:trHeight w:val="24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24,813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25,151</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62,483</w:t>
            </w:r>
          </w:p>
        </w:tc>
        <w:tc>
          <w:tcPr>
            <w:tcW w:w="0" w:type="dxa"/>
            <w:vAlign w:val="bottom"/>
          </w:tcPr>
          <w:p>
            <w:pPr>
              <w:spacing w:after="0"/>
              <w:rPr>
                <w:sz w:val="1"/>
                <w:szCs w:val="1"/>
                <w:color w:val="auto"/>
              </w:rPr>
            </w:pPr>
          </w:p>
        </w:tc>
      </w:tr>
      <w:tr>
        <w:trPr>
          <w:trHeight w:val="162"/>
        </w:trPr>
        <w:tc>
          <w:tcPr>
            <w:tcW w:w="7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 based compensation expense </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8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(f)</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23"/>
        </w:trPr>
        <w:tc>
          <w:tcPr>
            <w:tcW w:w="7380" w:type="dxa"/>
            <w:vAlign w:val="bottom"/>
          </w:tcPr>
          <w:p>
            <w:pPr>
              <w:ind w:left="14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62,814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68,583</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7380" w:type="dxa"/>
            <w:vAlign w:val="bottom"/>
          </w:tcPr>
          <w:p>
            <w:pPr>
              <w:ind w:left="140"/>
              <w:spacing w:after="0"/>
              <w:rPr>
                <w:sz w:val="20"/>
                <w:szCs w:val="20"/>
                <w:color w:val="auto"/>
              </w:rPr>
            </w:pPr>
            <w:r>
              <w:rPr>
                <w:rFonts w:ascii="Arial" w:cs="Arial" w:eastAsia="Arial" w:hAnsi="Arial"/>
                <w:sz w:val="18"/>
                <w:szCs w:val="18"/>
                <w:b w:val="1"/>
                <w:bCs w:val="1"/>
                <w:color w:val="auto"/>
              </w:rPr>
              <w:t>Net income margin</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4"/>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Adjusted EBITDA Margin</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i w:val="1"/>
                <w:iCs w:val="1"/>
                <w:color w:val="auto"/>
              </w:rPr>
              <w:t>Note: Percentages reflect line item as a percentage of net revenue, adjusted for rounding.</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720" w:top="891" w:right="739" w:bottom="1440" w:gutter="0" w:footer="0" w:header="0"/>
        </w:sectPr>
      </w:pPr>
    </w:p>
    <w:bookmarkStart w:id="13" w:name="page14"/>
    <w:bookmarkEnd w:id="13"/>
    <w:p>
      <w:pPr>
        <w:spacing w:after="0" w:line="1" w:lineRule="exact"/>
        <w:rPr>
          <w:sz w:val="20"/>
          <w:szCs w:val="20"/>
          <w:color w:val="auto"/>
        </w:rPr>
      </w:pPr>
    </w:p>
    <w:tbl>
      <w:tblPr>
        <w:tblLayout w:type="fixed"/>
        <w:tblInd w:w="48" w:type="dxa"/>
        <w:tblCellMar>
          <w:top w:w="0" w:type="dxa"/>
          <w:left w:w="0" w:type="dxa"/>
          <w:bottom w:w="0" w:type="dxa"/>
          <w:right w:w="0" w:type="dxa"/>
        </w:tblCellMar>
      </w:tblPr>
      <w:tr>
        <w:trPr>
          <w:trHeight w:val="234"/>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Reconciliation of Adjusted Diluted EPS to Diluted EPS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5"/>
            <w:vMerge w:val="restart"/>
          </w:tcPr>
          <w:p>
            <w:pPr>
              <w:jc w:val="right"/>
              <w:ind w:right="61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6"/>
        </w:trPr>
        <w:tc>
          <w:tcPr>
            <w:tcW w:w="7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Shares in thousands, except per share amounts</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8"/>
              </w:rPr>
              <w:t>April 1, 2023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April 2, 2022</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Stock based compensation expense </w:t>
            </w:r>
            <w:r>
              <w:rPr>
                <w:rFonts w:ascii="Arial" w:cs="Arial" w:eastAsia="Arial" w:hAnsi="Arial"/>
                <w:sz w:val="23"/>
                <w:szCs w:val="23"/>
                <w:color w:val="auto"/>
                <w:vertAlign w:val="superscript"/>
              </w:rPr>
              <w:t>(a)</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(c)</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Amortization of debt discount and deferred financing costs </w:t>
            </w:r>
            <w:r>
              <w:rPr>
                <w:rFonts w:ascii="Arial" w:cs="Arial" w:eastAsia="Arial" w:hAnsi="Arial"/>
                <w:sz w:val="23"/>
                <w:szCs w:val="23"/>
                <w:color w:val="auto"/>
                <w:vertAlign w:val="superscript"/>
              </w:rPr>
              <w:t>(d)</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Losses (gains) on change in fair value of derivatives </w:t>
            </w:r>
            <w:r>
              <w:rPr>
                <w:rFonts w:ascii="Arial" w:cs="Arial" w:eastAsia="Arial" w:hAnsi="Arial"/>
                <w:sz w:val="23"/>
                <w:szCs w:val="23"/>
                <w:color w:val="auto"/>
                <w:vertAlign w:val="superscript"/>
              </w:rPr>
              <w:t>(e)</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(f)</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Tax expense (benefit) from stock-based compensation </w:t>
            </w:r>
            <w:r>
              <w:rPr>
                <w:rFonts w:ascii="Arial" w:cs="Arial" w:eastAsia="Arial" w:hAnsi="Arial"/>
                <w:sz w:val="23"/>
                <w:szCs w:val="23"/>
                <w:color w:val="auto"/>
                <w:vertAlign w:val="superscript"/>
              </w:rPr>
              <w:t>(g)</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3"/>
                <w:szCs w:val="23"/>
                <w:color w:val="auto"/>
                <w:vertAlign w:val="superscript"/>
              </w:rPr>
              <w:t>(h)</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7360" w:type="dxa"/>
            <w:vAlign w:val="bottom"/>
          </w:tcPr>
          <w:p>
            <w:pPr>
              <w:ind w:left="140"/>
              <w:spacing w:after="0"/>
              <w:rPr>
                <w:sz w:val="20"/>
                <w:szCs w:val="20"/>
                <w:color w:val="auto"/>
              </w:rPr>
            </w:pPr>
            <w:r>
              <w:rPr>
                <w:rFonts w:ascii="Arial" w:cs="Arial" w:eastAsia="Arial" w:hAnsi="Arial"/>
                <w:sz w:val="18"/>
                <w:szCs w:val="18"/>
                <w:b w:val="1"/>
                <w:bCs w:val="1"/>
                <w:color w:val="auto"/>
              </w:rPr>
              <w:t>Adjusted Diluted EPS</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92,136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94,904</w:t>
            </w: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i w:val="1"/>
                <w:iCs w:val="1"/>
                <w:color w:val="auto"/>
              </w:rPr>
              <w:t>Note: Some of the totals in the table above do not foot due to rounding differences.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7360" w:type="dxa"/>
            <w:vAlign w:val="bottom"/>
          </w:tcPr>
          <w:p>
            <w:pPr>
              <w:spacing w:after="0"/>
              <w:rPr>
                <w:sz w:val="20"/>
                <w:szCs w:val="20"/>
                <w:color w:val="auto"/>
              </w:rPr>
            </w:pPr>
            <w:r>
              <w:rPr>
                <w:rFonts w:ascii="Arial" w:cs="Arial" w:eastAsia="Arial" w:hAnsi="Arial"/>
                <w:sz w:val="18"/>
                <w:szCs w:val="18"/>
                <w:b w:val="1"/>
                <w:bCs w:val="1"/>
                <w:color w:val="auto"/>
                <w:w w:val="98"/>
              </w:rPr>
              <w:t>Reconciliation of Adjusted SG&amp;A and Adjusted SG&amp;A Percent of Net Revenue to SG&amp;A</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5"/>
            <w:vMerge w:val="restart"/>
          </w:tcPr>
          <w:p>
            <w:pPr>
              <w:jc w:val="right"/>
              <w:ind w:right="71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9"/>
        </w:trPr>
        <w:tc>
          <w:tcPr>
            <w:tcW w:w="7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April 1, 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w w:val="94"/>
              </w:rPr>
              <w:t>April 2, 2022</w:t>
            </w:r>
          </w:p>
        </w:tc>
        <w:tc>
          <w:tcPr>
            <w:tcW w:w="0" w:type="dxa"/>
            <w:vAlign w:val="bottom"/>
          </w:tcPr>
          <w:p>
            <w:pPr>
              <w:spacing w:after="0"/>
              <w:rPr>
                <w:sz w:val="1"/>
                <w:szCs w:val="1"/>
                <w:color w:val="auto"/>
              </w:rPr>
            </w:pPr>
          </w:p>
        </w:tc>
      </w:tr>
      <w:tr>
        <w:trPr>
          <w:trHeight w:val="223"/>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SG&amp;A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249,922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228,554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548"/>
          </w:cols>
          <w:pgMar w:left="652" w:top="931" w:right="699" w:bottom="1440" w:gutter="0" w:footer="0" w:header="0"/>
        </w:sectPr>
      </w:pPr>
    </w:p>
    <w:p>
      <w:pPr>
        <w:ind w:left="48"/>
        <w:spacing w:after="0" w:line="223" w:lineRule="auto"/>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-9525</wp:posOffset>
            </wp:positionV>
            <wp:extent cx="666940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9405" cy="154305"/>
                    </a:xfrm>
                    <a:prstGeom prst="rect">
                      <a:avLst/>
                    </a:prstGeom>
                    <a:noFill/>
                  </pic:spPr>
                </pic:pic>
              </a:graphicData>
            </a:graphic>
          </wp:anchor>
        </w:drawing>
      </w:r>
    </w:p>
    <w:p>
      <w:pPr>
        <w:ind w:left="48"/>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p>
      <w:pPr>
        <w:spacing w:after="0" w:line="17" w:lineRule="exact"/>
        <w:rPr>
          <w:sz w:val="20"/>
          <w:szCs w:val="20"/>
          <w:color w:val="auto"/>
        </w:rPr>
      </w:pPr>
    </w:p>
    <w:p>
      <w:pPr>
        <w:ind w:left="168"/>
        <w:spacing w:after="0"/>
        <w:rPr>
          <w:sz w:val="20"/>
          <w:szCs w:val="20"/>
          <w:color w:val="auto"/>
        </w:rPr>
      </w:pPr>
      <w:r>
        <w:rPr>
          <w:rFonts w:ascii="Arial" w:cs="Arial" w:eastAsia="Arial" w:hAnsi="Arial"/>
          <w:sz w:val="18"/>
          <w:szCs w:val="18"/>
          <w:b w:val="1"/>
          <w:bCs w:val="1"/>
          <w:color w:val="auto"/>
        </w:rPr>
        <w:t>Adjusted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4445</wp:posOffset>
            </wp:positionV>
            <wp:extent cx="6669405"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9405" cy="102870"/>
                    </a:xfrm>
                    <a:prstGeom prst="rect">
                      <a:avLst/>
                    </a:prstGeom>
                    <a:noFill/>
                  </pic:spPr>
                </pic:pic>
              </a:graphicData>
            </a:graphic>
          </wp:anchor>
        </w:drawing>
      </w:r>
    </w:p>
    <w:p>
      <w:pPr>
        <w:spacing w:after="0" w:line="145" w:lineRule="exact"/>
        <w:rPr>
          <w:sz w:val="20"/>
          <w:szCs w:val="20"/>
          <w:color w:val="auto"/>
        </w:rPr>
      </w:pPr>
    </w:p>
    <w:p>
      <w:pPr>
        <w:ind w:left="168"/>
        <w:spacing w:after="0"/>
        <w:rPr>
          <w:sz w:val="20"/>
          <w:szCs w:val="20"/>
          <w:color w:val="auto"/>
        </w:rPr>
      </w:pPr>
      <w:r>
        <w:rPr>
          <w:rFonts w:ascii="Arial" w:cs="Arial" w:eastAsia="Arial" w:hAnsi="Arial"/>
          <w:sz w:val="18"/>
          <w:szCs w:val="18"/>
          <w:b w:val="1"/>
          <w:bCs w:val="1"/>
          <w:color w:val="auto"/>
        </w:rPr>
        <w:t>SG&amp;A Percent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17145</wp:posOffset>
            </wp:positionV>
            <wp:extent cx="666940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9405" cy="154305"/>
                    </a:xfrm>
                    <a:prstGeom prst="rect">
                      <a:avLst/>
                    </a:prstGeom>
                    <a:noFill/>
                  </pic:spPr>
                </pic:pic>
              </a:graphicData>
            </a:graphic>
          </wp:anchor>
        </w:drawing>
      </w:r>
    </w:p>
    <w:p>
      <w:pPr>
        <w:spacing w:after="0" w:line="7" w:lineRule="exact"/>
        <w:rPr>
          <w:sz w:val="20"/>
          <w:szCs w:val="20"/>
          <w:color w:val="auto"/>
        </w:rPr>
      </w:pPr>
    </w:p>
    <w:p>
      <w:pPr>
        <w:ind w:left="168"/>
        <w:spacing w:after="0"/>
        <w:rPr>
          <w:sz w:val="20"/>
          <w:szCs w:val="20"/>
          <w:color w:val="auto"/>
        </w:rPr>
      </w:pPr>
      <w:r>
        <w:rPr>
          <w:rFonts w:ascii="Arial" w:cs="Arial" w:eastAsia="Arial" w:hAnsi="Arial"/>
          <w:sz w:val="18"/>
          <w:szCs w:val="18"/>
          <w:b w:val="1"/>
          <w:bCs w:val="1"/>
          <w:color w:val="auto"/>
        </w:rPr>
        <w:t>Adjusted SG&amp;A Percent of Net Revenue</w:t>
      </w:r>
    </w:p>
    <w:p>
      <w:pPr>
        <w:spacing w:after="0" w:line="35" w:lineRule="exact"/>
        <w:rPr>
          <w:sz w:val="20"/>
          <w:szCs w:val="20"/>
          <w:color w:val="auto"/>
        </w:rPr>
      </w:pPr>
    </w:p>
    <w:p>
      <w:pPr>
        <w:ind w:left="68"/>
        <w:spacing w:after="0"/>
        <w:rPr>
          <w:sz w:val="20"/>
          <w:szCs w:val="20"/>
          <w:color w:val="auto"/>
        </w:rPr>
      </w:pPr>
      <w:r>
        <w:rPr>
          <w:rFonts w:ascii="Arial" w:cs="Arial" w:eastAsia="Arial" w:hAnsi="Arial"/>
          <w:sz w:val="16"/>
          <w:szCs w:val="16"/>
          <w:i w:val="1"/>
          <w:iCs w:val="1"/>
          <w:color w:val="auto"/>
        </w:rPr>
        <w:t>Note: Percentages reflect line item as a percentage of net 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3,734</w:t>
            </w:r>
          </w:p>
        </w:tc>
      </w:tr>
      <w:tr>
        <w:trPr>
          <w:trHeight w:val="237"/>
        </w:trPr>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1,705</w:t>
            </w:r>
          </w:p>
        </w:tc>
      </w:tr>
      <w:tr>
        <w:trPr>
          <w:trHeight w:val="229"/>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245,620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223,115</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57"/>
        </w:trPr>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44.4 %</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43.3 %</w:t>
            </w:r>
          </w:p>
        </w:tc>
      </w:tr>
      <w:tr>
        <w:trPr>
          <w:trHeight w:val="230"/>
        </w:trPr>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42.3 %</w:t>
            </w:r>
          </w:p>
        </w:tc>
      </w:tr>
    </w:tbl>
    <w:p>
      <w:pPr>
        <w:spacing w:after="0" w:line="396" w:lineRule="exact"/>
        <w:rPr>
          <w:sz w:val="20"/>
          <w:szCs w:val="20"/>
          <w:color w:val="auto"/>
        </w:rPr>
      </w:pPr>
    </w:p>
    <w:p>
      <w:pPr>
        <w:sectPr>
          <w:pgSz w:w="11900" w:h="16838" w:orient="portrait"/>
          <w:cols w:equalWidth="0" w:num="2">
            <w:col w:w="6688" w:space="720"/>
            <w:col w:w="3140"/>
          </w:cols>
          <w:pgMar w:left="652" w:top="931" w:right="699" w:bottom="1440" w:gutter="0" w:footer="0" w:header="0"/>
          <w:type w:val="continuous"/>
        </w:sectPr>
      </w:pPr>
    </w:p>
    <w:p>
      <w:pPr>
        <w:spacing w:after="0" w:line="165" w:lineRule="exact"/>
        <w:rPr>
          <w:sz w:val="20"/>
          <w:szCs w:val="20"/>
          <w:color w:val="auto"/>
        </w:rPr>
      </w:pPr>
    </w:p>
    <w:p>
      <w:pPr>
        <w:ind w:left="328" w:hanging="328"/>
        <w:spacing w:after="0"/>
        <w:tabs>
          <w:tab w:leader="none" w:pos="328" w:val="left"/>
        </w:tabs>
        <w:numPr>
          <w:ilvl w:val="0"/>
          <w:numId w:val="8"/>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328" w:hanging="328"/>
        <w:spacing w:after="0"/>
        <w:tabs>
          <w:tab w:leader="none" w:pos="328"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write-off of primarily property, equipment and lease-related assets on closed or underperforming stores.</w:t>
      </w:r>
    </w:p>
    <w:p>
      <w:pPr>
        <w:spacing w:after="0" w:line="9" w:lineRule="exact"/>
        <w:rPr>
          <w:rFonts w:ascii="Arial" w:cs="Arial" w:eastAsia="Arial" w:hAnsi="Arial"/>
          <w:sz w:val="14"/>
          <w:szCs w:val="14"/>
          <w:color w:val="auto"/>
        </w:rPr>
      </w:pPr>
    </w:p>
    <w:p>
      <w:pPr>
        <w:ind w:left="328" w:right="280" w:hanging="328"/>
        <w:spacing w:after="0" w:line="261" w:lineRule="auto"/>
        <w:tabs>
          <w:tab w:leader="none" w:pos="328"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acquisition of the Company by affiliates of KKR &amp; Co. Inc.</w:t>
      </w:r>
    </w:p>
    <w:p>
      <w:pPr>
        <w:ind w:left="328" w:right="280" w:hanging="328"/>
        <w:spacing w:after="0" w:line="255" w:lineRule="auto"/>
        <w:tabs>
          <w:tab w:leader="none" w:pos="328"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ind w:left="328" w:hanging="328"/>
        <w:spacing w:after="0"/>
        <w:tabs>
          <w:tab w:leader="none" w:pos="328"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(income), net on change in fair value of de-designated hedges.</w:t>
      </w:r>
    </w:p>
    <w:p>
      <w:pPr>
        <w:spacing w:after="0" w:line="9" w:lineRule="exact"/>
        <w:rPr>
          <w:rFonts w:ascii="Arial" w:cs="Arial" w:eastAsia="Arial" w:hAnsi="Arial"/>
          <w:sz w:val="14"/>
          <w:szCs w:val="14"/>
          <w:color w:val="auto"/>
        </w:rPr>
      </w:pPr>
    </w:p>
    <w:p>
      <w:pPr>
        <w:jc w:val="both"/>
        <w:ind w:left="328" w:right="280" w:hanging="328"/>
        <w:spacing w:after="0" w:line="256" w:lineRule="auto"/>
        <w:tabs>
          <w:tab w:leader="none" w:pos="328"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excess payroll taxes on vesting of restricted stock units and exercises of stock options, executive severance and relocation and other expenses and adjustments, including losses on other investments of $0.3 million for the three months ended April 2, 2022.</w:t>
      </w:r>
    </w:p>
    <w:p>
      <w:pPr>
        <w:spacing w:after="0" w:line="1" w:lineRule="exact"/>
        <w:rPr>
          <w:rFonts w:ascii="Arial" w:cs="Arial" w:eastAsia="Arial" w:hAnsi="Arial"/>
          <w:sz w:val="14"/>
          <w:szCs w:val="14"/>
          <w:color w:val="auto"/>
        </w:rPr>
      </w:pPr>
    </w:p>
    <w:p>
      <w:pPr>
        <w:ind w:left="328" w:right="280" w:hanging="328"/>
        <w:spacing w:after="0" w:line="261" w:lineRule="auto"/>
        <w:tabs>
          <w:tab w:leader="none" w:pos="328" w:val="left"/>
        </w:tabs>
        <w:numPr>
          <w:ilvl w:val="0"/>
          <w:numId w:val="8"/>
        </w:numPr>
        <w:rPr>
          <w:rFonts w:ascii="Arial" w:cs="Arial" w:eastAsia="Arial" w:hAnsi="Arial"/>
          <w:sz w:val="14"/>
          <w:szCs w:val="14"/>
          <w:color w:val="auto"/>
        </w:rPr>
      </w:pPr>
      <w:r>
        <w:rPr>
          <w:rFonts w:ascii="Arial" w:cs="Arial" w:eastAsia="Arial" w:hAnsi="Arial"/>
          <w:sz w:val="14"/>
          <w:szCs w:val="14"/>
          <w:color w:val="auto"/>
        </w:rPr>
        <w:t>Tax expense (benefit) associated with accounting guidance requiring excess tax expense (benefit) related to vesting of restricted stock units and exercises of stock options to be recorded in earnings as discrete items in the reporting period in which they occur.</w:t>
      </w:r>
    </w:p>
    <w:p>
      <w:pPr>
        <w:ind w:left="328" w:hanging="328"/>
        <w:spacing w:after="0"/>
        <w:tabs>
          <w:tab w:leader="none" w:pos="328"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4" w:lineRule="exact"/>
        <w:rPr>
          <w:rFonts w:ascii="Arial" w:cs="Arial" w:eastAsia="Arial" w:hAnsi="Arial"/>
          <w:sz w:val="14"/>
          <w:szCs w:val="14"/>
          <w:color w:val="auto"/>
        </w:rPr>
      </w:pPr>
    </w:p>
    <w:p>
      <w:pPr>
        <w:ind w:left="328" w:hanging="328"/>
        <w:spacing w:after="0"/>
        <w:tabs>
          <w:tab w:leader="none" w:pos="328"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other expenses in (f) above, except for losses on other investments of $0.3 million for the three months ended April 2, 2022.</w:t>
      </w:r>
    </w:p>
    <w:p>
      <w:pPr>
        <w:sectPr>
          <w:pgSz w:w="11900" w:h="16838" w:orient="portrait"/>
          <w:cols w:equalWidth="0" w:num="1">
            <w:col w:w="10548"/>
          </w:cols>
          <w:pgMar w:left="652" w:top="931" w:right="699" w:bottom="1440" w:gutter="0" w:footer="0" w:header="0"/>
          <w:type w:val="continuous"/>
        </w:sectPr>
      </w:pPr>
    </w:p>
    <w:bookmarkStart w:id="14" w:name="page15"/>
    <w:bookmarkEnd w:id="14"/>
    <w:p>
      <w:pPr>
        <w:ind w:left="148"/>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tbl>
      <w:tblPr>
        <w:tblLayout w:type="fixed"/>
        <w:tblInd w:w="128" w:type="dxa"/>
        <w:tblCellMar>
          <w:top w:w="0" w:type="dxa"/>
          <w:left w:w="0" w:type="dxa"/>
          <w:bottom w:w="0" w:type="dxa"/>
          <w:right w:w="0" w:type="dxa"/>
        </w:tblCellMar>
      </w:tblPr>
      <w:tr>
        <w:trPr>
          <w:trHeight w:val="257"/>
        </w:trPr>
        <w:tc>
          <w:tcPr>
            <w:tcW w:w="5520" w:type="dxa"/>
            <w:vAlign w:val="bottom"/>
          </w:tcPr>
          <w:p>
            <w:pPr>
              <w:spacing w:after="0"/>
              <w:rPr>
                <w:sz w:val="22"/>
                <w:szCs w:val="22"/>
                <w:color w:val="auto"/>
              </w:rPr>
            </w:pPr>
          </w:p>
        </w:tc>
        <w:tc>
          <w:tcPr>
            <w:tcW w:w="4800" w:type="dxa"/>
            <w:vAlign w:val="bottom"/>
            <w:tcBorders>
              <w:bottom w:val="single" w:sz="8" w:color="auto"/>
            </w:tcBorders>
            <w:gridSpan w:val="5"/>
          </w:tcPr>
          <w:p>
            <w:pPr>
              <w:jc w:val="center"/>
              <w:spacing w:after="0" w:line="257" w:lineRule="exact"/>
              <w:rPr>
                <w:sz w:val="20"/>
                <w:szCs w:val="20"/>
                <w:color w:val="auto"/>
              </w:rPr>
            </w:pPr>
            <w:r>
              <w:rPr>
                <w:rFonts w:ascii="Arial" w:cs="Arial" w:eastAsia="Arial" w:hAnsi="Arial"/>
                <w:sz w:val="18"/>
                <w:szCs w:val="18"/>
                <w:color w:val="auto"/>
                <w:w w:val="87"/>
              </w:rPr>
              <w:t xml:space="preserve">Comparable store sales growth </w:t>
            </w:r>
            <w:r>
              <w:rPr>
                <w:rFonts w:ascii="Arial" w:cs="Arial" w:eastAsia="Arial" w:hAnsi="Arial"/>
                <w:sz w:val="23"/>
                <w:szCs w:val="23"/>
                <w:color w:val="auto"/>
                <w:w w:val="87"/>
                <w:vertAlign w:val="superscript"/>
              </w:rPr>
              <w:t>(a)</w:t>
            </w:r>
          </w:p>
        </w:tc>
        <w:tc>
          <w:tcPr>
            <w:tcW w:w="0" w:type="dxa"/>
            <w:vAlign w:val="bottom"/>
          </w:tcPr>
          <w:p>
            <w:pPr>
              <w:spacing w:after="0"/>
              <w:rPr>
                <w:sz w:val="1"/>
                <w:szCs w:val="1"/>
                <w:color w:val="auto"/>
              </w:rPr>
            </w:pPr>
          </w:p>
        </w:tc>
      </w:tr>
      <w:tr>
        <w:trPr>
          <w:trHeight w:val="182"/>
        </w:trPr>
        <w:tc>
          <w:tcPr>
            <w:tcW w:w="5520" w:type="dxa"/>
            <w:vAlign w:val="bottom"/>
          </w:tcPr>
          <w:p>
            <w:pPr>
              <w:spacing w:after="0"/>
              <w:rPr>
                <w:sz w:val="15"/>
                <w:szCs w:val="15"/>
                <w:color w:val="auto"/>
              </w:rPr>
            </w:pPr>
          </w:p>
        </w:tc>
        <w:tc>
          <w:tcPr>
            <w:tcW w:w="15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15"/>
                <w:szCs w:val="15"/>
                <w:color w:val="auto"/>
              </w:rPr>
            </w:pPr>
          </w:p>
        </w:tc>
        <w:tc>
          <w:tcPr>
            <w:tcW w:w="1520" w:type="dxa"/>
            <w:vAlign w:val="bottom"/>
          </w:tcPr>
          <w:p>
            <w:pPr>
              <w:jc w:val="center"/>
              <w:spacing w:after="0" w:line="182" w:lineRule="exact"/>
              <w:rPr>
                <w:sz w:val="20"/>
                <w:szCs w:val="20"/>
                <w:color w:val="auto"/>
              </w:rPr>
            </w:pPr>
            <w:r>
              <w:rPr>
                <w:rFonts w:ascii="Arial" w:cs="Arial" w:eastAsia="Arial" w:hAnsi="Arial"/>
                <w:sz w:val="18"/>
                <w:szCs w:val="18"/>
                <w:color w:val="auto"/>
                <w:w w:val="91"/>
              </w:rPr>
              <w:t>Three Months</w:t>
            </w: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0"/>
              </w:rPr>
              <w:t xml:space="preserve">2023 Outlook </w:t>
            </w:r>
            <w:r>
              <w:rPr>
                <w:rFonts w:ascii="Arial" w:cs="Arial" w:eastAsia="Arial" w:hAnsi="Arial"/>
                <w:sz w:val="23"/>
                <w:szCs w:val="23"/>
                <w:color w:val="auto"/>
                <w:w w:val="90"/>
                <w:vertAlign w:val="superscript"/>
              </w:rPr>
              <w:t>(b)</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Ended April 1, 2023</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Ended April 2, 2022</w:t>
            </w: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America’s Best</w:t>
            </w:r>
          </w:p>
        </w:tc>
        <w:tc>
          <w:tcPr>
            <w:tcW w:w="1540" w:type="dxa"/>
            <w:vAlign w:val="bottom"/>
          </w:tcPr>
          <w:p>
            <w:pPr>
              <w:jc w:val="right"/>
              <w:spacing w:after="0"/>
              <w:rPr>
                <w:sz w:val="20"/>
                <w:szCs w:val="20"/>
                <w:color w:val="auto"/>
              </w:rPr>
            </w:pPr>
            <w:r>
              <w:rPr>
                <w:rFonts w:ascii="Arial" w:cs="Arial" w:eastAsia="Arial" w:hAnsi="Arial"/>
                <w:sz w:val="18"/>
                <w:szCs w:val="18"/>
                <w:color w:val="auto"/>
              </w:rPr>
              <w:t>1.7 %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Military</w:t>
            </w:r>
          </w:p>
        </w:tc>
        <w:tc>
          <w:tcPr>
            <w:tcW w:w="1540" w:type="dxa"/>
            <w:vAlign w:val="bottom"/>
          </w:tcPr>
          <w:p>
            <w:pPr>
              <w:jc w:val="right"/>
              <w:spacing w:after="0"/>
              <w:rPr>
                <w:sz w:val="20"/>
                <w:szCs w:val="20"/>
                <w:color w:val="auto"/>
              </w:rPr>
            </w:pPr>
            <w:r>
              <w:rPr>
                <w:rFonts w:ascii="Arial" w:cs="Arial" w:eastAsia="Arial" w:hAnsi="Arial"/>
                <w:sz w:val="18"/>
                <w:szCs w:val="18"/>
                <w:color w:val="auto"/>
              </w:rPr>
              <w:t>3.2 %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Legacy segment</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Total comparable store sales growth</w:t>
            </w:r>
          </w:p>
        </w:tc>
        <w:tc>
          <w:tcPr>
            <w:tcW w:w="1540" w:type="dxa"/>
            <w:vAlign w:val="bottom"/>
          </w:tcPr>
          <w:p>
            <w:pPr>
              <w:jc w:val="right"/>
              <w:spacing w:after="0"/>
              <w:rPr>
                <w:sz w:val="20"/>
                <w:szCs w:val="20"/>
                <w:color w:val="auto"/>
              </w:rPr>
            </w:pPr>
            <w:r>
              <w:rPr>
                <w:rFonts w:ascii="Arial" w:cs="Arial" w:eastAsia="Arial" w:hAnsi="Arial"/>
                <w:sz w:val="18"/>
                <w:szCs w:val="18"/>
                <w:color w:val="auto"/>
              </w:rPr>
              <w:t>3.0 %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6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0% - 3%</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Adjusted Comparable Store Sales Growth </w:t>
            </w:r>
            <w:r>
              <w:rPr>
                <w:rFonts w:ascii="Arial" w:cs="Arial" w:eastAsia="Arial" w:hAnsi="Arial"/>
                <w:sz w:val="23"/>
                <w:szCs w:val="23"/>
                <w:color w:val="auto"/>
                <w:vertAlign w:val="superscript"/>
              </w:rPr>
              <w:t>(b)</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0% - 3%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28" w:right="180" w:hanging="328"/>
        <w:spacing w:after="0" w:line="263" w:lineRule="auto"/>
        <w:tabs>
          <w:tab w:leader="none" w:pos="328"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comparable store sales is calculated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in our Quarterly Report on Form 10-Q for the period ended April 1, 2023, with the exception of the Legacy segment, which is adjusted as noted in (b) (ii) below.</w:t>
      </w:r>
    </w:p>
    <w:p>
      <w:pPr>
        <w:spacing w:after="0" w:line="88" w:lineRule="exact"/>
        <w:rPr>
          <w:rFonts w:ascii="Arial" w:cs="Arial" w:eastAsia="Arial" w:hAnsi="Arial"/>
          <w:sz w:val="14"/>
          <w:szCs w:val="14"/>
          <w:color w:val="auto"/>
        </w:rPr>
      </w:pPr>
    </w:p>
    <w:p>
      <w:pPr>
        <w:jc w:val="both"/>
        <w:ind w:left="328" w:right="180" w:hanging="328"/>
        <w:spacing w:after="0" w:line="260" w:lineRule="auto"/>
        <w:tabs>
          <w:tab w:leader="none" w:pos="328"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 decrease of 2.0% and a decrease of 1.8% for the three months ended April 1, 2023 and April 2, 2022, respectively; and (ii) Adjusted Comparable Store Sales Growth includes retail sales to the Legacy partner’s customers (rather than the revenues recognized consistent with the management &amp; services agreement with the Legacy partner), resulting in the following changes from total comparable store sales growth based on consolidated net revenue: a decrease of 0.2% and a decrease of 0.1% for the three months ended April 1, 2023 and April 2, 2022, respectively; (iii) with respect to the Company’s 2023 Outlook, Adjusted Comparable Store Sales Growth includes an estimated 0.2% decrease for the effect of deferred and unearned revenue as if such revenues were earned at the point of sale and retail sales to the Legacy partner’s customers (rather than the revenues recognized consistent with the management &amp; services agreement).</w:t>
      </w:r>
    </w:p>
    <w:p>
      <w:pPr>
        <w:sectPr>
          <w:pgSz w:w="11900" w:h="16838" w:orient="portrait"/>
          <w:cols w:equalWidth="0" w:num="1">
            <w:col w:w="10448"/>
          </w:cols>
          <w:pgMar w:left="652" w:top="1026" w:right="7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Investors: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Caitlin Churchill</w:t>
      </w:r>
    </w:p>
    <w:p>
      <w:pPr>
        <w:spacing w:after="0" w:line="9" w:lineRule="exact"/>
        <w:rPr>
          <w:sz w:val="20"/>
          <w:szCs w:val="20"/>
          <w:color w:val="auto"/>
        </w:rPr>
      </w:pPr>
    </w:p>
    <w:p>
      <w:pPr>
        <w:ind w:right="7359"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682-8200 investor.relations@nationalvision.com</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Racheal Peters, Manager of External Communications</w:t>
      </w:r>
    </w:p>
    <w:p>
      <w:pPr>
        <w:spacing w:after="0" w:line="32" w:lineRule="exact"/>
        <w:rPr>
          <w:sz w:val="20"/>
          <w:szCs w:val="20"/>
          <w:color w:val="auto"/>
        </w:rPr>
      </w:pPr>
    </w:p>
    <w:p>
      <w:pPr>
        <w:ind w:right="8159" w:firstLine="8"/>
        <w:spacing w:after="0" w:line="323"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448-2303 media@nationalvision.com</w:t>
      </w:r>
    </w:p>
    <w:sectPr>
      <w:pgSz w:w="11900" w:h="16838" w:orient="portrait"/>
      <w:cols w:equalWidth="0" w:num="1">
        <w:col w:w="10139"/>
      </w:cols>
      <w:pgMar w:left="320" w:top="12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203"/>
    </w:lvl>
  </w:abstractNum>
  <w:abstractNum w:abstractNumId="10">
    <w:nsid w:val="1F16E9E8"/>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2023-05-11T05:28:42Z</dcterms:created>
  <dcterms:modified xsi:type="dcterms:W3CDTF">2023-05-11T05:28:42Z</dcterms:modified>
</cp:coreProperties>
</file>