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August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20" w:right="9280" w:hanging="2"/>
        <w:spacing w:after="0" w:line="266" w:lineRule="auto"/>
        <w:tabs>
          <w:tab w:leader="none" w:pos="9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 o Rule 13d-1(c) o Rule 13d-1(d)</w:t>
      </w:r>
    </w:p>
    <w:p>
      <w:pPr>
        <w:spacing w:after="0" w:line="17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7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4"/>
        </w:trPr>
        <w:tc>
          <w:tcPr>
            <w:tcW w:w="284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78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080" w:type="dxa"/>
            <w:vAlign w:val="bottom"/>
            <w:tcBorders>
              <w:top w:val="single" w:sz="8" w:color="auto"/>
              <w:bottom w:val="single" w:sz="8" w:color="auto"/>
              <w:right w:val="single" w:sz="8" w:color="auto"/>
            </w:tcBorders>
          </w:tcPr>
          <w:p>
            <w:pPr>
              <w:spacing w:after="0"/>
              <w:rPr>
                <w:sz w:val="22"/>
                <w:szCs w:val="22"/>
                <w:color w:val="auto"/>
              </w:rPr>
            </w:pPr>
          </w:p>
        </w:tc>
        <w:tc>
          <w:tcPr>
            <w:tcW w:w="5480" w:type="dxa"/>
            <w:vAlign w:val="bottom"/>
            <w:tcBorders>
              <w:top w:val="single" w:sz="8" w:color="auto"/>
              <w:bottom w:val="single" w:sz="8" w:color="auto"/>
              <w:right w:val="single" w:sz="8" w:color="auto"/>
            </w:tcBorders>
            <w:gridSpan w:val="2"/>
          </w:tcPr>
          <w:p>
            <w:pPr>
              <w:ind w:left="4880"/>
              <w:spacing w:after="0"/>
              <w:rPr>
                <w:sz w:val="20"/>
                <w:szCs w:val="20"/>
                <w:color w:val="auto"/>
              </w:rPr>
            </w:pPr>
            <w:r>
              <w:rPr>
                <w:rFonts w:ascii="Times New Roman" w:cs="Times New Roman" w:eastAsia="Times New Roman" w:hAnsi="Times New Roman"/>
                <w:sz w:val="18"/>
                <w:szCs w:val="18"/>
                <w:color w:val="auto"/>
              </w:rPr>
              <w:t>Page 2</w:t>
            </w:r>
          </w:p>
        </w:tc>
        <w:tc>
          <w:tcPr>
            <w:tcW w:w="0" w:type="dxa"/>
            <w:vAlign w:val="bottom"/>
          </w:tcPr>
          <w:p>
            <w:pPr>
              <w:spacing w:after="0"/>
              <w:rPr>
                <w:sz w:val="1"/>
                <w:szCs w:val="1"/>
                <w:color w:val="auto"/>
              </w:rPr>
            </w:pPr>
          </w:p>
        </w:tc>
      </w:tr>
      <w:tr>
        <w:trPr>
          <w:trHeight w:val="428"/>
        </w:trPr>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0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William Blair Investment Management, LLC</w:t>
            </w: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instructions)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68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8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220" w:type="dxa"/>
            <w:vAlign w:val="bottom"/>
            <w:tcBorders>
              <w:bottom w:val="single" w:sz="8" w:color="auto"/>
            </w:tcBorders>
            <w:gridSpan w:val="3"/>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8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Borders>
              <w:right w:val="single" w:sz="8" w:color="auto"/>
            </w:tcBorders>
            <w:gridSpan w:val="2"/>
            <w:vMerge w:val="restart"/>
          </w:tcPr>
          <w:p>
            <w:pPr>
              <w:jc w:val="center"/>
              <w:ind w:right="73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7,402,365</w:t>
            </w: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8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tcBorders>
              <w:right w:val="single" w:sz="8" w:color="auto"/>
            </w:tcBorders>
            <w:gridSpan w:val="2"/>
            <w:vMerge w:val="continue"/>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SHARES</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2160" w:type="dxa"/>
            <w:vAlign w:val="bottom"/>
            <w:tcBorders>
              <w:right w:val="single" w:sz="8" w:color="auto"/>
            </w:tcBorders>
            <w:gridSpan w:val="3"/>
          </w:tcPr>
          <w:p>
            <w:pPr>
              <w:jc w:val="center"/>
              <w:ind w:right="590"/>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OWNED BY</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0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92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7"/>
              </w:rPr>
              <w:t>EACH</w:t>
            </w:r>
          </w:p>
        </w:tc>
        <w:tc>
          <w:tcPr>
            <w:tcW w:w="7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92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REPORTING</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PERSON</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8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WITH</w:t>
            </w:r>
          </w:p>
        </w:tc>
        <w:tc>
          <w:tcPr>
            <w:tcW w:w="78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8,562,282</w:t>
            </w:r>
          </w:p>
        </w:tc>
        <w:tc>
          <w:tcPr>
            <w:tcW w:w="508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68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80" w:type="dxa"/>
            <w:vAlign w:val="bottom"/>
            <w:tcBorders>
              <w:lef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gridSpan w:val="2"/>
          </w:tcPr>
          <w:p>
            <w:pPr>
              <w:spacing w:after="0"/>
              <w:rPr>
                <w:sz w:val="24"/>
                <w:szCs w:val="24"/>
                <w:color w:val="auto"/>
              </w:rPr>
            </w:pPr>
          </w:p>
        </w:tc>
        <w:tc>
          <w:tcPr>
            <w:tcW w:w="1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8,562,282</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(SEE INSTRUCTIONS)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8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gridSpan w:val="2"/>
          </w:tcPr>
          <w:p>
            <w:pPr>
              <w:spacing w:after="0"/>
              <w:rPr>
                <w:sz w:val="24"/>
                <w:szCs w:val="24"/>
                <w:color w:val="auto"/>
              </w:rPr>
            </w:pPr>
          </w:p>
        </w:tc>
        <w:tc>
          <w:tcPr>
            <w:tcW w:w="1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IA</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04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3720" w:type="dxa"/>
            <w:vAlign w:val="bottom"/>
            <w:tcBorders>
              <w:top w:val="single" w:sz="8" w:color="auto"/>
              <w:bottom w:val="single" w:sz="8" w:color="auto"/>
              <w:right w:val="single" w:sz="8" w:color="auto"/>
            </w:tcBorders>
          </w:tcPr>
          <w:p>
            <w:pPr>
              <w:spacing w:after="0"/>
              <w:rPr>
                <w:sz w:val="22"/>
                <w:szCs w:val="22"/>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3</w:t>
            </w:r>
          </w:p>
        </w:tc>
      </w:tr>
      <w:tr>
        <w:trPr>
          <w:trHeight w:val="625"/>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234"/>
        </w:trPr>
        <w:tc>
          <w:tcPr>
            <w:tcW w:w="2040" w:type="dxa"/>
            <w:vAlign w:val="bottom"/>
          </w:tcPr>
          <w:p>
            <w:pPr>
              <w:spacing w:after="0"/>
              <w:rPr>
                <w:sz w:val="20"/>
                <w:szCs w:val="20"/>
                <w:color w:val="auto"/>
              </w:rPr>
            </w:pP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34"/>
        </w:trPr>
        <w:tc>
          <w:tcPr>
            <w:tcW w:w="2040" w:type="dxa"/>
            <w:vAlign w:val="bottom"/>
          </w:tcPr>
          <w:p>
            <w:pPr>
              <w:spacing w:after="0"/>
              <w:rPr>
                <w:sz w:val="20"/>
                <w:szCs w:val="20"/>
                <w:color w:val="auto"/>
              </w:rPr>
            </w:pP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2435 Commerce Avenue, Bldg. 2200, Duluth, GA 30096</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34"/>
        </w:trPr>
        <w:tc>
          <w:tcPr>
            <w:tcW w:w="2040" w:type="dxa"/>
            <w:vAlign w:val="bottom"/>
          </w:tcPr>
          <w:p>
            <w:pPr>
              <w:spacing w:after="0"/>
              <w:rPr>
                <w:sz w:val="20"/>
                <w:szCs w:val="20"/>
                <w:color w:val="auto"/>
              </w:rPr>
            </w:pP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William Blair Investment Management, LLC</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34"/>
        </w:trPr>
        <w:tc>
          <w:tcPr>
            <w:tcW w:w="2040" w:type="dxa"/>
            <w:vAlign w:val="bottom"/>
          </w:tcPr>
          <w:p>
            <w:pPr>
              <w:spacing w:after="0"/>
              <w:rPr>
                <w:sz w:val="20"/>
                <w:szCs w:val="20"/>
                <w:color w:val="auto"/>
              </w:rPr>
            </w:pP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150 North Riverside Plaza, Chicago, IL 60606</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4"/>
        </w:trPr>
        <w:tc>
          <w:tcPr>
            <w:tcW w:w="2040" w:type="dxa"/>
            <w:vAlign w:val="bottom"/>
          </w:tcPr>
          <w:p>
            <w:pPr>
              <w:spacing w:after="0"/>
              <w:rPr>
                <w:sz w:val="20"/>
                <w:szCs w:val="20"/>
                <w:color w:val="auto"/>
              </w:rPr>
            </w:pP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234"/>
        </w:trPr>
        <w:tc>
          <w:tcPr>
            <w:tcW w:w="2040" w:type="dxa"/>
            <w:vAlign w:val="bottom"/>
          </w:tcPr>
          <w:p>
            <w:pPr>
              <w:spacing w:after="0"/>
              <w:rPr>
                <w:sz w:val="20"/>
                <w:szCs w:val="20"/>
                <w:color w:val="auto"/>
              </w:rPr>
            </w:pP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Common Stock</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234"/>
        </w:trPr>
        <w:tc>
          <w:tcPr>
            <w:tcW w:w="2040" w:type="dxa"/>
            <w:vAlign w:val="bottom"/>
          </w:tcPr>
          <w:p>
            <w:pPr>
              <w:spacing w:after="0"/>
              <w:rPr>
                <w:sz w:val="20"/>
                <w:szCs w:val="20"/>
                <w:color w:val="auto"/>
              </w:rPr>
            </w:pP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63845R107</w:t>
            </w:r>
          </w:p>
        </w:tc>
      </w:tr>
      <w:tr>
        <w:trPr>
          <w:trHeight w:val="432"/>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2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bl>
    <w:p>
      <w:pPr>
        <w:spacing w:after="0" w:line="198" w:lineRule="exact"/>
        <w:rPr>
          <w:sz w:val="20"/>
          <w:szCs w:val="20"/>
          <w:color w:val="auto"/>
        </w:rPr>
      </w:pPr>
    </w:p>
    <w:p>
      <w:pPr>
        <w:ind w:left="2940" w:hanging="325"/>
        <w:spacing w:after="0"/>
        <w:tabs>
          <w:tab w:leader="none" w:pos="2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76" w:lineRule="exact"/>
        <w:rPr>
          <w:rFonts w:ascii="Times New Roman" w:cs="Times New Roman" w:eastAsia="Times New Roman" w:hAnsi="Times New Roman"/>
          <w:sz w:val="18"/>
          <w:szCs w:val="18"/>
          <w:color w:val="auto"/>
        </w:rPr>
      </w:pPr>
    </w:p>
    <w:p>
      <w:pPr>
        <w:ind w:left="2940" w:hanging="330"/>
        <w:spacing w:after="0"/>
        <w:tabs>
          <w:tab w:leader="none" w:pos="2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oBank as defined in Section 3(a)(6) of the Act (15 U.S.C. 78c);</w:t>
      </w:r>
    </w:p>
    <w:p>
      <w:pPr>
        <w:spacing w:after="0" w:line="76" w:lineRule="exact"/>
        <w:rPr>
          <w:rFonts w:ascii="Times New Roman" w:cs="Times New Roman" w:eastAsia="Times New Roman" w:hAnsi="Times New Roman"/>
          <w:sz w:val="18"/>
          <w:szCs w:val="18"/>
          <w:color w:val="auto"/>
        </w:rPr>
      </w:pPr>
    </w:p>
    <w:p>
      <w:pPr>
        <w:ind w:left="2940" w:hanging="325"/>
        <w:spacing w:after="0"/>
        <w:tabs>
          <w:tab w:leader="none" w:pos="2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76" w:lineRule="exact"/>
        <w:rPr>
          <w:rFonts w:ascii="Times New Roman" w:cs="Times New Roman" w:eastAsia="Times New Roman" w:hAnsi="Times New Roman"/>
          <w:sz w:val="18"/>
          <w:szCs w:val="18"/>
          <w:color w:val="auto"/>
        </w:rPr>
      </w:pPr>
    </w:p>
    <w:p>
      <w:pPr>
        <w:ind w:left="2940" w:hanging="330"/>
        <w:spacing w:after="0"/>
        <w:tabs>
          <w:tab w:leader="none" w:pos="2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76" w:lineRule="exact"/>
        <w:rPr>
          <w:rFonts w:ascii="Times New Roman" w:cs="Times New Roman" w:eastAsia="Times New Roman" w:hAnsi="Times New Roman"/>
          <w:sz w:val="18"/>
          <w:szCs w:val="18"/>
          <w:color w:val="auto"/>
        </w:rPr>
      </w:pPr>
    </w:p>
    <w:p>
      <w:pPr>
        <w:ind w:left="2940" w:hanging="325"/>
        <w:spacing w:after="0"/>
        <w:tabs>
          <w:tab w:leader="none" w:pos="2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xAn investment adviser in accordance with § 240.13d-1(b)(1)(ii)(E);</w:t>
      </w:r>
    </w:p>
    <w:p>
      <w:pPr>
        <w:spacing w:after="0" w:line="76" w:lineRule="exact"/>
        <w:rPr>
          <w:rFonts w:ascii="Times New Roman" w:cs="Times New Roman" w:eastAsia="Times New Roman" w:hAnsi="Times New Roman"/>
          <w:sz w:val="18"/>
          <w:szCs w:val="18"/>
          <w:color w:val="auto"/>
        </w:rPr>
      </w:pPr>
    </w:p>
    <w:p>
      <w:pPr>
        <w:ind w:left="2940" w:hanging="315"/>
        <w:spacing w:after="0"/>
        <w:tabs>
          <w:tab w:leader="none" w:pos="2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 240.13d-1(b)(1)(ii)(F);</w:t>
      </w:r>
    </w:p>
    <w:p>
      <w:pPr>
        <w:spacing w:after="0" w:line="76" w:lineRule="exact"/>
        <w:rPr>
          <w:rFonts w:ascii="Times New Roman" w:cs="Times New Roman" w:eastAsia="Times New Roman" w:hAnsi="Times New Roman"/>
          <w:sz w:val="18"/>
          <w:szCs w:val="18"/>
          <w:color w:val="auto"/>
        </w:rPr>
      </w:pPr>
    </w:p>
    <w:p>
      <w:pPr>
        <w:ind w:left="2940" w:hanging="330"/>
        <w:spacing w:after="0"/>
        <w:tabs>
          <w:tab w:leader="none" w:pos="2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parent holding company or control person in accordance with § 240.13d-1(b)(1)(ii)(G);</w:t>
      </w:r>
    </w:p>
    <w:p>
      <w:pPr>
        <w:spacing w:after="0" w:line="76" w:lineRule="exact"/>
        <w:rPr>
          <w:rFonts w:ascii="Times New Roman" w:cs="Times New Roman" w:eastAsia="Times New Roman" w:hAnsi="Times New Roman"/>
          <w:sz w:val="18"/>
          <w:szCs w:val="18"/>
          <w:color w:val="auto"/>
        </w:rPr>
      </w:pPr>
    </w:p>
    <w:p>
      <w:pPr>
        <w:ind w:left="2940" w:hanging="330"/>
        <w:spacing w:after="0"/>
        <w:tabs>
          <w:tab w:leader="none" w:pos="2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77" w:lineRule="exact"/>
        <w:rPr>
          <w:sz w:val="20"/>
          <w:szCs w:val="20"/>
          <w:color w:val="auto"/>
        </w:rPr>
      </w:pPr>
    </w:p>
    <w:p>
      <w:pPr>
        <w:ind w:left="3380" w:right="180" w:hanging="750"/>
        <w:spacing w:after="0" w:line="282" w:lineRule="auto"/>
        <w:tabs>
          <w:tab w:leader="none" w:pos="29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(15 U.S.C. 80a-3);</w:t>
      </w:r>
    </w:p>
    <w:p>
      <w:pPr>
        <w:spacing w:after="0" w:line="13" w:lineRule="exact"/>
        <w:rPr>
          <w:rFonts w:ascii="Times New Roman" w:cs="Times New Roman" w:eastAsia="Times New Roman" w:hAnsi="Times New Roman"/>
          <w:sz w:val="18"/>
          <w:szCs w:val="18"/>
          <w:color w:val="auto"/>
        </w:rPr>
      </w:pPr>
    </w:p>
    <w:p>
      <w:pPr>
        <w:ind w:left="2940" w:hanging="310"/>
        <w:spacing w:after="0"/>
        <w:tabs>
          <w:tab w:leader="none" w:pos="2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non-U.S. institution in accordance with § 240.13d-1(b)(1)(ii)(J);</w:t>
      </w:r>
    </w:p>
    <w:p>
      <w:pPr>
        <w:spacing w:after="0" w:line="77" w:lineRule="exact"/>
        <w:rPr>
          <w:sz w:val="20"/>
          <w:szCs w:val="20"/>
          <w:color w:val="auto"/>
        </w:rPr>
      </w:pPr>
    </w:p>
    <w:p>
      <w:pPr>
        <w:ind w:left="2620"/>
        <w:spacing w:after="0"/>
        <w:tabs>
          <w:tab w:leader="none" w:pos="3360" w:val="left"/>
        </w:tabs>
        <w:rPr>
          <w:sz w:val="20"/>
          <w:szCs w:val="20"/>
          <w:color w:val="auto"/>
        </w:rPr>
      </w:pPr>
      <w:r>
        <w:rPr>
          <w:rFonts w:ascii="Times New Roman" w:cs="Times New Roman" w:eastAsia="Times New Roman" w:hAnsi="Times New Roman"/>
          <w:sz w:val="18"/>
          <w:szCs w:val="18"/>
          <w:color w:val="auto"/>
        </w:rPr>
        <w:t>(k)  o</w:t>
      </w:r>
      <w:r>
        <w:rPr>
          <w:sz w:val="20"/>
          <w:szCs w:val="20"/>
          <w:color w:val="auto"/>
        </w:rPr>
        <w:tab/>
      </w:r>
      <w:r>
        <w:rPr>
          <w:rFonts w:ascii="Times New Roman" w:cs="Times New Roman" w:eastAsia="Times New Roman" w:hAnsi="Times New Roman"/>
          <w:sz w:val="18"/>
          <w:szCs w:val="18"/>
          <w:color w:val="auto"/>
        </w:rPr>
        <w:t>Group, in accordance with § 240.13d-1(b)(1)(ii)(K).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4"/>
        </w:trPr>
        <w:tc>
          <w:tcPr>
            <w:tcW w:w="198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3780" w:type="dxa"/>
            <w:vAlign w:val="bottom"/>
            <w:tcBorders>
              <w:top w:val="single" w:sz="8" w:color="auto"/>
              <w:bottom w:val="single" w:sz="8" w:color="auto"/>
              <w:right w:val="single" w:sz="8" w:color="auto"/>
            </w:tcBorders>
          </w:tcPr>
          <w:p>
            <w:pPr>
              <w:spacing w:after="0"/>
              <w:rPr>
                <w:sz w:val="22"/>
                <w:szCs w:val="22"/>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4</w:t>
            </w:r>
          </w:p>
        </w:tc>
      </w:tr>
      <w:tr>
        <w:trPr>
          <w:trHeight w:val="625"/>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16"/>
        </w:trPr>
        <w:tc>
          <w:tcPr>
            <w:tcW w:w="1980" w:type="dxa"/>
            <w:vAlign w:val="bottom"/>
          </w:tcPr>
          <w:p>
            <w:pPr>
              <w:spacing w:after="0"/>
              <w:rPr>
                <w:sz w:val="18"/>
                <w:szCs w:val="18"/>
                <w:color w:val="auto"/>
              </w:rPr>
            </w:pP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w:t>
            </w:r>
          </w:p>
        </w:tc>
      </w:tr>
      <w:tr>
        <w:trPr>
          <w:trHeight w:val="234"/>
        </w:trPr>
        <w:tc>
          <w:tcPr>
            <w:tcW w:w="1980" w:type="dxa"/>
            <w:vAlign w:val="bottom"/>
          </w:tcPr>
          <w:p>
            <w:pPr>
              <w:spacing w:after="0"/>
              <w:rPr>
                <w:sz w:val="20"/>
                <w:szCs w:val="20"/>
                <w:color w:val="auto"/>
              </w:rPr>
            </w:pP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identified in Item 1.</w:t>
            </w:r>
          </w:p>
        </w:tc>
      </w:tr>
      <w:tr>
        <w:trPr>
          <w:trHeight w:val="432"/>
        </w:trPr>
        <w:tc>
          <w:tcPr>
            <w:tcW w:w="1980" w:type="dxa"/>
            <w:vAlign w:val="bottom"/>
          </w:tcPr>
          <w:p>
            <w:pPr>
              <w:spacing w:after="0"/>
              <w:rPr>
                <w:sz w:val="24"/>
                <w:szCs w:val="24"/>
                <w:color w:val="auto"/>
              </w:rPr>
            </w:pPr>
          </w:p>
        </w:tc>
        <w:tc>
          <w:tcPr>
            <w:tcW w:w="9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(a)   Amount beneficially owned: 8,562,282</w:t>
            </w:r>
          </w:p>
        </w:tc>
      </w:tr>
      <w:tr>
        <w:trPr>
          <w:trHeight w:val="432"/>
        </w:trPr>
        <w:tc>
          <w:tcPr>
            <w:tcW w:w="1980" w:type="dxa"/>
            <w:vAlign w:val="bottom"/>
          </w:tcPr>
          <w:p>
            <w:pPr>
              <w:spacing w:after="0"/>
              <w:rPr>
                <w:sz w:val="24"/>
                <w:szCs w:val="24"/>
                <w:color w:val="auto"/>
              </w:rPr>
            </w:pPr>
          </w:p>
        </w:tc>
        <w:tc>
          <w:tcPr>
            <w:tcW w:w="9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   Percent of class: 10.9%</w:t>
            </w:r>
          </w:p>
        </w:tc>
      </w:tr>
      <w:tr>
        <w:trPr>
          <w:trHeight w:val="432"/>
        </w:trPr>
        <w:tc>
          <w:tcPr>
            <w:tcW w:w="1980" w:type="dxa"/>
            <w:vAlign w:val="bottom"/>
          </w:tcPr>
          <w:p>
            <w:pPr>
              <w:spacing w:after="0"/>
              <w:rPr>
                <w:sz w:val="24"/>
                <w:szCs w:val="24"/>
                <w:color w:val="auto"/>
              </w:rPr>
            </w:pPr>
          </w:p>
        </w:tc>
        <w:tc>
          <w:tcPr>
            <w:tcW w:w="9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tc>
      </w:tr>
      <w:tr>
        <w:trPr>
          <w:trHeight w:val="432"/>
        </w:trPr>
        <w:tc>
          <w:tcPr>
            <w:tcW w:w="1980" w:type="dxa"/>
            <w:vAlign w:val="bottom"/>
          </w:tcPr>
          <w:p>
            <w:pPr>
              <w:spacing w:after="0"/>
              <w:rPr>
                <w:sz w:val="24"/>
                <w:szCs w:val="24"/>
                <w:color w:val="auto"/>
              </w:rPr>
            </w:pPr>
          </w:p>
        </w:tc>
        <w:tc>
          <w:tcPr>
            <w:tcW w:w="92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   Sole power to vote or to direct the vote: 7,402,365</w:t>
            </w:r>
          </w:p>
        </w:tc>
      </w:tr>
      <w:tr>
        <w:trPr>
          <w:trHeight w:val="432"/>
        </w:trPr>
        <w:tc>
          <w:tcPr>
            <w:tcW w:w="1980" w:type="dxa"/>
            <w:vAlign w:val="bottom"/>
          </w:tcPr>
          <w:p>
            <w:pPr>
              <w:spacing w:after="0"/>
              <w:rPr>
                <w:sz w:val="24"/>
                <w:szCs w:val="24"/>
                <w:color w:val="auto"/>
              </w:rPr>
            </w:pPr>
          </w:p>
        </w:tc>
        <w:tc>
          <w:tcPr>
            <w:tcW w:w="92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(ii)   Shared power to vote or to direct the vote: 0</w:t>
            </w:r>
          </w:p>
        </w:tc>
      </w:tr>
      <w:tr>
        <w:trPr>
          <w:trHeight w:val="432"/>
        </w:trPr>
        <w:tc>
          <w:tcPr>
            <w:tcW w:w="1980" w:type="dxa"/>
            <w:vAlign w:val="bottom"/>
          </w:tcPr>
          <w:p>
            <w:pPr>
              <w:spacing w:after="0"/>
              <w:rPr>
                <w:sz w:val="24"/>
                <w:szCs w:val="24"/>
                <w:color w:val="auto"/>
              </w:rPr>
            </w:pPr>
          </w:p>
        </w:tc>
        <w:tc>
          <w:tcPr>
            <w:tcW w:w="92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 8,562,282</w:t>
            </w:r>
          </w:p>
        </w:tc>
      </w:tr>
      <w:tr>
        <w:trPr>
          <w:trHeight w:val="432"/>
        </w:trPr>
        <w:tc>
          <w:tcPr>
            <w:tcW w:w="1980" w:type="dxa"/>
            <w:vAlign w:val="bottom"/>
          </w:tcPr>
          <w:p>
            <w:pPr>
              <w:spacing w:after="0"/>
              <w:rPr>
                <w:sz w:val="24"/>
                <w:szCs w:val="24"/>
                <w:color w:val="auto"/>
              </w:rPr>
            </w:pPr>
          </w:p>
        </w:tc>
        <w:tc>
          <w:tcPr>
            <w:tcW w:w="92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 0</w:t>
            </w:r>
          </w:p>
        </w:tc>
      </w:tr>
      <w:tr>
        <w:trPr>
          <w:trHeight w:val="414"/>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187"/>
        </w:trPr>
        <w:tc>
          <w:tcPr>
            <w:tcW w:w="1980" w:type="dxa"/>
            <w:vAlign w:val="bottom"/>
          </w:tcPr>
          <w:p>
            <w:pPr>
              <w:spacing w:after="0"/>
              <w:rPr>
                <w:sz w:val="16"/>
                <w:szCs w:val="16"/>
                <w:color w:val="auto"/>
              </w:rPr>
            </w:pPr>
          </w:p>
        </w:tc>
        <w:tc>
          <w:tcPr>
            <w:tcW w:w="9260" w:type="dxa"/>
            <w:vAlign w:val="bottom"/>
            <w:gridSpan w:val="2"/>
          </w:tcPr>
          <w:p>
            <w:pPr>
              <w:ind w:left="400"/>
              <w:spacing w:after="0" w:line="188" w:lineRule="exact"/>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w:t>
            </w:r>
          </w:p>
        </w:tc>
      </w:tr>
      <w:tr>
        <w:trPr>
          <w:trHeight w:val="283"/>
        </w:trPr>
        <w:tc>
          <w:tcPr>
            <w:tcW w:w="1980" w:type="dxa"/>
            <w:vAlign w:val="bottom"/>
          </w:tcPr>
          <w:p>
            <w:pPr>
              <w:spacing w:after="0"/>
              <w:rPr>
                <w:sz w:val="24"/>
                <w:szCs w:val="24"/>
                <w:color w:val="auto"/>
              </w:rPr>
            </w:pPr>
          </w:p>
        </w:tc>
        <w:tc>
          <w:tcPr>
            <w:tcW w:w="9260" w:type="dxa"/>
            <w:vAlign w:val="bottom"/>
            <w:gridSpan w:val="2"/>
          </w:tcPr>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beneficial owner of more than 5 percent of the class of securities, check the following. </w:t>
            </w:r>
            <w:r>
              <w:rPr>
                <w:rFonts w:ascii="MS PGothic" w:cs="MS PGothic" w:eastAsia="MS PGothic" w:hAnsi="MS PGothic"/>
                <w:sz w:val="18"/>
                <w:szCs w:val="18"/>
                <w:color w:val="auto"/>
              </w:rPr>
              <w:t>☐</w:t>
            </w:r>
          </w:p>
        </w:tc>
      </w:tr>
      <w:tr>
        <w:trPr>
          <w:trHeight w:val="394"/>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34"/>
        </w:trPr>
        <w:tc>
          <w:tcPr>
            <w:tcW w:w="1980" w:type="dxa"/>
            <w:vAlign w:val="bottom"/>
          </w:tcPr>
          <w:p>
            <w:pPr>
              <w:spacing w:after="0"/>
              <w:rPr>
                <w:sz w:val="20"/>
                <w:szCs w:val="20"/>
                <w:color w:val="auto"/>
              </w:rPr>
            </w:pP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r>
      <w:tr>
        <w:trPr>
          <w:trHeight w:val="410"/>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w:t>
            </w:r>
          </w:p>
        </w:tc>
      </w:tr>
      <w:tr>
        <w:trPr>
          <w:trHeight w:val="220"/>
        </w:trPr>
        <w:tc>
          <w:tcPr>
            <w:tcW w:w="1980" w:type="dxa"/>
            <w:vAlign w:val="bottom"/>
          </w:tcPr>
          <w:p>
            <w:pPr>
              <w:spacing w:after="0"/>
              <w:rPr>
                <w:sz w:val="19"/>
                <w:szCs w:val="19"/>
                <w:color w:val="auto"/>
              </w:rPr>
            </w:pP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Holding Company:</w:t>
            </w:r>
          </w:p>
        </w:tc>
      </w:tr>
      <w:tr>
        <w:trPr>
          <w:trHeight w:val="234"/>
        </w:trPr>
        <w:tc>
          <w:tcPr>
            <w:tcW w:w="1980" w:type="dxa"/>
            <w:vAlign w:val="bottom"/>
          </w:tcPr>
          <w:p>
            <w:pPr>
              <w:spacing w:after="0"/>
              <w:rPr>
                <w:sz w:val="20"/>
                <w:szCs w:val="20"/>
                <w:color w:val="auto"/>
              </w:rPr>
            </w:pP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34"/>
        </w:trPr>
        <w:tc>
          <w:tcPr>
            <w:tcW w:w="1980" w:type="dxa"/>
            <w:vAlign w:val="bottom"/>
          </w:tcPr>
          <w:p>
            <w:pPr>
              <w:spacing w:after="0"/>
              <w:rPr>
                <w:sz w:val="20"/>
                <w:szCs w:val="20"/>
                <w:color w:val="auto"/>
              </w:rPr>
            </w:pP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1980" w:type="dxa"/>
            <w:vAlign w:val="bottom"/>
          </w:tcPr>
          <w:p>
            <w:pPr>
              <w:spacing w:after="0"/>
              <w:rPr>
                <w:sz w:val="20"/>
                <w:szCs w:val="20"/>
                <w:color w:val="auto"/>
              </w:rPr>
            </w:pP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216"/>
        </w:trPr>
        <w:tc>
          <w:tcPr>
            <w:tcW w:w="1980" w:type="dxa"/>
            <w:vAlign w:val="bottom"/>
          </w:tcPr>
          <w:p>
            <w:pPr>
              <w:spacing w:after="0"/>
              <w:rPr>
                <w:sz w:val="18"/>
                <w:szCs w:val="18"/>
                <w:color w:val="auto"/>
              </w:rPr>
            </w:pP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w:t>
            </w:r>
          </w:p>
        </w:tc>
      </w:tr>
      <w:tr>
        <w:trPr>
          <w:trHeight w:val="216"/>
        </w:trPr>
        <w:tc>
          <w:tcPr>
            <w:tcW w:w="1980" w:type="dxa"/>
            <w:vAlign w:val="bottom"/>
          </w:tcPr>
          <w:p>
            <w:pPr>
              <w:spacing w:after="0"/>
              <w:rPr>
                <w:sz w:val="18"/>
                <w:szCs w:val="18"/>
                <w:color w:val="auto"/>
              </w:rPr>
            </w:pP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are held in the ordinary course of business and were not acquired and are not held for the purpose of or with the effect of</w:t>
            </w:r>
          </w:p>
        </w:tc>
      </w:tr>
      <w:tr>
        <w:trPr>
          <w:trHeight w:val="216"/>
        </w:trPr>
        <w:tc>
          <w:tcPr>
            <w:tcW w:w="1980" w:type="dxa"/>
            <w:vAlign w:val="bottom"/>
          </w:tcPr>
          <w:p>
            <w:pPr>
              <w:spacing w:after="0"/>
              <w:rPr>
                <w:sz w:val="18"/>
                <w:szCs w:val="18"/>
                <w:color w:val="auto"/>
              </w:rPr>
            </w:pP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changing or influencing the control of the issuer of the securities and were not acquired and are not held in connection with</w:t>
            </w:r>
          </w:p>
        </w:tc>
      </w:tr>
      <w:tr>
        <w:trPr>
          <w:trHeight w:val="234"/>
        </w:trPr>
        <w:tc>
          <w:tcPr>
            <w:tcW w:w="1980" w:type="dxa"/>
            <w:vAlign w:val="bottom"/>
          </w:tcPr>
          <w:p>
            <w:pPr>
              <w:spacing w:after="0"/>
              <w:rPr>
                <w:sz w:val="20"/>
                <w:szCs w:val="20"/>
                <w:color w:val="auto"/>
              </w:rPr>
            </w:pPr>
          </w:p>
        </w:tc>
        <w:tc>
          <w:tcPr>
            <w:tcW w:w="9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or as a participant in any transaction having that purpose or effect.</w:t>
            </w:r>
          </w:p>
        </w:tc>
      </w:tr>
      <w:tr>
        <w:trPr>
          <w:trHeight w:val="675"/>
        </w:trPr>
        <w:tc>
          <w:tcPr>
            <w:tcW w:w="19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7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5</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6, 2022</w:t>
            </w:r>
          </w:p>
        </w:tc>
      </w:tr>
      <w:tr>
        <w:trPr>
          <w:trHeight w:val="42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Stephanie Braming</w:t>
            </w:r>
          </w:p>
        </w:tc>
      </w:tr>
      <w:tr>
        <w:trPr>
          <w:trHeight w:val="41"/>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Stephanie Braming</w:t>
            </w:r>
          </w:p>
        </w:tc>
      </w:tr>
      <w:tr>
        <w:trPr>
          <w:trHeight w:val="41"/>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 Global Head of Investment Management</w:t>
            </w:r>
          </w:p>
        </w:tc>
      </w:tr>
      <w:tr>
        <w:trPr>
          <w:trHeight w:val="41"/>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2022-09-06T10:21:23Z</dcterms:created>
  <dcterms:modified xsi:type="dcterms:W3CDTF">2022-09-06T10:21:23Z</dcterms:modified>
</cp:coreProperties>
</file>