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000"/>
        <w:spacing w:after="0"/>
        <w:rPr>
          <w:sz w:val="20"/>
          <w:szCs w:val="20"/>
          <w:color w:val="auto"/>
        </w:rPr>
      </w:pPr>
      <w:r>
        <w:rPr>
          <w:rFonts w:ascii="Times New Roman" w:cs="Times New Roman" w:eastAsia="Times New Roman" w:hAnsi="Times New Roman"/>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83820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OMB Number: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3235-0145</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Expires: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31, 2002</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Estimated average burden</w:t>
            </w:r>
          </w:p>
        </w:tc>
        <w:tc>
          <w:tcPr>
            <w:tcW w:w="1460" w:type="dxa"/>
            <w:vAlign w:val="bottom"/>
          </w:tcPr>
          <w:p>
            <w:pPr>
              <w:spacing w:after="0"/>
              <w:rPr>
                <w:sz w:val="18"/>
                <w:szCs w:val="18"/>
                <w:color w:val="auto"/>
              </w:rPr>
            </w:pPr>
          </w:p>
        </w:tc>
      </w:tr>
      <w:tr>
        <w:trPr>
          <w:trHeight w:val="22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hours per response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National 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 par value $.01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63845P101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135890</wp:posOffset>
            </wp:positionV>
            <wp:extent cx="36576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00" w:lineRule="exact"/>
        <w:rPr>
          <w:sz w:val="20"/>
          <w:szCs w:val="20"/>
          <w:color w:val="auto"/>
        </w:rPr>
      </w:pPr>
    </w:p>
    <w:p>
      <w:pPr>
        <w:spacing w:after="0" w:line="268" w:lineRule="exact"/>
        <w:rPr>
          <w:sz w:val="20"/>
          <w:szCs w:val="20"/>
          <w:color w:val="auto"/>
        </w:rPr>
      </w:pPr>
    </w:p>
    <w:p>
      <w:pPr>
        <w:ind w:left="880" w:hanging="325"/>
        <w:spacing w:after="0"/>
        <w:tabs>
          <w:tab w:leader="none" w:pos="8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1" w:lineRule="exact"/>
        <w:rPr>
          <w:rFonts w:ascii="Times New Roman" w:cs="Times New Roman" w:eastAsia="Times New Roman" w:hAnsi="Times New Roman"/>
          <w:sz w:val="18"/>
          <w:szCs w:val="18"/>
          <w:color w:val="auto"/>
        </w:rPr>
      </w:pPr>
    </w:p>
    <w:p>
      <w:pPr>
        <w:ind w:left="880" w:hanging="399"/>
        <w:spacing w:after="0"/>
        <w:tabs>
          <w:tab w:leader="none" w:pos="8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6" w:lineRule="exact"/>
        <w:rPr>
          <w:rFonts w:ascii="MS PGothic" w:cs="MS PGothic" w:eastAsia="MS PGothic" w:hAnsi="MS PGothic"/>
          <w:sz w:val="18"/>
          <w:szCs w:val="18"/>
          <w:color w:val="auto"/>
        </w:rPr>
      </w:pPr>
    </w:p>
    <w:p>
      <w:pPr>
        <w:ind w:left="880" w:hanging="325"/>
        <w:spacing w:after="0"/>
        <w:tabs>
          <w:tab w:leader="none" w:pos="8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Times New Roman" w:cs="Times New Roman" w:eastAsia="Times New Roman" w:hAnsi="Times New Roman"/>
          <w:sz w:val="18"/>
          <w:szCs w:val="18"/>
          <w:color w:val="auto"/>
        </w:rPr>
      </w:pPr>
    </w:p>
    <w:p>
      <w:pPr>
        <w:ind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1745 (03-00)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63845P101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0" w:hanging="330"/>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60" w:hanging="33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39" w:lineRule="exact"/>
        <w:rPr>
          <w:rFonts w:ascii="Times New Roman" w:cs="Times New Roman" w:eastAsia="Times New Roman" w:hAnsi="Times New Roman"/>
          <w:sz w:val="18"/>
          <w:szCs w:val="18"/>
          <w:color w:val="auto"/>
        </w:rPr>
      </w:pPr>
    </w:p>
    <w:p>
      <w:pPr>
        <w:ind w:left="560" w:hanging="332"/>
        <w:spacing w:after="0"/>
        <w:tabs>
          <w:tab w:leader="none" w:pos="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06" w:lineRule="exact"/>
        <w:rPr>
          <w:rFonts w:ascii="Times New Roman" w:cs="Times New Roman" w:eastAsia="Times New Roman" w:hAnsi="Times New Roman"/>
          <w:sz w:val="18"/>
          <w:szCs w:val="18"/>
          <w:color w:val="auto"/>
        </w:rPr>
      </w:pPr>
    </w:p>
    <w:p>
      <w:pPr>
        <w:ind w:left="560" w:hanging="332"/>
        <w:spacing w:after="0"/>
        <w:tabs>
          <w:tab w:leader="none" w:pos="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22"/>
                <w:szCs w:val="22"/>
                <w:color w:val="auto"/>
              </w:rPr>
              <w:t>688,654</w:t>
            </w:r>
          </w:p>
        </w:tc>
        <w:tc>
          <w:tcPr>
            <w:tcW w:w="0" w:type="dxa"/>
            <w:vAlign w:val="bottom"/>
          </w:tcPr>
          <w:p>
            <w:pPr>
              <w:spacing w:after="0"/>
              <w:rPr>
                <w:sz w:val="1"/>
                <w:szCs w:val="1"/>
                <w:color w:val="auto"/>
              </w:rPr>
            </w:pPr>
          </w:p>
        </w:tc>
      </w:tr>
      <w:tr>
        <w:trPr>
          <w:trHeight w:val="96"/>
        </w:trPr>
        <w:tc>
          <w:tcPr>
            <w:tcW w:w="1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5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6"/>
              </w:rPr>
              <w:t>Number of</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70"/>
        </w:trPr>
        <w:tc>
          <w:tcPr>
            <w:tcW w:w="15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5"/>
              </w:rPr>
              <w:t>Shares</w:t>
            </w:r>
          </w:p>
        </w:tc>
        <w:tc>
          <w:tcPr>
            <w:tcW w:w="720" w:type="dxa"/>
            <w:vAlign w:val="bottom"/>
          </w:tcPr>
          <w:p>
            <w:pPr>
              <w:spacing w:after="0"/>
              <w:rPr>
                <w:sz w:val="23"/>
                <w:szCs w:val="23"/>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09"/>
        </w:trPr>
        <w:tc>
          <w:tcPr>
            <w:tcW w:w="1500" w:type="dxa"/>
            <w:vAlign w:val="bottom"/>
            <w:vMerge w:val="restart"/>
          </w:tcPr>
          <w:p>
            <w:pPr>
              <w:jc w:val="center"/>
              <w:ind w:right="272"/>
              <w:spacing w:after="0"/>
              <w:rPr>
                <w:sz w:val="20"/>
                <w:szCs w:val="20"/>
                <w:color w:val="auto"/>
              </w:rPr>
            </w:pPr>
            <w:r>
              <w:rPr>
                <w:rFonts w:ascii="Times New Roman" w:cs="Times New Roman" w:eastAsia="Times New Roman" w:hAnsi="Times New Roman"/>
                <w:sz w:val="18"/>
                <w:szCs w:val="18"/>
                <w:color w:val="auto"/>
                <w:w w:val="97"/>
              </w:rPr>
              <w:t>Beneficially</w:t>
            </w:r>
          </w:p>
        </w:tc>
        <w:tc>
          <w:tcPr>
            <w:tcW w:w="720" w:type="dxa"/>
            <w:vAlign w:val="bottom"/>
          </w:tcPr>
          <w:p>
            <w:pPr>
              <w:spacing w:after="0"/>
              <w:rPr>
                <w:sz w:val="9"/>
                <w:szCs w:val="9"/>
                <w:color w:val="auto"/>
              </w:rPr>
            </w:pPr>
          </w:p>
        </w:tc>
        <w:tc>
          <w:tcPr>
            <w:tcW w:w="8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Owned by Each</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70"/>
        </w:trPr>
        <w:tc>
          <w:tcPr>
            <w:tcW w:w="15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7"/>
              </w:rPr>
              <w:t>Reporting</w:t>
            </w:r>
          </w:p>
        </w:tc>
        <w:tc>
          <w:tcPr>
            <w:tcW w:w="720" w:type="dxa"/>
            <w:vAlign w:val="bottom"/>
          </w:tcPr>
          <w:p>
            <w:pPr>
              <w:spacing w:after="0"/>
              <w:rPr>
                <w:sz w:val="23"/>
                <w:szCs w:val="23"/>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22"/>
                <w:szCs w:val="22"/>
                <w:color w:val="auto"/>
              </w:rPr>
              <w:t>688,654</w:t>
            </w:r>
          </w:p>
        </w:tc>
        <w:tc>
          <w:tcPr>
            <w:tcW w:w="0" w:type="dxa"/>
            <w:vAlign w:val="bottom"/>
          </w:tcPr>
          <w:p>
            <w:pPr>
              <w:spacing w:after="0"/>
              <w:rPr>
                <w:sz w:val="1"/>
                <w:szCs w:val="1"/>
                <w:color w:val="auto"/>
              </w:rPr>
            </w:pPr>
          </w:p>
        </w:tc>
      </w:tr>
      <w:tr>
        <w:trPr>
          <w:trHeight w:val="109"/>
        </w:trPr>
        <w:tc>
          <w:tcPr>
            <w:tcW w:w="150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auto"/>
                <w:w w:val="97"/>
              </w:rPr>
              <w:t>Person</w:t>
            </w:r>
          </w:p>
        </w:tc>
        <w:tc>
          <w:tcPr>
            <w:tcW w:w="720" w:type="dxa"/>
            <w:vAlign w:val="bottom"/>
          </w:tcPr>
          <w:p>
            <w:pPr>
              <w:spacing w:after="0"/>
              <w:rPr>
                <w:sz w:val="9"/>
                <w:szCs w:val="9"/>
                <w:color w:val="auto"/>
              </w:rPr>
            </w:pPr>
          </w:p>
        </w:tc>
        <w:tc>
          <w:tcPr>
            <w:tcW w:w="8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With:</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ind w:left="460" w:hanging="330"/>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688,654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10.  Check if the Aggregate Amount in Row (11) Excludes Certain Shares (See Instructions) </w:t>
      </w:r>
      <w:r>
        <w:rPr>
          <w:rFonts w:ascii="Times New Roman" w:cs="Times New Roman" w:eastAsia="Times New Roman" w:hAnsi="Times New Roman"/>
          <w:sz w:val="21"/>
          <w:szCs w:val="21"/>
          <w:color w:val="auto"/>
        </w:rPr>
        <w:t>o</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Percent of Class Represented by Amount In Row (11)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Type of Reporting Person (See Instructions)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731520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877570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1022985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1169035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1312545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7" w:lineRule="exact"/>
        <w:rPr>
          <w:sz w:val="20"/>
          <w:szCs w:val="20"/>
          <w:color w:val="auto"/>
        </w:rPr>
      </w:pPr>
    </w:p>
    <w:p>
      <w:pPr>
        <w:ind w:left="1160" w:hanging="24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National Vision, Inc.</w:t>
      </w:r>
    </w:p>
    <w:p>
      <w:pPr>
        <w:spacing w:after="0" w:line="225" w:lineRule="exact"/>
        <w:rPr>
          <w:rFonts w:ascii="Times New Roman" w:cs="Times New Roman" w:eastAsia="Times New Roman" w:hAnsi="Times New Roman"/>
          <w:sz w:val="18"/>
          <w:szCs w:val="18"/>
          <w:color w:val="auto"/>
        </w:rPr>
      </w:pPr>
    </w:p>
    <w:p>
      <w:pPr>
        <w:ind w:left="1160" w:hanging="244"/>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296 Grayson Highway, Lawrenceville, GA 30045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Name of Person Filing: U.S. Bancorp</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 Address of Principal Business Office or, if none, Residence: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800 Nicollet Mall, Minneapolis, Minnesota, 55402</w:t>
      </w:r>
    </w:p>
    <w:p>
      <w:pPr>
        <w:spacing w:after="0" w:line="225" w:lineRule="exact"/>
        <w:rPr>
          <w:sz w:val="20"/>
          <w:szCs w:val="20"/>
          <w:color w:val="auto"/>
        </w:rPr>
      </w:pPr>
    </w:p>
    <w:p>
      <w:pPr>
        <w:ind w:left="1160" w:hanging="24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Delaware</w:t>
      </w:r>
    </w:p>
    <w:p>
      <w:pPr>
        <w:spacing w:after="0" w:line="225" w:lineRule="exact"/>
        <w:rPr>
          <w:rFonts w:ascii="Times New Roman" w:cs="Times New Roman" w:eastAsia="Times New Roman" w:hAnsi="Times New Roman"/>
          <w:sz w:val="18"/>
          <w:szCs w:val="18"/>
          <w:color w:val="auto"/>
        </w:rPr>
      </w:pPr>
    </w:p>
    <w:p>
      <w:pPr>
        <w:ind w:left="1160" w:hanging="24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par value $.01 per share</w:t>
      </w:r>
    </w:p>
    <w:p>
      <w:pPr>
        <w:spacing w:after="0" w:line="225" w:lineRule="exact"/>
        <w:rPr>
          <w:rFonts w:ascii="Times New Roman" w:cs="Times New Roman" w:eastAsia="Times New Roman" w:hAnsi="Times New Roman"/>
          <w:sz w:val="18"/>
          <w:szCs w:val="18"/>
          <w:color w:val="auto"/>
        </w:rPr>
      </w:pPr>
    </w:p>
    <w:p>
      <w:pPr>
        <w:ind w:left="1160" w:hanging="244"/>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63845P101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240.13d-2(b) or (c), check whether the person filing is 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w:t>
            </w:r>
          </w:p>
        </w:tc>
        <w:tc>
          <w:tcPr>
            <w:tcW w:w="0" w:type="dxa"/>
            <w:vAlign w:val="bottom"/>
          </w:tcPr>
          <w:p>
            <w:pPr>
              <w:spacing w:after="0"/>
              <w:rPr>
                <w:sz w:val="1"/>
                <w:szCs w:val="1"/>
                <w:color w:val="auto"/>
              </w:rPr>
            </w:pPr>
          </w:p>
        </w:tc>
      </w:tr>
      <w:tr>
        <w:trPr>
          <w:trHeight w:val="243"/>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as defined in section 3(a)(6) of the Act.</w:t>
            </w:r>
          </w:p>
        </w:tc>
        <w:tc>
          <w:tcPr>
            <w:tcW w:w="0" w:type="dxa"/>
            <w:vAlign w:val="bottom"/>
          </w:tcPr>
          <w:p>
            <w:pPr>
              <w:spacing w:after="0"/>
              <w:rPr>
                <w:sz w:val="1"/>
                <w:szCs w:val="1"/>
                <w:color w:val="auto"/>
              </w:rPr>
            </w:pPr>
          </w:p>
        </w:tc>
      </w:tr>
      <w:tr>
        <w:trPr>
          <w:trHeight w:val="243"/>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c>
          <w:tcPr>
            <w:tcW w:w="0" w:type="dxa"/>
            <w:vAlign w:val="bottom"/>
          </w:tcPr>
          <w:p>
            <w:pPr>
              <w:spacing w:after="0"/>
              <w:rPr>
                <w:sz w:val="1"/>
                <w:szCs w:val="1"/>
                <w:color w:val="auto"/>
              </w:rPr>
            </w:pPr>
          </w:p>
        </w:tc>
      </w:tr>
      <w:tr>
        <w:trPr>
          <w:trHeight w:val="229"/>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ind w:left="280"/>
              <w:spacing w:after="0" w:line="229" w:lineRule="exact"/>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30"/>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vMerge w:val="continue"/>
          </w:tcPr>
          <w:p>
            <w:pPr>
              <w:spacing w:after="0"/>
              <w:rPr>
                <w:sz w:val="20"/>
                <w:szCs w:val="20"/>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c>
          <w:tcPr>
            <w:tcW w:w="0" w:type="dxa"/>
            <w:vAlign w:val="bottom"/>
          </w:tcPr>
          <w:p>
            <w:pPr>
              <w:spacing w:after="0"/>
              <w:rPr>
                <w:sz w:val="1"/>
                <w:szCs w:val="1"/>
                <w:color w:val="auto"/>
              </w:rPr>
            </w:pPr>
          </w:p>
        </w:tc>
      </w:tr>
      <w:tr>
        <w:trPr>
          <w:trHeight w:val="229"/>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ind w:left="280"/>
              <w:spacing w:after="0" w:line="229" w:lineRule="exact"/>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(ii)(F);</w:t>
            </w:r>
          </w:p>
        </w:tc>
        <w:tc>
          <w:tcPr>
            <w:tcW w:w="0" w:type="dxa"/>
            <w:vAlign w:val="bottom"/>
          </w:tcPr>
          <w:p>
            <w:pPr>
              <w:spacing w:after="0"/>
              <w:rPr>
                <w:sz w:val="1"/>
                <w:szCs w:val="1"/>
                <w:color w:val="auto"/>
              </w:rPr>
            </w:pPr>
          </w:p>
        </w:tc>
      </w:tr>
      <w:tr>
        <w:trPr>
          <w:trHeight w:val="216"/>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vMerge w:val="continue"/>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240.13d-1(b)(ii)</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0" w:type="dxa"/>
            <w:vAlign w:val="bottom"/>
          </w:tcPr>
          <w:p>
            <w:pPr>
              <w:spacing w:after="0"/>
              <w:rPr>
                <w:sz w:val="1"/>
                <w:szCs w:val="1"/>
                <w:color w:val="auto"/>
              </w:rPr>
            </w:pPr>
          </w:p>
        </w:tc>
      </w:tr>
      <w:tr>
        <w:trPr>
          <w:trHeight w:val="216"/>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vMerge w:val="continue"/>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w:t>
            </w: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 U.S.C. 1813);</w:t>
            </w:r>
          </w:p>
        </w:tc>
        <w:tc>
          <w:tcPr>
            <w:tcW w:w="0" w:type="dxa"/>
            <w:vAlign w:val="bottom"/>
          </w:tcPr>
          <w:p>
            <w:pPr>
              <w:spacing w:after="0"/>
              <w:rPr>
                <w:sz w:val="1"/>
                <w:szCs w:val="1"/>
                <w:color w:val="auto"/>
              </w:rPr>
            </w:pPr>
          </w:p>
        </w:tc>
      </w:tr>
      <w:tr>
        <w:trPr>
          <w:trHeight w:val="216"/>
        </w:trPr>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vMerge w:val="continue"/>
          </w:tcPr>
          <w:p>
            <w:pPr>
              <w:spacing w:after="0"/>
              <w:rPr>
                <w:sz w:val="18"/>
                <w:szCs w:val="18"/>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3(c)(14) of the Investment Company Act of 1940;</w:t>
            </w:r>
          </w:p>
        </w:tc>
        <w:tc>
          <w:tcPr>
            <w:tcW w:w="0" w:type="dxa"/>
            <w:vAlign w:val="bottom"/>
          </w:tcPr>
          <w:p>
            <w:pPr>
              <w:spacing w:after="0"/>
              <w:rPr>
                <w:sz w:val="1"/>
                <w:szCs w:val="1"/>
                <w:color w:val="auto"/>
              </w:rPr>
            </w:pPr>
          </w:p>
        </w:tc>
      </w:tr>
      <w:tr>
        <w:trPr>
          <w:trHeight w:val="661"/>
        </w:trPr>
        <w:tc>
          <w:tcPr>
            <w:tcW w:w="24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4" w:name="page5"/>
    <w:bookmarkEnd w:id="4"/>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ind w:left="577" w:hanging="577"/>
        <w:spacing w:after="0"/>
        <w:tabs>
          <w:tab w:leader="none" w:pos="577"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Group, in accordance with § 240.13d-1(b)(1)(ii)(J);</w:t>
      </w:r>
    </w:p>
    <w:p>
      <w:pPr>
        <w:spacing w:after="0" w:line="635" w:lineRule="exact"/>
        <w:rPr>
          <w:sz w:val="20"/>
          <w:szCs w:val="20"/>
          <w:color w:val="auto"/>
        </w:rPr>
      </w:pPr>
    </w:p>
    <w:p>
      <w:pPr>
        <w:sectPr>
          <w:pgSz w:w="11900" w:h="16838" w:orient="portrait"/>
          <w:cols w:equalWidth="0" w:num="2">
            <w:col w:w="2180" w:space="583"/>
            <w:col w:w="8457"/>
          </w:cols>
          <w:pgMar w:left="240" w:top="1165" w:right="439" w:bottom="1440" w:gutter="0" w:footer="0" w:header="0"/>
        </w:sectPr>
      </w:pP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140" w:hanging="22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688,654</w:t>
      </w:r>
    </w:p>
    <w:p>
      <w:pPr>
        <w:spacing w:after="0" w:line="225" w:lineRule="exact"/>
        <w:rPr>
          <w:rFonts w:ascii="Times New Roman" w:cs="Times New Roman" w:eastAsia="Times New Roman" w:hAnsi="Times New Roman"/>
          <w:sz w:val="18"/>
          <w:szCs w:val="18"/>
          <w:color w:val="auto"/>
        </w:rPr>
      </w:pPr>
    </w:p>
    <w:p>
      <w:pPr>
        <w:ind w:left="1160" w:hanging="24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13.5%</w:t>
      </w:r>
    </w:p>
    <w:p>
      <w:pPr>
        <w:spacing w:after="0" w:line="225" w:lineRule="exact"/>
        <w:rPr>
          <w:rFonts w:ascii="Times New Roman" w:cs="Times New Roman" w:eastAsia="Times New Roman" w:hAnsi="Times New Roman"/>
          <w:sz w:val="18"/>
          <w:szCs w:val="18"/>
          <w:color w:val="auto"/>
        </w:rPr>
      </w:pPr>
    </w:p>
    <w:p>
      <w:pPr>
        <w:ind w:left="1160" w:hanging="24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580" w:hanging="205"/>
        <w:spacing w:after="0"/>
        <w:tabs>
          <w:tab w:leader="none" w:pos="1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688,654</w:t>
      </w:r>
    </w:p>
    <w:p>
      <w:pPr>
        <w:spacing w:after="0" w:line="225" w:lineRule="exact"/>
        <w:rPr>
          <w:rFonts w:ascii="Times New Roman" w:cs="Times New Roman" w:eastAsia="Times New Roman" w:hAnsi="Times New Roman"/>
          <w:sz w:val="18"/>
          <w:szCs w:val="18"/>
          <w:color w:val="auto"/>
        </w:rPr>
      </w:pPr>
    </w:p>
    <w:p>
      <w:pPr>
        <w:ind w:left="1640" w:hanging="265"/>
        <w:spacing w:after="0"/>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680" w:hanging="305"/>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688,654</w:t>
      </w:r>
    </w:p>
    <w:p>
      <w:pPr>
        <w:spacing w:after="0" w:line="225" w:lineRule="exact"/>
        <w:rPr>
          <w:rFonts w:ascii="Times New Roman" w:cs="Times New Roman" w:eastAsia="Times New Roman" w:hAnsi="Times New Roman"/>
          <w:sz w:val="18"/>
          <w:szCs w:val="18"/>
          <w:color w:val="auto"/>
        </w:rPr>
      </w:pPr>
    </w:p>
    <w:p>
      <w:pPr>
        <w:ind w:left="1680" w:hanging="305"/>
        <w:spacing w:after="0"/>
        <w:tabs>
          <w:tab w:leader="none" w:pos="1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7" w:lineRule="exact"/>
        <w:rPr>
          <w:sz w:val="20"/>
          <w:szCs w:val="20"/>
          <w:color w:val="auto"/>
        </w:rPr>
      </w:pPr>
    </w:p>
    <w:p>
      <w:pPr>
        <w:ind w:left="700" w:right="80"/>
        <w:spacing w:after="0" w:line="276"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Times New Roman" w:cs="Times New Roman" w:eastAsia="Times New Roman" w:hAnsi="Times New Roman"/>
          <w:sz w:val="21"/>
          <w:szCs w:val="21"/>
          <w:color w:val="auto"/>
        </w:rPr>
        <w: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3" w:lineRule="exact"/>
        <w:rPr>
          <w:sz w:val="20"/>
          <w:szCs w:val="20"/>
          <w:color w:val="auto"/>
        </w:rPr>
      </w:pPr>
    </w:p>
    <w:p>
      <w:pPr>
        <w:ind w:right="2160"/>
        <w:spacing w:after="0" w:line="277"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 of the Group</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7" w:lineRule="exact"/>
        <w:rPr>
          <w:sz w:val="20"/>
          <w:szCs w:val="20"/>
          <w:color w:val="auto"/>
        </w:rPr>
      </w:pPr>
    </w:p>
    <w:p>
      <w:pPr>
        <w:ind w:left="700"/>
        <w:spacing w:after="0" w:line="262"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165" w:right="439" w:bottom="1440" w:gutter="0" w:footer="0" w:header="0"/>
          <w:type w:val="continuous"/>
        </w:sectPr>
      </w:pPr>
    </w:p>
    <w:bookmarkStart w:id="5" w:name="page6"/>
    <w:bookmarkEnd w:id="5"/>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2003</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U.S. Bancorp</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Laura F.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Laura F. Bednarski</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 Vice President</w:t>
      </w:r>
    </w:p>
    <w:sectPr>
      <w:pgSz w:w="11900" w:h="16838" w:orient="portrait"/>
      <w:cols w:equalWidth="0" w:num="1">
        <w:col w:w="11000"/>
      </w:cols>
      <w:pgMar w:left="240" w:top="93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2019-12-16T12:35:25Z</dcterms:created>
  <dcterms:modified xsi:type="dcterms:W3CDTF">2019-12-16T12:35:25Z</dcterms:modified>
</cp:coreProperties>
</file>