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560" w:type="dxa"/>
            <w:vAlign w:val="bottom"/>
          </w:tcPr>
          <w:p>
            <w:pPr>
              <w:jc w:val="center"/>
              <w:ind w:right="3755"/>
              <w:spacing w:after="0"/>
              <w:rPr>
                <w:sz w:val="20"/>
                <w:szCs w:val="20"/>
                <w:color w:val="auto"/>
              </w:rPr>
            </w:pPr>
            <w:r>
              <w:rPr>
                <w:rFonts w:ascii="Arial" w:cs="Arial" w:eastAsia="Arial" w:hAnsi="Arial"/>
                <w:sz w:val="18"/>
                <w:szCs w:val="18"/>
                <w:color w:val="auto"/>
                <w:w w:val="99"/>
              </w:rPr>
              <w:t>S</w:t>
            </w:r>
            <w:r>
              <w:rPr>
                <w:rFonts w:ascii="Arial" w:cs="Arial" w:eastAsia="Arial" w:hAnsi="Arial"/>
                <w:sz w:val="12"/>
                <w:szCs w:val="12"/>
                <w:color w:val="auto"/>
                <w:w w:val="99"/>
              </w:rPr>
              <w:t>IMPSON</w:t>
            </w:r>
            <w:r>
              <w:rPr>
                <w:rFonts w:ascii="Arial" w:cs="Arial" w:eastAsia="Arial" w:hAnsi="Arial"/>
                <w:sz w:val="18"/>
                <w:szCs w:val="18"/>
                <w:color w:val="auto"/>
                <w:w w:val="99"/>
              </w:rPr>
              <w:t xml:space="preserve"> T</w:t>
            </w:r>
            <w:r>
              <w:rPr>
                <w:rFonts w:ascii="Arial" w:cs="Arial" w:eastAsia="Arial" w:hAnsi="Arial"/>
                <w:sz w:val="12"/>
                <w:szCs w:val="12"/>
                <w:color w:val="auto"/>
                <w:w w:val="99"/>
              </w:rPr>
              <w:t>HACHER</w:t>
            </w:r>
            <w:r>
              <w:rPr>
                <w:rFonts w:ascii="Arial" w:cs="Arial" w:eastAsia="Arial" w:hAnsi="Arial"/>
                <w:sz w:val="18"/>
                <w:szCs w:val="18"/>
                <w:color w:val="auto"/>
                <w:w w:val="99"/>
              </w:rPr>
              <w:t xml:space="preserve"> &amp; B</w:t>
            </w:r>
            <w:r>
              <w:rPr>
                <w:rFonts w:ascii="Arial" w:cs="Arial" w:eastAsia="Arial" w:hAnsi="Arial"/>
                <w:sz w:val="12"/>
                <w:szCs w:val="12"/>
                <w:color w:val="auto"/>
                <w:w w:val="99"/>
              </w:rPr>
              <w:t>ARTLETT LLP</w:t>
            </w:r>
          </w:p>
        </w:tc>
      </w:tr>
      <w:tr>
        <w:trPr>
          <w:trHeight w:val="216"/>
        </w:trPr>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560" w:type="dxa"/>
            <w:vAlign w:val="bottom"/>
          </w:tcPr>
          <w:p>
            <w:pPr>
              <w:jc w:val="center"/>
              <w:ind w:right="3755"/>
              <w:spacing w:after="0"/>
              <w:rPr>
                <w:sz w:val="20"/>
                <w:szCs w:val="20"/>
                <w:color w:val="auto"/>
              </w:rPr>
            </w:pPr>
            <w:r>
              <w:rPr>
                <w:rFonts w:ascii="Arial" w:cs="Arial" w:eastAsia="Arial" w:hAnsi="Arial"/>
                <w:sz w:val="18"/>
                <w:szCs w:val="18"/>
                <w:color w:val="auto"/>
                <w:w w:val="98"/>
              </w:rPr>
              <w:t>425 L</w:t>
            </w:r>
            <w:r>
              <w:rPr>
                <w:rFonts w:ascii="Arial" w:cs="Arial" w:eastAsia="Arial" w:hAnsi="Arial"/>
                <w:sz w:val="12"/>
                <w:szCs w:val="12"/>
                <w:color w:val="auto"/>
                <w:w w:val="98"/>
              </w:rPr>
              <w:t>EXINGTON</w:t>
            </w:r>
            <w:r>
              <w:rPr>
                <w:rFonts w:ascii="Arial" w:cs="Arial" w:eastAsia="Arial" w:hAnsi="Arial"/>
                <w:sz w:val="18"/>
                <w:szCs w:val="18"/>
                <w:color w:val="auto"/>
                <w:w w:val="98"/>
              </w:rPr>
              <w:t xml:space="preserve"> A</w:t>
            </w:r>
            <w:r>
              <w:rPr>
                <w:rFonts w:ascii="Arial" w:cs="Arial" w:eastAsia="Arial" w:hAnsi="Arial"/>
                <w:sz w:val="12"/>
                <w:szCs w:val="12"/>
                <w:color w:val="auto"/>
                <w:w w:val="98"/>
              </w:rPr>
              <w:t>VENUE</w:t>
            </w:r>
          </w:p>
        </w:tc>
      </w:tr>
      <w:tr>
        <w:trPr>
          <w:trHeight w:val="216"/>
        </w:trPr>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560" w:type="dxa"/>
            <w:vAlign w:val="bottom"/>
          </w:tcPr>
          <w:p>
            <w:pPr>
              <w:jc w:val="center"/>
              <w:ind w:right="3775"/>
              <w:spacing w:after="0"/>
              <w:rPr>
                <w:sz w:val="20"/>
                <w:szCs w:val="20"/>
                <w:color w:val="auto"/>
              </w:rPr>
            </w:pPr>
            <w:r>
              <w:rPr>
                <w:rFonts w:ascii="Arial" w:cs="Arial" w:eastAsia="Arial" w:hAnsi="Arial"/>
                <w:sz w:val="18"/>
                <w:szCs w:val="18"/>
                <w:color w:val="auto"/>
                <w:w w:val="95"/>
              </w:rPr>
              <w:t>N</w:t>
            </w:r>
            <w:r>
              <w:rPr>
                <w:rFonts w:ascii="Arial" w:cs="Arial" w:eastAsia="Arial" w:hAnsi="Arial"/>
                <w:sz w:val="12"/>
                <w:szCs w:val="12"/>
                <w:color w:val="auto"/>
                <w:w w:val="95"/>
              </w:rPr>
              <w:t>EW</w:t>
            </w:r>
            <w:r>
              <w:rPr>
                <w:rFonts w:ascii="Arial" w:cs="Arial" w:eastAsia="Arial" w:hAnsi="Arial"/>
                <w:sz w:val="18"/>
                <w:szCs w:val="18"/>
                <w:color w:val="auto"/>
                <w:w w:val="95"/>
              </w:rPr>
              <w:t xml:space="preserve"> Y</w:t>
            </w:r>
            <w:r>
              <w:rPr>
                <w:rFonts w:ascii="Arial" w:cs="Arial" w:eastAsia="Arial" w:hAnsi="Arial"/>
                <w:sz w:val="12"/>
                <w:szCs w:val="12"/>
                <w:color w:val="auto"/>
                <w:w w:val="95"/>
              </w:rPr>
              <w:t>ORK</w:t>
            </w:r>
            <w:r>
              <w:rPr>
                <w:rFonts w:ascii="Arial" w:cs="Arial" w:eastAsia="Arial" w:hAnsi="Arial"/>
                <w:sz w:val="18"/>
                <w:szCs w:val="18"/>
                <w:color w:val="auto"/>
                <w:w w:val="95"/>
              </w:rPr>
              <w:t>, NY 10017-3954</w:t>
            </w:r>
          </w:p>
        </w:tc>
      </w:tr>
      <w:tr>
        <w:trPr>
          <w:trHeight w:val="216"/>
        </w:trPr>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60" w:type="dxa"/>
            <w:vAlign w:val="bottom"/>
            <w:gridSpan w:val="2"/>
          </w:tcPr>
          <w:p>
            <w:pPr>
              <w:jc w:val="center"/>
              <w:ind w:right="2255"/>
              <w:spacing w:after="0"/>
              <w:rPr>
                <w:sz w:val="20"/>
                <w:szCs w:val="20"/>
                <w:color w:val="auto"/>
              </w:rPr>
            </w:pPr>
            <w:r>
              <w:rPr>
                <w:rFonts w:ascii="Arial" w:cs="Arial" w:eastAsia="Arial" w:hAnsi="Arial"/>
                <w:sz w:val="18"/>
                <w:szCs w:val="18"/>
                <w:color w:val="auto"/>
                <w:w w:val="90"/>
              </w:rPr>
              <w:t>(212) 455-2000</w:t>
            </w:r>
          </w:p>
        </w:tc>
      </w:tr>
      <w:tr>
        <w:trPr>
          <w:trHeight w:val="230"/>
        </w:trPr>
        <w:tc>
          <w:tcPr>
            <w:tcW w:w="1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560" w:type="dxa"/>
            <w:vAlign w:val="bottom"/>
          </w:tcPr>
          <w:p>
            <w:pPr>
              <w:jc w:val="center"/>
              <w:ind w:right="3755"/>
              <w:spacing w:after="0"/>
              <w:rPr>
                <w:sz w:val="20"/>
                <w:szCs w:val="20"/>
                <w:color w:val="auto"/>
              </w:rPr>
            </w:pPr>
            <w:r>
              <w:rPr>
                <w:rFonts w:ascii="Arial" w:cs="Arial" w:eastAsia="Arial" w:hAnsi="Arial"/>
                <w:sz w:val="18"/>
                <w:szCs w:val="18"/>
                <w:color w:val="auto"/>
                <w:w w:val="94"/>
              </w:rPr>
              <w:t>F</w:t>
            </w:r>
            <w:r>
              <w:rPr>
                <w:rFonts w:ascii="Arial" w:cs="Arial" w:eastAsia="Arial" w:hAnsi="Arial"/>
                <w:sz w:val="12"/>
                <w:szCs w:val="12"/>
                <w:color w:val="auto"/>
                <w:w w:val="94"/>
              </w:rPr>
              <w:t>ACSIMILE</w:t>
            </w:r>
            <w:r>
              <w:rPr>
                <w:rFonts w:ascii="Arial" w:cs="Arial" w:eastAsia="Arial" w:hAnsi="Arial"/>
                <w:sz w:val="18"/>
                <w:szCs w:val="18"/>
                <w:color w:val="auto"/>
                <w:w w:val="94"/>
              </w:rPr>
              <w:t xml:space="preserve"> (212) 455-2502</w:t>
            </w:r>
          </w:p>
        </w:tc>
      </w:tr>
      <w:tr>
        <w:trPr>
          <w:trHeight w:val="346"/>
        </w:trPr>
        <w:tc>
          <w:tcPr>
            <w:tcW w:w="2360" w:type="dxa"/>
            <w:vAlign w:val="bottom"/>
            <w:gridSpan w:val="2"/>
          </w:tcPr>
          <w:p>
            <w:pPr>
              <w:spacing w:after="0"/>
              <w:rPr>
                <w:sz w:val="20"/>
                <w:szCs w:val="20"/>
                <w:color w:val="auto"/>
              </w:rPr>
            </w:pPr>
            <w:r>
              <w:rPr>
                <w:rFonts w:ascii="Arial" w:cs="Arial" w:eastAsia="Arial" w:hAnsi="Arial"/>
                <w:sz w:val="14"/>
                <w:szCs w:val="14"/>
                <w:color w:val="auto"/>
              </w:rPr>
              <w:t>D</w:t>
            </w:r>
            <w:r>
              <w:rPr>
                <w:rFonts w:ascii="Arial" w:cs="Arial" w:eastAsia="Arial" w:hAnsi="Arial"/>
                <w:sz w:val="9"/>
                <w:szCs w:val="9"/>
                <w:color w:val="auto"/>
              </w:rPr>
              <w:t>IRECT</w:t>
            </w:r>
            <w:r>
              <w:rPr>
                <w:rFonts w:ascii="Arial" w:cs="Arial" w:eastAsia="Arial" w:hAnsi="Arial"/>
                <w:sz w:val="14"/>
                <w:szCs w:val="14"/>
                <w:color w:val="auto"/>
              </w:rPr>
              <w:t xml:space="preserve"> D</w:t>
            </w:r>
            <w:r>
              <w:rPr>
                <w:rFonts w:ascii="Arial" w:cs="Arial" w:eastAsia="Arial" w:hAnsi="Arial"/>
                <w:sz w:val="9"/>
                <w:szCs w:val="9"/>
                <w:color w:val="auto"/>
              </w:rPr>
              <w:t>IAL</w:t>
            </w:r>
            <w:r>
              <w:rPr>
                <w:rFonts w:ascii="Arial" w:cs="Arial" w:eastAsia="Arial" w:hAnsi="Arial"/>
                <w:sz w:val="14"/>
                <w:szCs w:val="14"/>
                <w:color w:val="auto"/>
              </w:rPr>
              <w:t xml:space="preserve"> N</w:t>
            </w:r>
            <w:r>
              <w:rPr>
                <w:rFonts w:ascii="Arial" w:cs="Arial" w:eastAsia="Arial" w:hAnsi="Arial"/>
                <w:sz w:val="9"/>
                <w:szCs w:val="9"/>
                <w:color w:val="auto"/>
              </w:rPr>
              <w:t>UMBER</w:t>
            </w:r>
          </w:p>
        </w:tc>
        <w:tc>
          <w:tcPr>
            <w:tcW w:w="1500" w:type="dxa"/>
            <w:vAlign w:val="bottom"/>
          </w:tcPr>
          <w:p>
            <w:pPr>
              <w:spacing w:after="0"/>
              <w:rPr>
                <w:sz w:val="24"/>
                <w:szCs w:val="24"/>
                <w:color w:val="auto"/>
              </w:rPr>
            </w:pPr>
          </w:p>
        </w:tc>
        <w:tc>
          <w:tcPr>
            <w:tcW w:w="7560" w:type="dxa"/>
            <w:vAlign w:val="bottom"/>
          </w:tcPr>
          <w:p>
            <w:pPr>
              <w:jc w:val="right"/>
              <w:spacing w:after="0"/>
              <w:rPr>
                <w:sz w:val="20"/>
                <w:szCs w:val="20"/>
                <w:color w:val="auto"/>
              </w:rPr>
            </w:pPr>
            <w:r>
              <w:rPr>
                <w:rFonts w:ascii="Arial" w:cs="Arial" w:eastAsia="Arial" w:hAnsi="Arial"/>
                <w:sz w:val="14"/>
                <w:szCs w:val="14"/>
                <w:color w:val="auto"/>
              </w:rPr>
              <w:t>E-M</w:t>
            </w:r>
            <w:r>
              <w:rPr>
                <w:rFonts w:ascii="Arial" w:cs="Arial" w:eastAsia="Arial" w:hAnsi="Arial"/>
                <w:sz w:val="9"/>
                <w:szCs w:val="9"/>
                <w:color w:val="auto"/>
              </w:rPr>
              <w:t>AIL</w:t>
            </w:r>
            <w:r>
              <w:rPr>
                <w:rFonts w:ascii="Arial" w:cs="Arial" w:eastAsia="Arial" w:hAnsi="Arial"/>
                <w:sz w:val="14"/>
                <w:szCs w:val="14"/>
                <w:color w:val="auto"/>
              </w:rPr>
              <w:t xml:space="preserve"> A</w:t>
            </w:r>
            <w:r>
              <w:rPr>
                <w:rFonts w:ascii="Arial" w:cs="Arial" w:eastAsia="Arial" w:hAnsi="Arial"/>
                <w:sz w:val="9"/>
                <w:szCs w:val="9"/>
                <w:color w:val="auto"/>
              </w:rPr>
              <w:t>DDRESS</w:t>
            </w:r>
          </w:p>
        </w:tc>
      </w:tr>
      <w:tr>
        <w:trPr>
          <w:trHeight w:val="182"/>
        </w:trPr>
        <w:tc>
          <w:tcPr>
            <w:tcW w:w="1000" w:type="dxa"/>
            <w:vAlign w:val="bottom"/>
          </w:tcPr>
          <w:p>
            <w:pPr>
              <w:spacing w:after="0"/>
              <w:rPr>
                <w:sz w:val="20"/>
                <w:szCs w:val="20"/>
                <w:color w:val="auto"/>
              </w:rPr>
            </w:pPr>
            <w:r>
              <w:rPr>
                <w:rFonts w:ascii="Arial" w:cs="Arial" w:eastAsia="Arial" w:hAnsi="Arial"/>
                <w:sz w:val="14"/>
                <w:szCs w:val="14"/>
                <w:color w:val="auto"/>
              </w:rPr>
              <w:t>(212) 455-2948</w:t>
            </w:r>
          </w:p>
        </w:tc>
        <w:tc>
          <w:tcPr>
            <w:tcW w:w="13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560" w:type="dxa"/>
            <w:vAlign w:val="bottom"/>
          </w:tcPr>
          <w:p>
            <w:pPr>
              <w:jc w:val="right"/>
              <w:spacing w:after="0"/>
              <w:rPr>
                <w:sz w:val="20"/>
                <w:szCs w:val="20"/>
                <w:color w:val="auto"/>
              </w:rPr>
            </w:pPr>
            <w:r>
              <w:rPr>
                <w:rFonts w:ascii="Arial" w:cs="Arial" w:eastAsia="Arial" w:hAnsi="Arial"/>
                <w:sz w:val="14"/>
                <w:szCs w:val="14"/>
                <w:color w:val="auto"/>
              </w:rPr>
              <w:t>JKAUFMAN@STBLAW.COM</w:t>
            </w:r>
          </w:p>
        </w:tc>
      </w:tr>
      <w:tr>
        <w:trPr>
          <w:trHeight w:val="417"/>
        </w:trPr>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560" w:type="dxa"/>
            <w:vAlign w:val="bottom"/>
          </w:tcPr>
          <w:p>
            <w:pPr>
              <w:jc w:val="right"/>
              <w:spacing w:after="0"/>
              <w:rPr>
                <w:sz w:val="20"/>
                <w:szCs w:val="20"/>
                <w:color w:val="auto"/>
              </w:rPr>
            </w:pPr>
            <w:r>
              <w:rPr>
                <w:rFonts w:ascii="Arial" w:cs="Arial" w:eastAsia="Arial" w:hAnsi="Arial"/>
                <w:sz w:val="18"/>
                <w:szCs w:val="18"/>
                <w:color w:val="auto"/>
              </w:rPr>
              <w:t>October 16, 2017</w:t>
            </w:r>
          </w:p>
        </w:tc>
      </w:tr>
      <w:tr>
        <w:trPr>
          <w:trHeight w:val="392"/>
        </w:trPr>
        <w:tc>
          <w:tcPr>
            <w:tcW w:w="2360" w:type="dxa"/>
            <w:vAlign w:val="bottom"/>
            <w:gridSpan w:val="2"/>
          </w:tcPr>
          <w:p>
            <w:pPr>
              <w:spacing w:after="0"/>
              <w:rPr>
                <w:sz w:val="20"/>
                <w:szCs w:val="20"/>
                <w:color w:val="auto"/>
              </w:rPr>
            </w:pPr>
            <w:r>
              <w:rPr>
                <w:rFonts w:ascii="Arial" w:cs="Arial" w:eastAsia="Arial" w:hAnsi="Arial"/>
                <w:sz w:val="18"/>
                <w:szCs w:val="18"/>
                <w:color w:val="auto"/>
              </w:rPr>
              <w:t>VIA EDGAR</w:t>
            </w:r>
          </w:p>
        </w:tc>
        <w:tc>
          <w:tcPr>
            <w:tcW w:w="1500" w:type="dxa"/>
            <w:vAlign w:val="bottom"/>
          </w:tcPr>
          <w:p>
            <w:pPr>
              <w:spacing w:after="0"/>
              <w:rPr>
                <w:sz w:val="24"/>
                <w:szCs w:val="24"/>
                <w:color w:val="auto"/>
              </w:rPr>
            </w:pPr>
          </w:p>
        </w:tc>
        <w:tc>
          <w:tcPr>
            <w:tcW w:w="7560" w:type="dxa"/>
            <w:vAlign w:val="bottom"/>
          </w:tcPr>
          <w:p>
            <w:pPr>
              <w:spacing w:after="0"/>
              <w:rPr>
                <w:sz w:val="24"/>
                <w:szCs w:val="24"/>
                <w:color w:val="auto"/>
              </w:rPr>
            </w:pPr>
          </w:p>
        </w:tc>
      </w:tr>
      <w:tr>
        <w:trPr>
          <w:trHeight w:val="438"/>
        </w:trPr>
        <w:tc>
          <w:tcPr>
            <w:tcW w:w="1000" w:type="dxa"/>
            <w:vAlign w:val="bottom"/>
            <w:tcBorders>
              <w:top w:val="single" w:sz="8" w:color="auto"/>
            </w:tcBorders>
          </w:tcPr>
          <w:p>
            <w:pPr>
              <w:spacing w:after="0"/>
              <w:rPr>
                <w:sz w:val="24"/>
                <w:szCs w:val="24"/>
                <w:color w:val="auto"/>
              </w:rPr>
            </w:pPr>
          </w:p>
        </w:tc>
        <w:tc>
          <w:tcPr>
            <w:tcW w:w="1360" w:type="dxa"/>
            <w:vAlign w:val="bottom"/>
          </w:tcPr>
          <w:p>
            <w:pPr>
              <w:ind w:left="620"/>
              <w:spacing w:after="0"/>
              <w:rPr>
                <w:sz w:val="20"/>
                <w:szCs w:val="20"/>
                <w:color w:val="auto"/>
              </w:rPr>
            </w:pPr>
            <w:r>
              <w:rPr>
                <w:rFonts w:ascii="Arial" w:cs="Arial" w:eastAsia="Arial" w:hAnsi="Arial"/>
                <w:sz w:val="18"/>
                <w:szCs w:val="18"/>
                <w:color w:val="auto"/>
              </w:rPr>
              <w:t>Re:</w:t>
            </w:r>
          </w:p>
        </w:tc>
        <w:tc>
          <w:tcPr>
            <w:tcW w:w="9060" w:type="dxa"/>
            <w:vAlign w:val="bottom"/>
            <w:gridSpan w:val="2"/>
          </w:tcPr>
          <w:p>
            <w:pPr>
              <w:spacing w:after="0"/>
              <w:rPr>
                <w:sz w:val="20"/>
                <w:szCs w:val="20"/>
                <w:color w:val="auto"/>
              </w:rPr>
            </w:pPr>
            <w:r>
              <w:rPr>
                <w:rFonts w:ascii="Arial" w:cs="Arial" w:eastAsia="Arial" w:hAnsi="Arial"/>
                <w:sz w:val="18"/>
                <w:szCs w:val="18"/>
                <w:color w:val="auto"/>
              </w:rPr>
              <w:t>National Vision Holdings, Inc.</w:t>
            </w:r>
          </w:p>
        </w:tc>
      </w:tr>
      <w:tr>
        <w:trPr>
          <w:trHeight w:val="216"/>
        </w:trPr>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Amendment No. 2 to</w:t>
            </w:r>
          </w:p>
        </w:tc>
      </w:tr>
      <w:tr>
        <w:trPr>
          <w:trHeight w:val="216"/>
        </w:trPr>
        <w:tc>
          <w:tcPr>
            <w:tcW w:w="10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Registration Statement on Form S-1</w:t>
            </w:r>
          </w:p>
        </w:tc>
      </w:tr>
      <w:tr>
        <w:trPr>
          <w:trHeight w:val="190"/>
        </w:trPr>
        <w:tc>
          <w:tcPr>
            <w:tcW w:w="10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060" w:type="dxa"/>
            <w:vAlign w:val="bottom"/>
            <w:gridSpan w:val="2"/>
          </w:tcPr>
          <w:p>
            <w:pPr>
              <w:spacing w:after="0" w:line="190" w:lineRule="exact"/>
              <w:rPr>
                <w:sz w:val="20"/>
                <w:szCs w:val="20"/>
                <w:color w:val="auto"/>
              </w:rPr>
            </w:pPr>
            <w:r>
              <w:rPr>
                <w:rFonts w:ascii="Arial" w:cs="Arial" w:eastAsia="Arial" w:hAnsi="Arial"/>
                <w:sz w:val="18"/>
                <w:szCs w:val="18"/>
                <w:color w:val="auto"/>
              </w:rPr>
              <w:t>File No. 333-220719</w:t>
            </w:r>
          </w:p>
        </w:tc>
      </w:tr>
      <w:tr>
        <w:trPr>
          <w:trHeight w:val="20"/>
        </w:trPr>
        <w:tc>
          <w:tcPr>
            <w:tcW w:w="10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Amanda Ravitz</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120" w:firstLine="648"/>
        <w:spacing w:after="0" w:line="273" w:lineRule="auto"/>
        <w:rPr>
          <w:sz w:val="20"/>
          <w:szCs w:val="20"/>
          <w:color w:val="auto"/>
        </w:rPr>
      </w:pPr>
      <w:r>
        <w:rPr>
          <w:rFonts w:ascii="Arial" w:cs="Arial" w:eastAsia="Arial" w:hAnsi="Arial"/>
          <w:sz w:val="17"/>
          <w:szCs w:val="17"/>
          <w:color w:val="auto"/>
        </w:rPr>
        <w:t>On behalf of National Vision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we hereby submit to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Division of Corporation Finance of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Amendment No. 2 (“</w:t>
      </w:r>
      <w:r>
        <w:rPr>
          <w:rFonts w:ascii="Arial" w:cs="Arial" w:eastAsia="Arial" w:hAnsi="Arial"/>
          <w:sz w:val="17"/>
          <w:szCs w:val="17"/>
          <w:u w:val="single" w:color="auto"/>
          <w:color w:val="auto"/>
        </w:rPr>
        <w:t>Amendment No. 2</w:t>
      </w:r>
      <w:r>
        <w:rPr>
          <w:rFonts w:ascii="Arial" w:cs="Arial" w:eastAsia="Arial" w:hAnsi="Arial"/>
          <w:sz w:val="17"/>
          <w:szCs w:val="17"/>
          <w:color w:val="auto"/>
        </w:rPr>
        <w:t>”) to the above-referenced registration statement on Form S-1 (as amended,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Amendment No. 2 has been updated primarily to reflect the 1.96627-for-1 reverse stock split the Company intends to effectuate prior to the effectiveness of the Registration Statement and information dependent upon the reverse stock split, as well as to include information about the expected size and price range of the proposed offering and related matters. The reverse stock split ratio and the pricing range conform to those previously provided to the Staff via correspondence letter dated October 12, 2017.</w:t>
      </w:r>
    </w:p>
    <w:p>
      <w:pPr>
        <w:spacing w:after="0" w:line="178" w:lineRule="exact"/>
        <w:rPr>
          <w:sz w:val="24"/>
          <w:szCs w:val="24"/>
          <w:color w:val="auto"/>
        </w:rPr>
      </w:pPr>
    </w:p>
    <w:p>
      <w:pPr>
        <w:ind w:right="80" w:firstLine="648"/>
        <w:spacing w:after="0" w:line="255" w:lineRule="auto"/>
        <w:rPr>
          <w:sz w:val="20"/>
          <w:szCs w:val="20"/>
          <w:color w:val="auto"/>
        </w:rPr>
      </w:pPr>
      <w:r>
        <w:rPr>
          <w:rFonts w:ascii="Arial" w:cs="Arial" w:eastAsia="Arial" w:hAnsi="Arial"/>
          <w:sz w:val="18"/>
          <w:szCs w:val="18"/>
          <w:color w:val="auto"/>
        </w:rPr>
        <w:t>In addition, as previously indicated in the Company’s letter, dated August 28, 2017, in response to the Staff’s comment letter, dated August 7, 2017 (the “</w:t>
      </w:r>
      <w:r>
        <w:rPr>
          <w:rFonts w:ascii="Arial" w:cs="Arial" w:eastAsia="Arial" w:hAnsi="Arial"/>
          <w:sz w:val="18"/>
          <w:szCs w:val="18"/>
          <w:u w:val="single" w:color="auto"/>
          <w:color w:val="auto"/>
        </w:rPr>
        <w:t>Comment Letter</w:t>
      </w:r>
      <w:r>
        <w:rPr>
          <w:rFonts w:ascii="Arial" w:cs="Arial" w:eastAsia="Arial" w:hAnsi="Arial"/>
          <w:sz w:val="18"/>
          <w:szCs w:val="18"/>
          <w:color w:val="auto"/>
        </w:rPr>
        <w:t>”), (A) in respect of comment 15 of the Comment Letter, the Company has included the total consideration paid by existing stockholders, including the affiliates of KKR Sponsor, for their shares of the Company’s common stock under the heading “Dilution” in Amendment No. 2; and (B) in respect of comment 21 of the Comment Letter, the Company has updated its pro forma financial information in Amendment No. 2 to give effect to the February 2017 recapitalization dividend as if a portion of the proceeds from the offering were used to pay such dividend, as further described in footnote (G) to such pro forma financial information.</w:t>
      </w:r>
    </w:p>
    <w:p>
      <w:pPr>
        <w:spacing w:after="0" w:line="193" w:lineRule="exact"/>
        <w:rPr>
          <w:sz w:val="24"/>
          <w:szCs w:val="24"/>
          <w:color w:val="auto"/>
        </w:rPr>
      </w:pPr>
    </w:p>
    <w:p>
      <w:pPr>
        <w:ind w:right="320" w:firstLine="648"/>
        <w:spacing w:after="0" w:line="277" w:lineRule="auto"/>
        <w:rPr>
          <w:sz w:val="20"/>
          <w:szCs w:val="20"/>
          <w:color w:val="auto"/>
        </w:rPr>
      </w:pPr>
      <w:r>
        <w:rPr>
          <w:rFonts w:ascii="Arial" w:cs="Arial" w:eastAsia="Arial" w:hAnsi="Arial"/>
          <w:sz w:val="18"/>
          <w:szCs w:val="18"/>
          <w:color w:val="auto"/>
        </w:rPr>
        <w:t>To assist the Staff’s review of Amendment No. 2, we will send blacklined copies of Amendment No. 2 marked against Amendment No. 1, which was filed on October 6, 2017.</w:t>
      </w:r>
    </w:p>
    <w:p>
      <w:pPr>
        <w:spacing w:after="0" w:line="197" w:lineRule="exact"/>
        <w:rPr>
          <w:sz w:val="24"/>
          <w:szCs w:val="24"/>
          <w:color w:val="auto"/>
        </w:rPr>
      </w:pPr>
    </w:p>
    <w:p>
      <w:pPr>
        <w:jc w:val="center"/>
        <w:spacing w:after="0"/>
        <w:tabs>
          <w:tab w:leader="none" w:pos="240" w:val="left"/>
          <w:tab w:leader="none" w:pos="240" w:val="left"/>
          <w:tab w:leader="none" w:pos="240" w:val="left"/>
          <w:tab w:leader="none" w:pos="240" w:val="left"/>
          <w:tab w:leader="none" w:pos="240" w:val="left"/>
          <w:tab w:leader="none" w:pos="240" w:val="left"/>
          <w:tab w:leader="none" w:pos="240" w:val="left"/>
        </w:tabs>
        <w:rPr>
          <w:sz w:val="20"/>
          <w:szCs w:val="20"/>
          <w:color w:val="auto"/>
        </w:rPr>
      </w:pPr>
      <w:r>
        <w:rPr>
          <w:rFonts w:ascii="Arial" w:cs="Arial" w:eastAsia="Arial" w:hAnsi="Arial"/>
          <w:sz w:val="18"/>
          <w:szCs w:val="18"/>
          <w:color w:val="auto"/>
        </w:rPr>
        <w:t>*</w:t>
        <w:tab/>
        <w:t>*</w:t>
        <w:tab/>
        <w:t>*</w:t>
        <w:tab/>
        <w:t>*</w:t>
        <w:tab/>
        <w:t>*</w:t>
        <w:tab/>
        <w:t>*</w:t>
        <w:tab/>
        <w:t>*</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tabs>
          <w:tab w:leader="none" w:pos="10140" w:val="left"/>
        </w:tabs>
        <w:rPr>
          <w:sz w:val="20"/>
          <w:szCs w:val="20"/>
          <w:color w:val="auto"/>
        </w:rPr>
      </w:pPr>
      <w:r>
        <w:rPr>
          <w:rFonts w:ascii="Arial" w:cs="Arial" w:eastAsia="Arial" w:hAnsi="Arial"/>
          <w:sz w:val="18"/>
          <w:szCs w:val="18"/>
          <w:color w:val="auto"/>
        </w:rPr>
        <w:t>Securities and Exchange Commission</w:t>
      </w:r>
      <w:r>
        <w:rPr>
          <w:sz w:val="20"/>
          <w:szCs w:val="20"/>
          <w:color w:val="auto"/>
        </w:rPr>
        <w:tab/>
      </w:r>
      <w:r>
        <w:rPr>
          <w:rFonts w:ascii="Arial" w:cs="Arial" w:eastAsia="Arial" w:hAnsi="Arial"/>
          <w:sz w:val="16"/>
          <w:szCs w:val="16"/>
          <w:color w:val="auto"/>
        </w:rPr>
        <w:t>October 16, 2017</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Please do not hesitate to call me at (212) 455-2948 with any questions or further comments regarding this submission.</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H. Kaufman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H. Kaufman</w:t>
      </w:r>
    </w:p>
    <w:p>
      <w:pPr>
        <w:spacing w:after="0" w:line="252" w:lineRule="exact"/>
        <w:rPr>
          <w:sz w:val="20"/>
          <w:szCs w:val="20"/>
          <w:color w:val="auto"/>
        </w:rPr>
      </w:pPr>
    </w:p>
    <w:p>
      <w:pPr>
        <w:ind w:left="1040" w:right="8100" w:hanging="1032"/>
        <w:spacing w:after="0" w:line="258" w:lineRule="auto"/>
        <w:tabs>
          <w:tab w:leader="none" w:pos="581"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Securities and Exchange Commission Tom Jones</w:t>
      </w:r>
    </w:p>
    <w:p>
      <w:pPr>
        <w:spacing w:after="0" w:line="1" w:lineRule="exact"/>
        <w:rPr>
          <w:rFonts w:ascii="Arial" w:cs="Arial" w:eastAsia="Arial" w:hAnsi="Arial"/>
          <w:sz w:val="18"/>
          <w:szCs w:val="18"/>
          <w:color w:val="auto"/>
        </w:rPr>
      </w:pPr>
    </w:p>
    <w:p>
      <w:pPr>
        <w:jc w:val="both"/>
        <w:ind w:left="1040" w:right="9440"/>
        <w:spacing w:after="0" w:line="323" w:lineRule="auto"/>
        <w:rPr>
          <w:rFonts w:ascii="Arial" w:cs="Arial" w:eastAsia="Arial" w:hAnsi="Arial"/>
          <w:sz w:val="18"/>
          <w:szCs w:val="18"/>
          <w:color w:val="auto"/>
        </w:rPr>
      </w:pPr>
      <w:r>
        <w:rPr>
          <w:rFonts w:ascii="Arial" w:cs="Arial" w:eastAsia="Arial" w:hAnsi="Arial"/>
          <w:sz w:val="16"/>
          <w:szCs w:val="16"/>
          <w:color w:val="auto"/>
        </w:rPr>
        <w:t>Tara Harkins Kevin Kuhar</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Mitchell Goodman</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Marc Jaffe</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Ian Schuman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2019-12-08T08:57:35Z</dcterms:created>
  <dcterms:modified xsi:type="dcterms:W3CDTF">2019-12-08T08:57:35Z</dcterms:modified>
</cp:coreProperties>
</file>