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36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365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BUSBEE JEFF</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296 GRAYSON HIGHWAY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NATIONAL VISION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NVI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09/01/2005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6"/>
          <w:szCs w:val="16"/>
          <w:color w:val="0000FF"/>
        </w:rPr>
        <w:t>VP HR &amp; Corporate Compliance</w:t>
      </w:r>
    </w:p>
    <w:p>
      <w:pPr>
        <w:spacing w:after="0" w:line="33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60" w:type="dxa"/>
            <w:vAlign w:val="bottom"/>
            <w:gridSpan w:val="2"/>
          </w:tcPr>
          <w:p>
            <w:pPr>
              <w:spacing w:after="0"/>
              <w:rPr>
                <w:sz w:val="20"/>
                <w:szCs w:val="20"/>
                <w:color w:val="auto"/>
              </w:rPr>
            </w:pPr>
            <w:r>
              <w:rPr>
                <w:rFonts w:ascii="Arial" w:cs="Arial" w:eastAsia="Arial" w:hAnsi="Arial"/>
                <w:sz w:val="18"/>
                <w:szCs w:val="18"/>
                <w:color w:val="0000FF"/>
              </w:rPr>
              <w:t>LAWRENCEVILLE GA</w:t>
            </w:r>
          </w:p>
        </w:tc>
        <w:tc>
          <w:tcPr>
            <w:tcW w:w="1640" w:type="dxa"/>
            <w:vAlign w:val="bottom"/>
          </w:tcPr>
          <w:p>
            <w:pPr>
              <w:jc w:val="right"/>
              <w:ind w:right="622"/>
              <w:spacing w:after="0"/>
              <w:rPr>
                <w:sz w:val="20"/>
                <w:szCs w:val="20"/>
                <w:color w:val="auto"/>
              </w:rPr>
            </w:pPr>
            <w:r>
              <w:rPr>
                <w:rFonts w:ascii="Arial" w:cs="Arial" w:eastAsia="Arial" w:hAnsi="Arial"/>
                <w:sz w:val="18"/>
                <w:szCs w:val="18"/>
                <w:color w:val="0000FF"/>
              </w:rPr>
              <w:t>30045</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320" w:type="dxa"/>
            <w:vAlign w:val="bottom"/>
          </w:tcPr>
          <w:p>
            <w:pPr>
              <w:ind w:left="440"/>
              <w:spacing w:after="0"/>
              <w:rPr>
                <w:sz w:val="20"/>
                <w:szCs w:val="20"/>
                <w:color w:val="auto"/>
              </w:rPr>
            </w:pPr>
            <w:r>
              <w:rPr>
                <w:rFonts w:ascii="Arial" w:cs="Arial" w:eastAsia="Arial" w:hAnsi="Arial"/>
                <w:sz w:val="14"/>
                <w:szCs w:val="14"/>
                <w:color w:val="auto"/>
              </w:rPr>
              <w:t>(State)</w:t>
            </w:r>
          </w:p>
        </w:tc>
        <w:tc>
          <w:tcPr>
            <w:tcW w:w="164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6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ind w:left="840"/>
              <w:spacing w:after="0"/>
              <w:rPr>
                <w:sz w:val="20"/>
                <w:szCs w:val="20"/>
                <w:color w:val="auto"/>
              </w:rPr>
            </w:pPr>
            <w:r>
              <w:rPr>
                <w:rFonts w:ascii="Arial" w:cs="Arial" w:eastAsia="Arial" w:hAnsi="Arial"/>
                <w:sz w:val="18"/>
                <w:szCs w:val="18"/>
                <w:color w:val="0000FF"/>
              </w:rPr>
              <w:t>09/01/2005</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98"/>
              <w:spacing w:after="0"/>
              <w:rPr>
                <w:sz w:val="20"/>
                <w:szCs w:val="20"/>
                <w:color w:val="auto"/>
              </w:rPr>
            </w:pPr>
            <w:r>
              <w:rPr>
                <w:rFonts w:ascii="Arial" w:cs="Arial" w:eastAsia="Arial" w:hAnsi="Arial"/>
                <w:sz w:val="14"/>
                <w:szCs w:val="14"/>
                <w:color w:val="0000FF"/>
              </w:rPr>
              <w:t>U</w:t>
            </w:r>
          </w:p>
        </w:tc>
        <w:tc>
          <w:tcPr>
            <w:tcW w:w="220" w:type="dxa"/>
            <w:vAlign w:val="bottom"/>
          </w:tcPr>
          <w:p>
            <w:pPr>
              <w:spacing w:after="0"/>
              <w:rPr>
                <w:sz w:val="23"/>
                <w:szCs w:val="23"/>
                <w:color w:val="auto"/>
              </w:rPr>
            </w:pPr>
          </w:p>
        </w:tc>
        <w:tc>
          <w:tcPr>
            <w:tcW w:w="580" w:type="dxa"/>
            <w:vAlign w:val="bottom"/>
          </w:tcPr>
          <w:p>
            <w:pPr>
              <w:ind w:left="180"/>
              <w:spacing w:after="0"/>
              <w:rPr>
                <w:sz w:val="20"/>
                <w:szCs w:val="20"/>
                <w:color w:val="auto"/>
              </w:rPr>
            </w:pPr>
            <w:r>
              <w:rPr>
                <w:rFonts w:ascii="Arial" w:cs="Arial" w:eastAsia="Arial" w:hAnsi="Arial"/>
                <w:sz w:val="18"/>
                <w:szCs w:val="18"/>
                <w:color w:val="0000FF"/>
                <w:w w:val="84"/>
              </w:rPr>
              <w:t>8,133</w:t>
            </w:r>
          </w:p>
        </w:tc>
        <w:tc>
          <w:tcPr>
            <w:tcW w:w="640" w:type="dxa"/>
            <w:vAlign w:val="bottom"/>
          </w:tcPr>
          <w:p>
            <w:pPr>
              <w:ind w:left="400"/>
              <w:spacing w:after="0"/>
              <w:rPr>
                <w:sz w:val="20"/>
                <w:szCs w:val="20"/>
                <w:color w:val="auto"/>
              </w:rPr>
            </w:pPr>
            <w:r>
              <w:rPr>
                <w:rFonts w:ascii="Arial" w:cs="Arial" w:eastAsia="Arial" w:hAnsi="Arial"/>
                <w:sz w:val="18"/>
                <w:szCs w:val="18"/>
                <w:color w:val="0000FF"/>
              </w:rPr>
              <w:t>D</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7.25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ind w:left="40"/>
              <w:spacing w:after="0"/>
              <w:rPr>
                <w:sz w:val="20"/>
                <w:szCs w:val="20"/>
                <w:color w:val="auto"/>
              </w:rPr>
            </w:pPr>
            <w:r>
              <w:rPr>
                <w:rFonts w:ascii="Arial" w:cs="Arial" w:eastAsia="Arial" w:hAnsi="Arial"/>
                <w:sz w:val="18"/>
                <w:szCs w:val="18"/>
                <w:color w:val="0000FF"/>
              </w:rPr>
              <w:t>0</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5"/>
          </w:tcPr>
          <w:p>
            <w:pPr>
              <w:spacing w:after="0"/>
              <w:rPr>
                <w:sz w:val="8"/>
                <w:szCs w:val="8"/>
                <w:color w:val="auto"/>
              </w:rPr>
            </w:pPr>
          </w:p>
        </w:tc>
        <w:tc>
          <w:tcPr>
            <w:tcW w:w="264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40" w:type="dxa"/>
            <w:vAlign w:val="bottom"/>
            <w:gridSpan w:val="10"/>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0.4</w:t>
            </w:r>
          </w:p>
        </w:tc>
        <w:tc>
          <w:tcPr>
            <w:tcW w:w="1140" w:type="dxa"/>
            <w:vAlign w:val="bottom"/>
          </w:tcPr>
          <w:p>
            <w:pPr>
              <w:ind w:left="260"/>
              <w:spacing w:after="0"/>
              <w:rPr>
                <w:sz w:val="20"/>
                <w:szCs w:val="20"/>
                <w:color w:val="auto"/>
              </w:rPr>
            </w:pPr>
            <w:r>
              <w:rPr>
                <w:rFonts w:ascii="Arial" w:cs="Arial" w:eastAsia="Arial" w:hAnsi="Arial"/>
                <w:sz w:val="14"/>
                <w:szCs w:val="14"/>
                <w:color w:val="0000FF"/>
              </w:rPr>
              <w:t>09/01/2005</w:t>
            </w:r>
          </w:p>
        </w:tc>
        <w:tc>
          <w:tcPr>
            <w:tcW w:w="1140" w:type="dxa"/>
            <w:vAlign w:val="bottom"/>
          </w:tcPr>
          <w:p>
            <w:pPr>
              <w:spacing w:after="0"/>
              <w:rPr>
                <w:sz w:val="17"/>
                <w:szCs w:val="17"/>
                <w:color w:val="auto"/>
              </w:rPr>
            </w:pPr>
          </w:p>
        </w:tc>
        <w:tc>
          <w:tcPr>
            <w:tcW w:w="720" w:type="dxa"/>
            <w:vAlign w:val="bottom"/>
          </w:tcPr>
          <w:p>
            <w:pPr>
              <w:ind w:left="160"/>
              <w:spacing w:after="0"/>
              <w:rPr>
                <w:sz w:val="20"/>
                <w:szCs w:val="20"/>
                <w:color w:val="auto"/>
              </w:rPr>
            </w:pPr>
            <w:r>
              <w:rPr>
                <w:rFonts w:ascii="Arial" w:cs="Arial" w:eastAsia="Arial" w:hAnsi="Arial"/>
                <w:sz w:val="14"/>
                <w:szCs w:val="14"/>
                <w:color w:val="0000FF"/>
              </w:rPr>
              <w:t>D</w:t>
            </w:r>
          </w:p>
        </w:tc>
        <w:tc>
          <w:tcPr>
            <w:tcW w:w="940" w:type="dxa"/>
            <w:vAlign w:val="bottom"/>
          </w:tcPr>
          <w:p>
            <w:pPr>
              <w:ind w:left="500"/>
              <w:spacing w:after="0"/>
              <w:rPr>
                <w:sz w:val="20"/>
                <w:szCs w:val="20"/>
                <w:color w:val="auto"/>
              </w:rPr>
            </w:pPr>
            <w:r>
              <w:rPr>
                <w:rFonts w:ascii="Arial" w:cs="Arial" w:eastAsia="Arial" w:hAnsi="Arial"/>
                <w:sz w:val="14"/>
                <w:szCs w:val="14"/>
                <w:color w:val="0000FF"/>
              </w:rPr>
              <w:t>6,000</w:t>
            </w:r>
          </w:p>
        </w:tc>
        <w:tc>
          <w:tcPr>
            <w:tcW w:w="780" w:type="dxa"/>
            <w:vAlign w:val="bottom"/>
            <w:gridSpan w:val="2"/>
          </w:tcPr>
          <w:p>
            <w:pPr>
              <w:jc w:val="right"/>
              <w:ind w:right="298"/>
              <w:spacing w:after="0"/>
              <w:rPr>
                <w:sz w:val="20"/>
                <w:szCs w:val="20"/>
                <w:color w:val="auto"/>
              </w:rPr>
            </w:pPr>
            <w:r>
              <w:rPr>
                <w:rFonts w:ascii="Arial" w:cs="Arial" w:eastAsia="Arial" w:hAnsi="Arial"/>
                <w:sz w:val="11"/>
                <w:szCs w:val="11"/>
                <w:color w:val="008000"/>
              </w:rPr>
              <w:t>(1)</w:t>
            </w:r>
          </w:p>
        </w:tc>
        <w:tc>
          <w:tcPr>
            <w:tcW w:w="800" w:type="dxa"/>
            <w:vAlign w:val="bottom"/>
            <w:gridSpan w:val="2"/>
          </w:tcPr>
          <w:p>
            <w:pPr>
              <w:ind w:left="60"/>
              <w:spacing w:after="0"/>
              <w:rPr>
                <w:sz w:val="20"/>
                <w:szCs w:val="20"/>
                <w:color w:val="auto"/>
              </w:rPr>
            </w:pPr>
            <w:r>
              <w:rPr>
                <w:rFonts w:ascii="Arial" w:cs="Arial" w:eastAsia="Arial" w:hAnsi="Arial"/>
                <w:sz w:val="14"/>
                <w:szCs w:val="14"/>
                <w:color w:val="0000FF"/>
              </w:rPr>
              <w:t>10/25/2011</w:t>
            </w:r>
          </w:p>
        </w:tc>
        <w:tc>
          <w:tcPr>
            <w:tcW w:w="640" w:type="dxa"/>
            <w:vAlign w:val="bottom"/>
          </w:tcPr>
          <w:p>
            <w:pPr>
              <w:ind w:left="20"/>
              <w:spacing w:after="0"/>
              <w:rPr>
                <w:sz w:val="20"/>
                <w:szCs w:val="20"/>
                <w:color w:val="auto"/>
              </w:rPr>
            </w:pPr>
            <w:r>
              <w:rPr>
                <w:rFonts w:ascii="Arial" w:cs="Arial" w:eastAsia="Arial" w:hAnsi="Arial"/>
                <w:sz w:val="14"/>
                <w:szCs w:val="14"/>
                <w:color w:val="0000FF"/>
              </w:rPr>
              <w:t>Common</w:t>
            </w:r>
          </w:p>
        </w:tc>
        <w:tc>
          <w:tcPr>
            <w:tcW w:w="560" w:type="dxa"/>
            <w:vAlign w:val="bottom"/>
          </w:tcPr>
          <w:p>
            <w:pPr>
              <w:jc w:val="right"/>
              <w:ind w:right="52"/>
              <w:spacing w:after="0" w:line="200" w:lineRule="exact"/>
              <w:rPr>
                <w:sz w:val="20"/>
                <w:szCs w:val="20"/>
                <w:color w:val="auto"/>
              </w:rPr>
            </w:pPr>
            <w:r>
              <w:rPr>
                <w:rFonts w:ascii="Arial" w:cs="Arial" w:eastAsia="Arial" w:hAnsi="Arial"/>
                <w:sz w:val="18"/>
                <w:szCs w:val="18"/>
                <w:color w:val="0000FF"/>
                <w:w w:val="93"/>
              </w:rPr>
              <w:t>6,000</w:t>
            </w:r>
          </w:p>
        </w:tc>
        <w:tc>
          <w:tcPr>
            <w:tcW w:w="60" w:type="dxa"/>
            <w:vAlign w:val="bottom"/>
          </w:tcPr>
          <w:p>
            <w:pPr>
              <w:spacing w:after="0"/>
              <w:rPr>
                <w:sz w:val="17"/>
                <w:szCs w:val="17"/>
                <w:color w:val="auto"/>
              </w:rPr>
            </w:pPr>
          </w:p>
        </w:tc>
        <w:tc>
          <w:tcPr>
            <w:tcW w:w="620" w:type="dxa"/>
            <w:vAlign w:val="bottom"/>
            <w:gridSpan w:val="2"/>
          </w:tcPr>
          <w:p>
            <w:pPr>
              <w:ind w:left="80"/>
              <w:spacing w:after="0" w:line="200"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6.85</w:t>
            </w:r>
            <w:r>
              <w:rPr>
                <w:rFonts w:ascii="Arial" w:cs="Arial" w:eastAsia="Arial" w:hAnsi="Arial"/>
                <w:sz w:val="22"/>
                <w:szCs w:val="22"/>
                <w:color w:val="008000"/>
                <w:vertAlign w:val="superscript"/>
              </w:rPr>
              <w:t>(2)</w:t>
            </w:r>
          </w:p>
        </w:tc>
        <w:tc>
          <w:tcPr>
            <w:tcW w:w="720" w:type="dxa"/>
            <w:vAlign w:val="bottom"/>
          </w:tcPr>
          <w:p>
            <w:pPr>
              <w:ind w:left="500"/>
              <w:spacing w:after="0"/>
              <w:rPr>
                <w:sz w:val="20"/>
                <w:szCs w:val="20"/>
                <w:color w:val="auto"/>
              </w:rPr>
            </w:pPr>
            <w:r>
              <w:rPr>
                <w:rFonts w:ascii="Arial" w:cs="Arial" w:eastAsia="Arial" w:hAnsi="Arial"/>
                <w:sz w:val="14"/>
                <w:szCs w:val="14"/>
                <w:color w:val="0000FF"/>
              </w:rPr>
              <w:t>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(Right to</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ind w:left="100"/>
              <w:spacing w:after="0" w:line="110"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Pursuant to terms of grant of option, all options, to extent not previously vested, vest in connection with change in control of issuer. Change in control occured on September 1, 2005.</w:t>
      </w:r>
    </w:p>
    <w:p>
      <w:pPr>
        <w:spacing w:after="0" w:line="41" w:lineRule="exact"/>
        <w:rPr>
          <w:rFonts w:ascii="Arial" w:cs="Arial" w:eastAsia="Arial" w:hAnsi="Arial"/>
          <w:sz w:val="14"/>
          <w:szCs w:val="14"/>
          <w:color w:val="008000"/>
        </w:rPr>
      </w:pPr>
    </w:p>
    <w:p>
      <w:pPr>
        <w:ind w:left="40" w:right="16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and the issuer agreed, subject to the first acceptance for payment of shares in the tender offer for the common stock of the issuer, to cancel the option, in exchange for a payment equal to the number of shares subject to the option times the difference between $7.25 (the price offered by the bidder in the tender offer) and the exercise price under the option.</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9"/>
              </w:rPr>
              <w:t>Mitchell Goodman, as</w:t>
            </w:r>
          </w:p>
        </w:tc>
        <w:tc>
          <w:tcPr>
            <w:tcW w:w="5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09/02/2005</w:t>
            </w:r>
          </w:p>
        </w:tc>
        <w:tc>
          <w:tcPr>
            <w:tcW w:w="0" w:type="dxa"/>
            <w:vAlign w:val="bottom"/>
          </w:tcPr>
          <w:p>
            <w:pPr>
              <w:spacing w:after="0"/>
              <w:rPr>
                <w:sz w:val="1"/>
                <w:szCs w:val="1"/>
                <w:color w:val="auto"/>
              </w:rPr>
            </w:pPr>
          </w:p>
        </w:tc>
      </w:tr>
      <w:tr>
        <w:trPr>
          <w:trHeight w:val="88"/>
        </w:trPr>
        <w:tc>
          <w:tcPr>
            <w:tcW w:w="116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Attorney in Fact</w:t>
            </w:r>
          </w:p>
        </w:tc>
        <w:tc>
          <w:tcPr>
            <w:tcW w:w="96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60" w:type="dxa"/>
            <w:vAlign w:val="bottom"/>
            <w:tcBorders>
              <w:bottom w:val="single" w:sz="8" w:color="auto"/>
            </w:tcBorders>
            <w:vMerge w:val="continue"/>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1163" TargetMode="External"/><Relationship Id="rId13" Type="http://schemas.openxmlformats.org/officeDocument/2006/relationships/hyperlink" Target="http://www.sec.gov/cgi-bin/browse-edgar?action=getcompany&amp;CIK=00008682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2020-02-11T07:05:02Z</dcterms:created>
  <dcterms:modified xsi:type="dcterms:W3CDTF">2020-02-11T07:05:02Z</dcterms:modified>
</cp:coreProperties>
</file>