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5)*</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20" w:hanging="386"/>
        <w:spacing w:after="0"/>
        <w:tabs>
          <w:tab w:leader="none" w:pos="102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13d-1(b)</w:t>
      </w:r>
    </w:p>
    <w:p>
      <w:pPr>
        <w:spacing w:after="0" w:line="21" w:lineRule="exact"/>
        <w:rPr>
          <w:rFonts w:ascii="MS PGothic" w:cs="MS PGothic" w:eastAsia="MS PGothic" w:hAnsi="MS PGothic"/>
          <w:sz w:val="20"/>
          <w:szCs w:val="20"/>
          <w:color w:val="auto"/>
        </w:rPr>
      </w:pPr>
    </w:p>
    <w:p>
      <w:pPr>
        <w:ind w:left="1020" w:hanging="387"/>
        <w:spacing w:after="0" w:line="238" w:lineRule="auto"/>
        <w:tabs>
          <w:tab w:leader="none" w:pos="102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13d-1(c)</w:t>
      </w:r>
    </w:p>
    <w:p>
      <w:pPr>
        <w:ind w:left="1020" w:hanging="386"/>
        <w:spacing w:after="0"/>
        <w:tabs>
          <w:tab w:leader="none" w:pos="102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10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8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225" w:right="619" w:bottom="1440" w:gutter="0" w:footer="0" w:header="0"/>
        </w:sectPr>
      </w:pPr>
    </w:p>
    <w:bookmarkStart w:id="1" w:name="page2"/>
    <w:bookmarkEnd w:id="1"/>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8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6"/>
              </w:rPr>
              <w:t>Adage Capital Partners,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36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4"/>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344"/>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660" w:type="dxa"/>
            <w:vAlign w:val="bottom"/>
            <w:vMerge w:val="continue"/>
          </w:tcPr>
          <w:p>
            <w:pPr>
              <w:spacing w:after="0"/>
              <w:rPr>
                <w:sz w:val="14"/>
                <w:szCs w:val="14"/>
                <w:color w:val="auto"/>
              </w:rPr>
            </w:pPr>
          </w:p>
        </w:tc>
        <w:tc>
          <w:tcPr>
            <w:tcW w:w="6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PN</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2" w:name="page3"/>
    <w:bookmarkEnd w:id="2"/>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620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4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34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6"/>
              </w:rPr>
              <w:t>Adage Capital Partners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6"/>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36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8"/>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344"/>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6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OO</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3" w:hanging="273"/>
        <w:spacing w:after="0" w:line="263" w:lineRule="exact"/>
        <w:tabs>
          <w:tab w:leader="none" w:pos="273"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3" w:name="page4"/>
    <w:bookmarkEnd w:id="3"/>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32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8"/>
              </w:rPr>
              <w:t>Adage Capital Advisors,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0"/>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1"/>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36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12"/>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344"/>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6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OO</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3" w:hanging="273"/>
        <w:spacing w:after="0" w:line="263" w:lineRule="exact"/>
        <w:tabs>
          <w:tab w:leader="none" w:pos="27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4" w:name="page5"/>
    <w:bookmarkEnd w:id="4"/>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Robert Atchinson</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4"/>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36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3680" w:type="dxa"/>
            <w:vAlign w:val="bottom"/>
            <w:gridSpan w:val="3"/>
            <w:vMerge w:val="restart"/>
          </w:tcPr>
          <w:p>
            <w:pPr>
              <w:jc w:val="right"/>
              <w:ind w:right="203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16"/>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344"/>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6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IN</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3" w:hanging="273"/>
        <w:spacing w:after="0" w:line="263" w:lineRule="exact"/>
        <w:tabs>
          <w:tab w:leader="none" w:pos="273"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5" w:name="page6"/>
    <w:bookmarkEnd w:id="5"/>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Phillip Gross</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8"/>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36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3680" w:type="dxa"/>
            <w:vAlign w:val="bottom"/>
            <w:gridSpan w:val="3"/>
            <w:vMerge w:val="restart"/>
          </w:tcPr>
          <w:p>
            <w:pPr>
              <w:jc w:val="right"/>
              <w:ind w:right="203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23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5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20"/>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344"/>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6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IN</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3" w:hanging="273"/>
        <w:spacing w:after="0" w:line="263" w:lineRule="exact"/>
        <w:tabs>
          <w:tab w:leader="none" w:pos="273"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6" w:name="page7"/>
    <w:bookmarkEnd w:id="6"/>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10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60" w:type="dxa"/>
            <w:vAlign w:val="bottom"/>
          </w:tcPr>
          <w:p>
            <w:pPr>
              <w:spacing w:after="0"/>
              <w:rPr>
                <w:sz w:val="18"/>
                <w:szCs w:val="18"/>
                <w:color w:val="auto"/>
              </w:rPr>
            </w:pPr>
          </w:p>
        </w:tc>
        <w:tc>
          <w:tcPr>
            <w:tcW w:w="9740" w:type="dxa"/>
            <w:vAlign w:val="bottom"/>
            <w:gridSpan w:val="16"/>
          </w:tcPr>
          <w:p>
            <w:pPr>
              <w:ind w:left="440"/>
              <w:spacing w:after="0" w:line="212" w:lineRule="exact"/>
              <w:rPr>
                <w:sz w:val="20"/>
                <w:szCs w:val="20"/>
                <w:color w:val="auto"/>
              </w:rPr>
            </w:pPr>
            <w:r>
              <w:rPr>
                <w:rFonts w:ascii="Times New Roman" w:cs="Times New Roman" w:eastAsia="Times New Roman" w:hAnsi="Times New Roman"/>
                <w:sz w:val="20"/>
                <w:szCs w:val="20"/>
                <w:color w:val="auto"/>
              </w:rPr>
              <w:t>The name of the issuer is National Vision Holdings, Inc. (the "Company").</w:t>
            </w:r>
          </w:p>
        </w:tc>
      </w:tr>
      <w:tr>
        <w:trPr>
          <w:trHeight w:val="20"/>
        </w:trPr>
        <w:tc>
          <w:tcPr>
            <w:tcW w:w="12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57"/>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29"/>
        </w:trPr>
        <w:tc>
          <w:tcPr>
            <w:tcW w:w="1260" w:type="dxa"/>
            <w:vAlign w:val="bottom"/>
          </w:tcPr>
          <w:p>
            <w:pPr>
              <w:spacing w:after="0"/>
              <w:rPr>
                <w:sz w:val="19"/>
                <w:szCs w:val="19"/>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2435 Commerce Ave., Building 2200, Duluth, Georgia</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30096.</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30"/>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258"/>
        </w:trPr>
        <w:tc>
          <w:tcPr>
            <w:tcW w:w="1260" w:type="dxa"/>
            <w:vAlign w:val="bottom"/>
          </w:tcPr>
          <w:p>
            <w:pPr>
              <w:spacing w:after="0"/>
              <w:rPr>
                <w:sz w:val="22"/>
                <w:szCs w:val="22"/>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640" w:type="dxa"/>
            <w:vAlign w:val="bottom"/>
            <w:gridSpan w:val="15"/>
          </w:tcPr>
          <w:p>
            <w:pPr>
              <w:ind w:left="140"/>
              <w:spacing w:after="0"/>
              <w:rPr>
                <w:sz w:val="20"/>
                <w:szCs w:val="20"/>
                <w:color w:val="auto"/>
              </w:rPr>
            </w:pPr>
            <w:r>
              <w:rPr>
                <w:rFonts w:ascii="Times New Roman" w:cs="Times New Roman" w:eastAsia="Times New Roman" w:hAnsi="Times New Roman"/>
                <w:sz w:val="20"/>
                <w:szCs w:val="20"/>
                <w:color w:val="auto"/>
                <w:w w:val="97"/>
              </w:rPr>
              <w:t>Adage Capital Partners, L.P., a Delaware limited partnership ("ACP") with respect to the shares of Common</w:t>
            </w: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60" w:type="dxa"/>
            <w:vAlign w:val="bottom"/>
            <w:gridSpan w:val="11"/>
          </w:tcPr>
          <w:p>
            <w:pPr>
              <w:ind w:left="140"/>
              <w:spacing w:after="0"/>
              <w:rPr>
                <w:sz w:val="20"/>
                <w:szCs w:val="20"/>
                <w:color w:val="auto"/>
              </w:rPr>
            </w:pPr>
            <w:r>
              <w:rPr>
                <w:rFonts w:ascii="Times New Roman" w:cs="Times New Roman" w:eastAsia="Times New Roman" w:hAnsi="Times New Roman"/>
                <w:sz w:val="20"/>
                <w:szCs w:val="20"/>
                <w:color w:val="auto"/>
              </w:rPr>
              <w:t>Stock directly owned by it;</w:t>
            </w:r>
          </w:p>
        </w:tc>
        <w:tc>
          <w:tcPr>
            <w:tcW w:w="320" w:type="dxa"/>
            <w:vAlign w:val="bottom"/>
            <w:tcBorders>
              <w:top w:val="single" w:sz="8" w:color="auto"/>
            </w:tcBorders>
          </w:tcPr>
          <w:p>
            <w:pPr>
              <w:spacing w:after="0"/>
              <w:rPr>
                <w:sz w:val="22"/>
                <w:szCs w:val="22"/>
                <w:color w:val="auto"/>
              </w:rPr>
            </w:pPr>
          </w:p>
        </w:tc>
        <w:tc>
          <w:tcPr>
            <w:tcW w:w="3260" w:type="dxa"/>
            <w:vAlign w:val="bottom"/>
            <w:gridSpan w:val="3"/>
          </w:tcPr>
          <w:p>
            <w:pPr>
              <w:spacing w:after="0"/>
              <w:rPr>
                <w:sz w:val="22"/>
                <w:szCs w:val="22"/>
                <w:color w:val="auto"/>
              </w:rPr>
            </w:pPr>
          </w:p>
        </w:tc>
      </w:tr>
      <w:tr>
        <w:trPr>
          <w:trHeight w:val="430"/>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640" w:type="dxa"/>
            <w:vAlign w:val="bottom"/>
            <w:gridSpan w:val="15"/>
          </w:tcPr>
          <w:p>
            <w:pPr>
              <w:ind w:left="140"/>
              <w:spacing w:after="0"/>
              <w:rPr>
                <w:sz w:val="20"/>
                <w:szCs w:val="20"/>
                <w:color w:val="auto"/>
              </w:rPr>
            </w:pPr>
            <w:r>
              <w:rPr>
                <w:rFonts w:ascii="Times New Roman" w:cs="Times New Roman" w:eastAsia="Times New Roman" w:hAnsi="Times New Roman"/>
                <w:sz w:val="20"/>
                <w:szCs w:val="20"/>
                <w:color w:val="auto"/>
              </w:rPr>
              <w:t>Adage Capital Partners GP, L.L.C., a limited liability company organized under the laws of the State of</w:t>
            </w:r>
          </w:p>
        </w:tc>
      </w:tr>
      <w:tr>
        <w:trPr>
          <w:trHeight w:val="212"/>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40" w:type="dxa"/>
            <w:vAlign w:val="bottom"/>
            <w:gridSpan w:val="15"/>
          </w:tcPr>
          <w:p>
            <w:pPr>
              <w:ind w:left="140"/>
              <w:spacing w:after="0" w:line="212" w:lineRule="exact"/>
              <w:rPr>
                <w:sz w:val="20"/>
                <w:szCs w:val="20"/>
                <w:color w:val="auto"/>
              </w:rPr>
            </w:pPr>
            <w:r>
              <w:rPr>
                <w:rFonts w:ascii="Times New Roman" w:cs="Times New Roman" w:eastAsia="Times New Roman" w:hAnsi="Times New Roman"/>
                <w:sz w:val="20"/>
                <w:szCs w:val="20"/>
                <w:color w:val="auto"/>
                <w:w w:val="96"/>
              </w:rPr>
              <w:t>Delaware ("ACPGP"), as general partner of ACP with respect to the shares of Common Stock directly owned</w:t>
            </w: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by ACP;</w:t>
            </w:r>
          </w:p>
        </w:tc>
        <w:tc>
          <w:tcPr>
            <w:tcW w:w="640" w:type="dxa"/>
            <w:vAlign w:val="bottom"/>
            <w:tcBorders>
              <w:top w:val="single" w:sz="8" w:color="auto"/>
            </w:tcBorders>
            <w:gridSpan w:val="4"/>
          </w:tcPr>
          <w:p>
            <w:pPr>
              <w:spacing w:after="0"/>
              <w:rPr>
                <w:sz w:val="22"/>
                <w:szCs w:val="22"/>
                <w:color w:val="auto"/>
              </w:rPr>
            </w:pPr>
          </w:p>
        </w:tc>
        <w:tc>
          <w:tcPr>
            <w:tcW w:w="6940" w:type="dxa"/>
            <w:vAlign w:val="bottom"/>
            <w:gridSpan w:val="10"/>
          </w:tcPr>
          <w:p>
            <w:pPr>
              <w:spacing w:after="0"/>
              <w:rPr>
                <w:sz w:val="22"/>
                <w:szCs w:val="22"/>
                <w:color w:val="auto"/>
              </w:rPr>
            </w:pPr>
          </w:p>
        </w:tc>
      </w:tr>
      <w:tr>
        <w:trPr>
          <w:trHeight w:val="430"/>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(iii)</w:t>
            </w:r>
          </w:p>
        </w:tc>
        <w:tc>
          <w:tcPr>
            <w:tcW w:w="8640" w:type="dxa"/>
            <w:vAlign w:val="bottom"/>
            <w:gridSpan w:val="15"/>
          </w:tcPr>
          <w:p>
            <w:pPr>
              <w:ind w:left="140"/>
              <w:spacing w:after="0"/>
              <w:rPr>
                <w:sz w:val="20"/>
                <w:szCs w:val="20"/>
                <w:color w:val="auto"/>
              </w:rPr>
            </w:pPr>
            <w:r>
              <w:rPr>
                <w:rFonts w:ascii="Times New Roman" w:cs="Times New Roman" w:eastAsia="Times New Roman" w:hAnsi="Times New Roman"/>
                <w:sz w:val="20"/>
                <w:szCs w:val="20"/>
                <w:color w:val="auto"/>
              </w:rPr>
              <w:t>Adage Capital Advisors, L.L.C., a limited liability company organized under the laws of the State of</w:t>
            </w:r>
          </w:p>
        </w:tc>
      </w:tr>
      <w:tr>
        <w:trPr>
          <w:trHeight w:val="212"/>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40" w:type="dxa"/>
            <w:vAlign w:val="bottom"/>
            <w:gridSpan w:val="15"/>
          </w:tcPr>
          <w:p>
            <w:pPr>
              <w:ind w:left="140"/>
              <w:spacing w:after="0" w:line="212" w:lineRule="exact"/>
              <w:rPr>
                <w:sz w:val="20"/>
                <w:szCs w:val="20"/>
                <w:color w:val="auto"/>
              </w:rPr>
            </w:pPr>
            <w:r>
              <w:rPr>
                <w:rFonts w:ascii="Times New Roman" w:cs="Times New Roman" w:eastAsia="Times New Roman" w:hAnsi="Times New Roman"/>
                <w:sz w:val="20"/>
                <w:szCs w:val="20"/>
                <w:color w:val="auto"/>
                <w:w w:val="99"/>
              </w:rPr>
              <w:t>Delaware ("ACA"), as managing member of ACPGP, general partner of ACP, with respect to the shares of</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40" w:type="dxa"/>
            <w:vAlign w:val="bottom"/>
            <w:gridSpan w:val="15"/>
          </w:tcPr>
          <w:p>
            <w:pPr>
              <w:ind w:left="140"/>
              <w:spacing w:after="0"/>
              <w:rPr>
                <w:sz w:val="20"/>
                <w:szCs w:val="20"/>
                <w:color w:val="auto"/>
              </w:rPr>
            </w:pPr>
            <w:r>
              <w:rPr>
                <w:rFonts w:ascii="Times New Roman" w:cs="Times New Roman" w:eastAsia="Times New Roman" w:hAnsi="Times New Roman"/>
                <w:sz w:val="20"/>
                <w:szCs w:val="20"/>
                <w:color w:val="auto"/>
              </w:rPr>
              <w:t>Common Stock directly owned by ACP;</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(iv)</w:t>
            </w:r>
          </w:p>
        </w:tc>
        <w:tc>
          <w:tcPr>
            <w:tcW w:w="8640" w:type="dxa"/>
            <w:vAlign w:val="bottom"/>
            <w:gridSpan w:val="15"/>
          </w:tcPr>
          <w:p>
            <w:pPr>
              <w:ind w:left="140"/>
              <w:spacing w:after="0"/>
              <w:rPr>
                <w:sz w:val="20"/>
                <w:szCs w:val="20"/>
                <w:color w:val="auto"/>
              </w:rPr>
            </w:pPr>
            <w:r>
              <w:rPr>
                <w:rFonts w:ascii="Times New Roman" w:cs="Times New Roman" w:eastAsia="Times New Roman" w:hAnsi="Times New Roman"/>
                <w:sz w:val="20"/>
                <w:szCs w:val="20"/>
                <w:color w:val="auto"/>
                <w:w w:val="98"/>
              </w:rPr>
              <w:t>Robert Atchinson ("Mr. Atchinson"), as managing member of ACA, managing member of ACPGP, general</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40" w:type="dxa"/>
            <w:vAlign w:val="bottom"/>
            <w:gridSpan w:val="15"/>
          </w:tcPr>
          <w:p>
            <w:pPr>
              <w:ind w:left="140"/>
              <w:spacing w:after="0"/>
              <w:rPr>
                <w:sz w:val="20"/>
                <w:szCs w:val="20"/>
                <w:color w:val="auto"/>
              </w:rPr>
            </w:pPr>
            <w:r>
              <w:rPr>
                <w:rFonts w:ascii="Times New Roman" w:cs="Times New Roman" w:eastAsia="Times New Roman" w:hAnsi="Times New Roman"/>
                <w:sz w:val="20"/>
                <w:szCs w:val="20"/>
                <w:color w:val="auto"/>
              </w:rPr>
              <w:t>partner of ACP with respect to the shares of Common Stock directly owned by ACP; and</w:t>
            </w:r>
          </w:p>
        </w:tc>
      </w:tr>
      <w:tr>
        <w:trPr>
          <w:trHeight w:val="412"/>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(v)</w:t>
            </w:r>
          </w:p>
        </w:tc>
        <w:tc>
          <w:tcPr>
            <w:tcW w:w="8640" w:type="dxa"/>
            <w:vAlign w:val="bottom"/>
            <w:gridSpan w:val="15"/>
          </w:tcPr>
          <w:p>
            <w:pPr>
              <w:ind w:left="140"/>
              <w:spacing w:after="0"/>
              <w:rPr>
                <w:sz w:val="20"/>
                <w:szCs w:val="20"/>
                <w:color w:val="auto"/>
              </w:rPr>
            </w:pPr>
            <w:r>
              <w:rPr>
                <w:rFonts w:ascii="Times New Roman" w:cs="Times New Roman" w:eastAsia="Times New Roman" w:hAnsi="Times New Roman"/>
                <w:sz w:val="20"/>
                <w:szCs w:val="20"/>
                <w:color w:val="auto"/>
                <w:w w:val="97"/>
              </w:rPr>
              <w:t>Phillip Gross ("Mr. Gross"), as managing member of ACA, managing member of ACPGP, general partner of</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40" w:type="dxa"/>
            <w:vAlign w:val="bottom"/>
            <w:gridSpan w:val="15"/>
          </w:tcPr>
          <w:p>
            <w:pPr>
              <w:ind w:left="140"/>
              <w:spacing w:after="0"/>
              <w:rPr>
                <w:sz w:val="20"/>
                <w:szCs w:val="20"/>
                <w:color w:val="auto"/>
              </w:rPr>
            </w:pPr>
            <w:r>
              <w:rPr>
                <w:rFonts w:ascii="Times New Roman" w:cs="Times New Roman" w:eastAsia="Times New Roman" w:hAnsi="Times New Roman"/>
                <w:sz w:val="20"/>
                <w:szCs w:val="20"/>
                <w:color w:val="auto"/>
              </w:rPr>
              <w:t>ACP with respect to the shares of Common Stock directly owned by ACP.</w:t>
            </w:r>
          </w:p>
        </w:tc>
      </w:tr>
      <w:tr>
        <w:trPr>
          <w:trHeight w:val="413"/>
        </w:trPr>
        <w:tc>
          <w:tcPr>
            <w:tcW w:w="1260" w:type="dxa"/>
            <w:vAlign w:val="bottom"/>
          </w:tcPr>
          <w:p>
            <w:pPr>
              <w:spacing w:after="0"/>
              <w:rPr>
                <w:sz w:val="24"/>
                <w:szCs w:val="24"/>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w w:val="9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740" w:type="dxa"/>
            <w:vAlign w:val="bottom"/>
            <w:gridSpan w:val="16"/>
          </w:tcPr>
          <w:p>
            <w:pPr>
              <w:ind w:left="440"/>
              <w:spacing w:after="0" w:line="228" w:lineRule="exact"/>
              <w:rPr>
                <w:sz w:val="20"/>
                <w:szCs w:val="20"/>
                <w:color w:val="auto"/>
              </w:rPr>
            </w:pPr>
            <w:r>
              <w:rPr>
                <w:rFonts w:ascii="Times New Roman" w:cs="Times New Roman" w:eastAsia="Times New Roman" w:hAnsi="Times New Roman"/>
                <w:sz w:val="20"/>
                <w:szCs w:val="20"/>
                <w:color w:val="auto"/>
              </w:rPr>
              <w:t>herein with respect to persons other than the Reporting Persons are made on information and belief after making</w:t>
            </w:r>
          </w:p>
        </w:tc>
      </w:tr>
      <w:tr>
        <w:trPr>
          <w:trHeight w:val="258"/>
        </w:trPr>
        <w:tc>
          <w:tcPr>
            <w:tcW w:w="1260" w:type="dxa"/>
            <w:vAlign w:val="bottom"/>
          </w:tcPr>
          <w:p>
            <w:pPr>
              <w:spacing w:after="0"/>
              <w:rPr>
                <w:sz w:val="22"/>
                <w:szCs w:val="22"/>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inquiry to the appropriate party.</w:t>
            </w:r>
          </w:p>
        </w:tc>
      </w:tr>
      <w:tr>
        <w:trPr>
          <w:trHeight w:val="430"/>
        </w:trPr>
        <w:tc>
          <w:tcPr>
            <w:tcW w:w="1260" w:type="dxa"/>
            <w:vAlign w:val="bottom"/>
          </w:tcPr>
          <w:p>
            <w:pPr>
              <w:spacing w:after="0"/>
              <w:rPr>
                <w:sz w:val="24"/>
                <w:szCs w:val="24"/>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The filing of this statement should not be construed in and of itself as an admission by any Reporting Person as to</w:t>
            </w:r>
          </w:p>
        </w:tc>
      </w:tr>
      <w:tr>
        <w:trPr>
          <w:trHeight w:val="258"/>
        </w:trPr>
        <w:tc>
          <w:tcPr>
            <w:tcW w:w="1260" w:type="dxa"/>
            <w:vAlign w:val="bottom"/>
          </w:tcPr>
          <w:p>
            <w:pPr>
              <w:spacing w:after="0"/>
              <w:rPr>
                <w:sz w:val="22"/>
                <w:szCs w:val="22"/>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beneficial ownership of the securities reported herein.</w:t>
            </w:r>
          </w:p>
        </w:tc>
      </w:tr>
      <w:tr>
        <w:trPr>
          <w:trHeight w:val="430"/>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230"/>
        </w:trPr>
        <w:tc>
          <w:tcPr>
            <w:tcW w:w="1260" w:type="dxa"/>
            <w:vAlign w:val="bottom"/>
          </w:tcPr>
          <w:p>
            <w:pPr>
              <w:spacing w:after="0"/>
              <w:rPr>
                <w:sz w:val="19"/>
                <w:szCs w:val="19"/>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The address of the business office of each of the Reporting Persons is 200 Clarendon Street, 52nd Floor, Boston,</w:t>
            </w:r>
          </w:p>
        </w:tc>
      </w:tr>
      <w:tr>
        <w:trPr>
          <w:trHeight w:val="258"/>
        </w:trPr>
        <w:tc>
          <w:tcPr>
            <w:tcW w:w="1260" w:type="dxa"/>
            <w:vAlign w:val="bottom"/>
          </w:tcPr>
          <w:p>
            <w:pPr>
              <w:spacing w:after="0"/>
              <w:rPr>
                <w:sz w:val="22"/>
                <w:szCs w:val="22"/>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Massachusetts 02116.</w:t>
            </w:r>
          </w:p>
        </w:tc>
      </w:tr>
      <w:tr>
        <w:trPr>
          <w:trHeight w:val="430"/>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230"/>
        </w:trPr>
        <w:tc>
          <w:tcPr>
            <w:tcW w:w="1260" w:type="dxa"/>
            <w:vAlign w:val="bottom"/>
          </w:tcPr>
          <w:p>
            <w:pPr>
              <w:spacing w:after="0"/>
              <w:rPr>
                <w:sz w:val="19"/>
                <w:szCs w:val="19"/>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ACP is a limited partnership organized under the laws of the State of Delaware. ACPGP and ACA are limited</w:t>
            </w:r>
          </w:p>
        </w:tc>
      </w:tr>
      <w:tr>
        <w:trPr>
          <w:trHeight w:val="230"/>
        </w:trPr>
        <w:tc>
          <w:tcPr>
            <w:tcW w:w="1260" w:type="dxa"/>
            <w:vAlign w:val="bottom"/>
          </w:tcPr>
          <w:p>
            <w:pPr>
              <w:spacing w:after="0"/>
              <w:rPr>
                <w:sz w:val="19"/>
                <w:szCs w:val="19"/>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liability companies organized under the laws of the State of Delaware. Messrs. Gross and Atchinson are citizens of</w:t>
            </w:r>
          </w:p>
        </w:tc>
      </w:tr>
      <w:tr>
        <w:trPr>
          <w:trHeight w:val="258"/>
        </w:trPr>
        <w:tc>
          <w:tcPr>
            <w:tcW w:w="1260" w:type="dxa"/>
            <w:vAlign w:val="bottom"/>
          </w:tcPr>
          <w:p>
            <w:pPr>
              <w:spacing w:after="0"/>
              <w:rPr>
                <w:sz w:val="22"/>
                <w:szCs w:val="22"/>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the United States.</w:t>
            </w:r>
          </w:p>
        </w:tc>
      </w:tr>
      <w:tr>
        <w:trPr>
          <w:trHeight w:val="430"/>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12"/>
        </w:trPr>
        <w:tc>
          <w:tcPr>
            <w:tcW w:w="1260" w:type="dxa"/>
            <w:vAlign w:val="bottom"/>
          </w:tcPr>
          <w:p>
            <w:pPr>
              <w:spacing w:after="0"/>
              <w:rPr>
                <w:sz w:val="18"/>
                <w:szCs w:val="18"/>
                <w:color w:val="auto"/>
              </w:rPr>
            </w:pPr>
          </w:p>
        </w:tc>
        <w:tc>
          <w:tcPr>
            <w:tcW w:w="9740" w:type="dxa"/>
            <w:vAlign w:val="bottom"/>
            <w:gridSpan w:val="16"/>
          </w:tcPr>
          <w:p>
            <w:pPr>
              <w:ind w:left="440"/>
              <w:spacing w:after="0" w:line="212" w:lineRule="exact"/>
              <w:rPr>
                <w:sz w:val="20"/>
                <w:szCs w:val="20"/>
                <w:color w:val="auto"/>
              </w:rPr>
            </w:pPr>
            <w:r>
              <w:rPr>
                <w:rFonts w:ascii="Times New Roman" w:cs="Times New Roman" w:eastAsia="Times New Roman" w:hAnsi="Times New Roman"/>
                <w:sz w:val="20"/>
                <w:szCs w:val="20"/>
                <w:color w:val="auto"/>
              </w:rPr>
              <w:t>Common Stock, par value $0.01 (the "Common Stock").</w:t>
            </w: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3480" w:type="dxa"/>
            <w:vAlign w:val="bottom"/>
            <w:gridSpan w:val="8"/>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40" w:type="dxa"/>
            <w:vAlign w:val="bottom"/>
            <w:tcBorders>
              <w:top w:val="single" w:sz="8" w:color="auto"/>
            </w:tcBorders>
            <w:gridSpan w:val="2"/>
          </w:tcPr>
          <w:p>
            <w:pPr>
              <w:spacing w:after="0"/>
              <w:rPr>
                <w:sz w:val="24"/>
                <w:szCs w:val="24"/>
                <w:color w:val="auto"/>
              </w:rPr>
            </w:pPr>
          </w:p>
        </w:tc>
        <w:tc>
          <w:tcPr>
            <w:tcW w:w="5020" w:type="dxa"/>
            <w:vAlign w:val="bottom"/>
            <w:gridSpan w:val="6"/>
          </w:tcPr>
          <w:p>
            <w:pPr>
              <w:spacing w:after="0"/>
              <w:rPr>
                <w:sz w:val="24"/>
                <w:szCs w:val="24"/>
                <w:color w:val="auto"/>
              </w:rPr>
            </w:pPr>
          </w:p>
        </w:tc>
      </w:tr>
      <w:tr>
        <w:trPr>
          <w:trHeight w:val="258"/>
        </w:trPr>
        <w:tc>
          <w:tcPr>
            <w:tcW w:w="1260" w:type="dxa"/>
            <w:vAlign w:val="bottom"/>
          </w:tcPr>
          <w:p>
            <w:pPr>
              <w:spacing w:after="0"/>
              <w:rPr>
                <w:sz w:val="22"/>
                <w:szCs w:val="22"/>
                <w:color w:val="auto"/>
              </w:rPr>
            </w:pPr>
          </w:p>
        </w:tc>
        <w:tc>
          <w:tcPr>
            <w:tcW w:w="974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63845R107</w:t>
            </w:r>
          </w:p>
        </w:tc>
      </w:tr>
    </w:tbl>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8 of 10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800" w:right="100" w:hanging="1687"/>
        <w:spacing w:after="0" w:line="25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Rules 13d-1(b), OR 13d-2(b) OR (c), CHECK WHETHER THE PERSON FILING IS A:</w:t>
      </w:r>
    </w:p>
    <w:p>
      <w:pPr>
        <w:ind w:left="2620" w:hanging="827"/>
        <w:spacing w:after="0" w:line="230" w:lineRule="exact"/>
        <w:tabs>
          <w:tab w:leader="none" w:pos="262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w:t>
      </w:r>
    </w:p>
    <w:p>
      <w:pPr>
        <w:spacing w:after="0" w:line="17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investment adviser in accordance with Rule 13d-1(b)(1)(ii)(E);</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An employee benefit plan or endowment fund in accordance with Rule 13d-1(b)(1)(ii)(F);</w:t>
      </w:r>
    </w:p>
    <w:p>
      <w:pPr>
        <w:spacing w:after="0" w:line="229"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 parent holding company or control person in accordance with Rule 13d-1(b)(1)(ii)(G);</w:t>
      </w:r>
    </w:p>
    <w:p>
      <w:pPr>
        <w:spacing w:after="0" w:line="229"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savings association as defined in Section 3(b) of the Federal Deposit Insurance Act;</w:t>
      </w:r>
    </w:p>
    <w:p>
      <w:pPr>
        <w:spacing w:after="0" w:line="229" w:lineRule="exact"/>
        <w:rPr>
          <w:rFonts w:ascii="Times New Roman" w:cs="Times New Roman" w:eastAsia="Times New Roman" w:hAnsi="Times New Roman"/>
          <w:sz w:val="20"/>
          <w:szCs w:val="20"/>
          <w:color w:val="auto"/>
        </w:rPr>
      </w:pPr>
    </w:p>
    <w:p>
      <w:pPr>
        <w:ind w:left="3140" w:right="160" w:hanging="1347"/>
        <w:spacing w:after="0" w:line="253" w:lineRule="exact"/>
        <w:tabs>
          <w:tab w:leader="none" w:pos="2618"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w:t>
      </w:r>
    </w:p>
    <w:p>
      <w:pPr>
        <w:spacing w:after="0" w:line="184"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4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 xml:space="preserve">If filing as a non-U.S. institution in accordance with Rule 13d-1(b)(1)(ii)(J), please specify the type of institution: </w:t>
      </w:r>
      <w:r>
        <w:rPr>
          <w:rFonts w:ascii="Times New Roman" w:cs="Times New Roman" w:eastAsia="Times New Roman" w:hAnsi="Times New Roman"/>
          <w:sz w:val="20"/>
          <w:szCs w:val="20"/>
          <w:u w:val="single" w:color="auto"/>
          <w:color w:val="auto"/>
        </w:rPr>
        <w:t>Not applicable.</w:t>
      </w:r>
    </w:p>
    <w:p>
      <w:pPr>
        <w:spacing w:after="0" w:line="169"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5" w:lineRule="exact"/>
        <w:rPr>
          <w:sz w:val="20"/>
          <w:szCs w:val="20"/>
          <w:color w:val="auto"/>
        </w:rPr>
      </w:pPr>
    </w:p>
    <w:p>
      <w:pPr>
        <w:ind w:left="1700" w:hanging="792"/>
        <w:spacing w:after="0"/>
        <w:tabs>
          <w:tab w:leader="none" w:pos="17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Adage Capital Partners GP, L.L.C. and Adage Capital Advisors, L.L.C.</w:t>
      </w:r>
    </w:p>
    <w:p>
      <w:pPr>
        <w:ind w:left="2260" w:hanging="556"/>
        <w:spacing w:after="0"/>
        <w:tabs>
          <w:tab w:leader="none" w:pos="22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0</w:t>
      </w:r>
    </w:p>
    <w:p>
      <w:pPr>
        <w:ind w:left="2260" w:hanging="556"/>
        <w:spacing w:after="0"/>
        <w:tabs>
          <w:tab w:leader="none" w:pos="22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0%</w:t>
      </w:r>
    </w:p>
    <w:p>
      <w:pPr>
        <w:ind w:left="2260" w:hanging="556"/>
        <w:spacing w:after="0"/>
        <w:tabs>
          <w:tab w:leader="none" w:pos="22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2920" w:hanging="662"/>
        <w:spacing w:after="0"/>
        <w:tabs>
          <w:tab w:leader="none" w:pos="292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0</w:t>
      </w:r>
    </w:p>
    <w:p>
      <w:pPr>
        <w:ind w:left="2920" w:hanging="662"/>
        <w:spacing w:after="0"/>
        <w:tabs>
          <w:tab w:leader="none" w:pos="292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2920" w:hanging="662"/>
        <w:spacing w:after="0"/>
        <w:tabs>
          <w:tab w:leader="none" w:pos="292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0</w:t>
      </w:r>
    </w:p>
    <w:p>
      <w:pPr>
        <w:spacing w:after="0" w:line="207" w:lineRule="exact"/>
        <w:rPr>
          <w:sz w:val="20"/>
          <w:szCs w:val="20"/>
          <w:color w:val="auto"/>
        </w:rPr>
      </w:pPr>
    </w:p>
    <w:p>
      <w:pPr>
        <w:ind w:left="120" w:right="260"/>
        <w:spacing w:after="0" w:line="249" w:lineRule="auto"/>
        <w:rPr>
          <w:sz w:val="20"/>
          <w:szCs w:val="20"/>
          <w:color w:val="auto"/>
        </w:rPr>
      </w:pPr>
      <w:r>
        <w:rPr>
          <w:rFonts w:ascii="Times New Roman" w:cs="Times New Roman" w:eastAsia="Times New Roman" w:hAnsi="Times New Roman"/>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Act, ACPGP and ACA may be deemed to beneficially own the shares owned by ACP.</w:t>
      </w:r>
    </w:p>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9 of 10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700" w:hanging="792"/>
        <w:spacing w:after="0"/>
        <w:tabs>
          <w:tab w:leader="none" w:pos="17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Robert Atchinson and Phillip Gross</w:t>
      </w:r>
    </w:p>
    <w:p>
      <w:pPr>
        <w:spacing w:after="0" w:line="21" w:lineRule="exact"/>
        <w:rPr>
          <w:rFonts w:ascii="Times New Roman" w:cs="Times New Roman" w:eastAsia="Times New Roman" w:hAnsi="Times New Roman"/>
          <w:sz w:val="20"/>
          <w:szCs w:val="20"/>
          <w:color w:val="auto"/>
        </w:rPr>
      </w:pPr>
    </w:p>
    <w:p>
      <w:pPr>
        <w:ind w:left="2260" w:hanging="556"/>
        <w:spacing w:after="0"/>
        <w:tabs>
          <w:tab w:leader="none" w:pos="226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0</w:t>
      </w:r>
    </w:p>
    <w:p>
      <w:pPr>
        <w:ind w:left="2260" w:hanging="556"/>
        <w:spacing w:after="0"/>
        <w:tabs>
          <w:tab w:leader="none" w:pos="226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0%</w:t>
      </w:r>
    </w:p>
    <w:p>
      <w:pPr>
        <w:ind w:left="2260" w:hanging="556"/>
        <w:spacing w:after="0"/>
        <w:tabs>
          <w:tab w:leader="none" w:pos="226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2920" w:hanging="668"/>
        <w:spacing w:after="0"/>
        <w:tabs>
          <w:tab w:leader="none" w:pos="292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0</w:t>
      </w:r>
    </w:p>
    <w:p>
      <w:pPr>
        <w:ind w:left="2920" w:hanging="668"/>
        <w:spacing w:after="0"/>
        <w:tabs>
          <w:tab w:leader="none" w:pos="292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2920" w:hanging="668"/>
        <w:spacing w:after="0"/>
        <w:tabs>
          <w:tab w:leader="none" w:pos="292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0</w:t>
      </w:r>
    </w:p>
    <w:p>
      <w:pPr>
        <w:spacing w:after="0" w:line="207" w:lineRule="exact"/>
        <w:rPr>
          <w:sz w:val="20"/>
          <w:szCs w:val="20"/>
          <w:color w:val="auto"/>
        </w:rPr>
      </w:pPr>
    </w:p>
    <w:p>
      <w:pPr>
        <w:jc w:val="both"/>
        <w:ind w:left="120" w:right="140"/>
        <w:spacing w:after="0" w:line="254" w:lineRule="auto"/>
        <w:rPr>
          <w:sz w:val="20"/>
          <w:szCs w:val="20"/>
          <w:color w:val="auto"/>
        </w:rPr>
      </w:pPr>
      <w:r>
        <w:rPr>
          <w:rFonts w:ascii="Times New Roman" w:cs="Times New Roman" w:eastAsia="Times New Roman" w:hAnsi="Times New Roman"/>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184"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6" w:lineRule="exact"/>
        <w:rPr>
          <w:sz w:val="20"/>
          <w:szCs w:val="20"/>
          <w:color w:val="auto"/>
        </w:rPr>
      </w:pPr>
    </w:p>
    <w:p>
      <w:pPr>
        <w:ind w:left="1700" w:right="560"/>
        <w:spacing w:after="0" w:line="245"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5 percent of the class of securities, check the following: </w:t>
      </w:r>
      <w:r>
        <w:rPr>
          <w:rFonts w:ascii="Arial" w:cs="Arial" w:eastAsia="Arial" w:hAnsi="Arial"/>
          <w:sz w:val="20"/>
          <w:szCs w:val="20"/>
          <w:b w:val="1"/>
          <w:bCs w:val="1"/>
          <w:color w:val="auto"/>
        </w:rPr>
        <w:t>ý</w:t>
      </w:r>
    </w:p>
    <w:p>
      <w:pPr>
        <w:spacing w:after="0" w:line="192"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right="28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SECURITY BEING REPORTED ON BY THE PARENT HOLDING COMPANY OR CONTROL PERSON </w:t>
      </w:r>
      <w:r>
        <w:rPr>
          <w:rFonts w:ascii="Times New Roman" w:cs="Times New Roman" w:eastAsia="Times New Roman" w:hAnsi="Times New Roman"/>
          <w:sz w:val="20"/>
          <w:szCs w:val="20"/>
          <w:color w:val="auto"/>
        </w:rPr>
        <w:t>Not applicable.</w:t>
      </w:r>
    </w:p>
    <w:p>
      <w:pPr>
        <w:spacing w:after="0" w:line="191"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07"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tabs>
          <w:tab w:leader="none" w:pos="536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10 of 10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9,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GP,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ý"/>
      <w:numFmt w:val="bullet"/>
      <w:start w:val="1"/>
    </w:lvl>
    <w:lvl w:ilvl="1">
      <w:lvlJc w:val="left"/>
      <w:lvlText w:val="☐"/>
      <w:numFmt w:val="bullet"/>
      <w:start w:val="1"/>
    </w:lvl>
  </w:abstractNum>
  <w:abstractNum w:abstractNumId="1">
    <w:nsid w:val="3352255A"/>
    <w:multiLevelType w:val="hybridMultilevel"/>
    <w:lvl w:ilvl="0">
      <w:lvlJc w:val="left"/>
      <w:lvlText w:val="2"/>
      <w:numFmt w:val="bullet"/>
      <w:start w:val="1"/>
    </w:lvl>
  </w:abstractNum>
  <w:abstractNum w:abstractNumId="2">
    <w:nsid w:val="109CF92E"/>
    <w:multiLevelType w:val="hybridMultilevel"/>
    <w:lvl w:ilvl="0">
      <w:lvlJc w:val="left"/>
      <w:lvlText w:val="3"/>
      <w:numFmt w:val="bullet"/>
      <w:start w:val="1"/>
    </w:lvl>
  </w:abstractNum>
  <w:abstractNum w:abstractNumId="3">
    <w:nsid w:val="DED7263"/>
    <w:multiLevelType w:val="hybridMultilevel"/>
    <w:lvl w:ilvl="0">
      <w:lvlJc w:val="left"/>
      <w:lvlText w:val="9"/>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2"/>
      <w:numFmt w:val="bullet"/>
      <w:start w:val="1"/>
    </w:lvl>
  </w:abstractNum>
  <w:abstractNum w:abstractNumId="6">
    <w:nsid w:val="41A7C4C9"/>
    <w:multiLevelType w:val="hybridMultilevel"/>
    <w:lvl w:ilvl="0">
      <w:lvlJc w:val="left"/>
      <w:lvlText w:val="3"/>
      <w:numFmt w:val="bullet"/>
      <w:start w:val="1"/>
    </w:lvl>
  </w:abstractNum>
  <w:abstractNum w:abstractNumId="7">
    <w:nsid w:val="6B68079A"/>
    <w:multiLevelType w:val="hybridMultilevel"/>
    <w:lvl w:ilvl="0">
      <w:lvlJc w:val="left"/>
      <w:lvlText w:val="9"/>
      <w:numFmt w:val="bullet"/>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2"/>
      <w:numFmt w:val="bullet"/>
      <w:start w:val="1"/>
    </w:lvl>
  </w:abstractNum>
  <w:abstractNum w:abstractNumId="10">
    <w:nsid w:val="519B500D"/>
    <w:multiLevelType w:val="hybridMultilevel"/>
    <w:lvl w:ilvl="0">
      <w:lvlJc w:val="left"/>
      <w:lvlText w:val="3"/>
      <w:numFmt w:val="bullet"/>
      <w:start w:val="1"/>
    </w:lvl>
  </w:abstractNum>
  <w:abstractNum w:abstractNumId="11">
    <w:nsid w:val="431BD7B7"/>
    <w:multiLevelType w:val="hybridMultilevel"/>
    <w:lvl w:ilvl="0">
      <w:lvlJc w:val="left"/>
      <w:lvlText w:val="9"/>
      <w:numFmt w:val="bullet"/>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2"/>
      <w:numFmt w:val="bullet"/>
      <w:start w:val="1"/>
    </w:lvl>
  </w:abstractNum>
  <w:abstractNum w:abstractNumId="14">
    <w:nsid w:val="257130A3"/>
    <w:multiLevelType w:val="hybridMultilevel"/>
    <w:lvl w:ilvl="0">
      <w:lvlJc w:val="left"/>
      <w:lvlText w:val="3"/>
      <w:numFmt w:val="bullet"/>
      <w:start w:val="1"/>
    </w:lvl>
  </w:abstractNum>
  <w:abstractNum w:abstractNumId="15">
    <w:nsid w:val="62BBD95A"/>
    <w:multiLevelType w:val="hybridMultilevel"/>
    <w:lvl w:ilvl="0">
      <w:lvlJc w:val="left"/>
      <w:lvlText w:val="9"/>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2"/>
      <w:numFmt w:val="bullet"/>
      <w:start w:val="1"/>
    </w:lvl>
  </w:abstractNum>
  <w:abstractNum w:abstractNumId="18">
    <w:nsid w:val="333AB105"/>
    <w:multiLevelType w:val="hybridMultilevel"/>
    <w:lvl w:ilvl="0">
      <w:lvlJc w:val="left"/>
      <w:lvlText w:val="3"/>
      <w:numFmt w:val="bullet"/>
      <w:start w:val="1"/>
    </w:lvl>
  </w:abstractNum>
  <w:abstractNum w:abstractNumId="19">
    <w:nsid w:val="721DA317"/>
    <w:multiLevelType w:val="hybridMultilevel"/>
    <w:lvl w:ilvl="0">
      <w:lvlJc w:val="left"/>
      <w:lvlText w:val="9"/>
      <w:numFmt w:val="bullet"/>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3">
    <w:nsid w:val="75A2A8D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2023-02-09T10:58:22Z</dcterms:created>
  <dcterms:modified xsi:type="dcterms:W3CDTF">2023-02-09T10:58:22Z</dcterms:modified>
</cp:coreProperties>
</file>