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08460096986.xml.htm"/>
      <w:bookmarkStart w:id="1" w:name="kswfform4_164608460096986"/>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Moore Patrick 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NATIONAL VISION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2435 COMMERCE AVENUE, BLDG. 2200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DULUTH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30096-4980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highlight w:val="white"/>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13,205</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21,966</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6,041</w:t>
            </w:r>
            <w:r>
              <w:rPr>
                <w:rFonts w:ascii="Times;serif" w:hAnsi="Times;serif"/>
                <w:color w:val="008000"/>
                <w:position w:val="7"/>
                <w:sz w:val="16"/>
                <w:sz w:val="20"/>
                <w:highlight w:val="white"/>
              </w:rPr>
              <w:t>(3)</w:t>
            </w:r>
            <w:r>
              <w:rPr/>
              <w:t xml:space="preserve"> </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36.64</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15,925</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earned by the reporting person pursuant to certain performance restricted stock units (the "PSUs"), which were granted to the reporting person on March 1, 2019. The PSUs were earned based on the attainment of certain performance metrics, which performance metrics were certified by the Compensation Committee of the Board of Directors of the Company on February 24,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restricted stock unit represents a right to receive one share of the Company's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February 24, 2022, 13,205 PSUs vested and 6,041 shares of the Company's common stock were withheld to satisfy tax withholding obligations. The closing price on February 24, 2022 of the Company's common stock on NASDAQ was $36.64 per share.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Jared Brandman,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19844"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657</Words>
  <CharactersWithSpaces>4161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