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5"/>
        <w:spacing w:before="120" w:after="60"/>
        <w:jc w:val="left"/>
        <w:rPr/>
      </w:pPr>
      <w:bookmarkStart w:id="0" w:name="b56847abe15v12b.htm"/>
      <w:bookmarkStart w:id="1" w:name="ksb56847abe15v12b"/>
      <w:bookmarkEnd w:id="0"/>
      <w:bookmarkEnd w:id="1"/>
      <w:r>
        <w:rPr/>
        <w:t> </w:t>
      </w:r>
    </w:p>
    <w:p>
      <w:pPr>
        <w:pStyle w:val="TextBody"/>
        <w:spacing w:before="0" w:after="0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spacing w:before="0" w:after="0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23"/>
        </w:rPr>
      </w:pPr>
      <w:r>
        <w:rPr>
          <w:rFonts w:ascii="Times New Roman;Times;serif" w:hAnsi="Times New Roman;Times;serif"/>
          <w:b/>
          <w:sz w:val="23"/>
        </w:rPr>
        <w:t>SECURITIES AND EXCHANGE COMMISSION</w:t>
      </w:r>
      <w:r>
        <w:rPr>
          <w:rFonts w:ascii="Times New Roman;Times;serif" w:hAnsi="Times New Roman;Times;serif"/>
          <w:sz w:val="23"/>
        </w:rPr>
        <w:t xml:space="preserve"> </w:t>
      </w:r>
    </w:p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sz w:val="20"/>
        </w:rPr>
        <w:t xml:space="preserve">Washington, D.C. 20549 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30"/>
        </w:rPr>
      </w:pPr>
      <w:r>
        <w:rPr>
          <w:rFonts w:ascii="Times New Roman;Times;serif" w:hAnsi="Times New Roman;Times;serif"/>
          <w:b/>
          <w:sz w:val="30"/>
        </w:rPr>
        <w:t>FORM 15</w:t>
      </w:r>
      <w:r>
        <w:rPr>
          <w:rFonts w:ascii="Times New Roman;Times;serif" w:hAnsi="Times New Roman;Times;serif"/>
          <w:sz w:val="30"/>
        </w:rPr>
        <w:t xml:space="preserve"> </w:t>
      </w:r>
    </w:p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Certification and Notice of Termination of Registration under Section 12(g) of the</w:t>
        <w:br/>
        <w:t>Securities Exchange Act of 1934 or Suspension of Duty to File Reports</w:t>
        <w:br/>
        <w:t xml:space="preserve">Under Sections 13 and 15(d) of the Securities Exchange Act of 1934. </w:t>
      </w:r>
    </w:p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Commission File Number: </w:t>
      </w:r>
      <w:r>
        <w:rPr>
          <w:rFonts w:ascii="Times New Roman;Times;serif" w:hAnsi="Times New Roman;Times;serif"/>
          <w:sz w:val="17"/>
          <w:u w:val="single"/>
        </w:rPr>
        <w:t>001-16635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40"/>
        </w:rPr>
      </w:pPr>
      <w:r>
        <w:rPr>
          <w:rFonts w:ascii="Times New Roman;Times;serif" w:hAnsi="Times New Roman;Times;serif"/>
          <w:b/>
          <w:sz w:val="40"/>
        </w:rPr>
        <w:t>National Vision, Inc.</w:t>
      </w:r>
      <w:r>
        <w:rPr>
          <w:rFonts w:ascii="Times New Roman;Times;serif" w:hAnsi="Times New Roman;Times;serif"/>
          <w:sz w:val="40"/>
        </w:rPr>
        <w:t xml:space="preserve"> </w:t>
      </w:r>
    </w:p>
    <w:p>
      <w:pPr>
        <w:pStyle w:val="TextBody"/>
        <w:spacing w:before="20" w:after="283"/>
        <w:jc w:val="center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3"/>
        </w:rPr>
      </w:pPr>
      <w:r>
        <w:rPr>
          <w:rFonts w:ascii="Times New Roman;Times;serif" w:hAnsi="Times New Roman;Times;serif"/>
          <w:sz w:val="13"/>
        </w:rPr>
        <w:t>(Exact name of registrant as specified in its charter)</w:t>
      </w:r>
    </w:p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296 Grayson Highway, Lawrenceville, Georgia 30045 (770) 822-3600 </w:t>
      </w:r>
    </w:p>
    <w:p>
      <w:pPr>
        <w:pStyle w:val="TextBody"/>
        <w:spacing w:before="0" w:after="0"/>
        <w:jc w:val="center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3"/>
        </w:rPr>
      </w:pPr>
      <w:r>
        <w:rPr>
          <w:rFonts w:ascii="Times New Roman;Times;serif" w:hAnsi="Times New Roman;Times;serif"/>
          <w:sz w:val="13"/>
        </w:rPr>
        <w:t>(Address, including zip code, and telephone number, including area code, of registrants principal executive offices)</w:t>
      </w:r>
    </w:p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  <w:u w:val="single"/>
        </w:rPr>
        <w:t>Common Stock, $0.01 Par Value Per Share, with attached Common Stock Purchase Rights</w:t>
      </w:r>
      <w:r>
        <w:rPr>
          <w:rFonts w:ascii="Times New Roman;Times;serif" w:hAnsi="Times New Roman;Times;serif"/>
          <w:sz w:val="17"/>
        </w:rPr>
        <w:br/>
      </w:r>
      <w:r>
        <w:rPr>
          <w:rFonts w:ascii="Times New Roman;Times;serif" w:hAnsi="Times New Roman;Times;serif"/>
          <w:sz w:val="17"/>
          <w:u w:val="single"/>
        </w:rPr>
        <w:t>12% Senior Secured Notes due 2009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3"/>
        </w:rPr>
      </w:pPr>
      <w:r>
        <w:rPr>
          <w:rFonts w:ascii="Times New Roman;Times;serif" w:hAnsi="Times New Roman;Times;serif"/>
          <w:sz w:val="13"/>
        </w:rPr>
        <w:t xml:space="preserve">(Title of each class of securities covered by this Form) </w:t>
      </w:r>
    </w:p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None </w:t>
      </w:r>
    </w:p>
    <w:p>
      <w:pPr>
        <w:pStyle w:val="TextBody"/>
        <w:spacing w:before="20" w:after="283"/>
        <w:jc w:val="center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3"/>
        </w:rPr>
      </w:pPr>
      <w:r>
        <w:rPr>
          <w:rFonts w:ascii="Times New Roman;Times;serif" w:hAnsi="Times New Roman;Times;serif"/>
          <w:sz w:val="13"/>
        </w:rPr>
        <w:t>(Titles of all other classes of securities for which a duty to file reports under Section 13(a) or 15(d) remains)</w:t>
      </w:r>
    </w:p>
    <w:p>
      <w:pPr>
        <w:pStyle w:val="TextBody"/>
        <w:spacing w:before="200" w:after="283"/>
        <w:jc w:val="left"/>
        <w:rPr/>
      </w:pPr>
      <w:r>
        <w:rPr/>
        <w:t>     </w:t>
      </w:r>
      <w:r>
        <w:rPr>
          <w:rFonts w:ascii="Times New Roman;Times;serif" w:hAnsi="Times New Roman;Times;serif"/>
          <w:sz w:val="17"/>
        </w:rPr>
        <w:t xml:space="preserve">Please place an X in the box(es) to designate the appropriate rule provision(s) relied upon to terminate or suspend the duty to file reports: </w:t>
      </w:r>
    </w:p>
    <w:p>
      <w:pPr>
        <w:pStyle w:val="TextBody"/>
        <w:spacing w:before="0" w:after="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175000" cy="1960245"/>
                <wp:effectExtent l="0" t="0" r="0" b="0"/>
                <wp:wrapTopAndBottom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196024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1750" w:type="pct"/>
                              <w:jc w:val="center"/>
                              <w:tblInd w:w="0" w:type="dxa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1541"/>
                              <w:gridCol w:w="86"/>
                              <w:gridCol w:w="123"/>
                            </w:tblGrid>
                            <w:tr>
                              <w:trPr/>
                              <w:tc>
                                <w:tcPr>
                                  <w:tcW w:w="1541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8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54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0"/>
                                    <w:ind w:left="0" w:right="0" w:hanging="0"/>
                                    <w:rPr/>
                                  </w:pPr>
                                  <w:r>
                                    <w:rPr/>
                                    <w:t xml:space="preserve">Rule 12g-4(a)(1)(i) </w:t>
                                  </w:r>
                                </w:p>
                              </w:tc>
                              <w:tc>
                                <w:tcPr>
                                  <w:tcW w:w="8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3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jc w:val="left"/>
                                    <w:rPr>
                                      <w:rFonts w:ascii="Wingdings" w:hAnsi="Wingdings"/>
                                    </w:rPr>
                                  </w:pPr>
                                  <w:r>
                                    <w:rPr>
                                      <w:rFonts w:ascii="Wingdings" w:hAnsi="Wingdings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54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0"/>
                                    <w:ind w:left="0" w:right="0" w:hanging="0"/>
                                    <w:rPr/>
                                  </w:pPr>
                                  <w:r>
                                    <w:rPr/>
                                    <w:t xml:space="preserve">Rule 12g-4(a)(1)(ii) </w:t>
                                  </w:r>
                                </w:p>
                              </w:tc>
                              <w:tc>
                                <w:tcPr>
                                  <w:tcW w:w="8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3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jc w:val="left"/>
                                    <w:rPr>
                                      <w:rFonts w:ascii="Wingdings" w:hAnsi="Wingdings"/>
                                    </w:rPr>
                                  </w:pPr>
                                  <w:r>
                                    <w:rPr>
                                      <w:rFonts w:ascii="Wingdings" w:hAnsi="Wingdings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54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0"/>
                                    <w:ind w:left="0" w:right="0" w:hanging="0"/>
                                    <w:rPr/>
                                  </w:pPr>
                                  <w:r>
                                    <w:rPr/>
                                    <w:t xml:space="preserve">Rule 12g-4(a)(2)(i) </w:t>
                                  </w:r>
                                </w:p>
                              </w:tc>
                              <w:tc>
                                <w:tcPr>
                                  <w:tcW w:w="8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3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jc w:val="left"/>
                                    <w:rPr>
                                      <w:rFonts w:ascii="Wingdings" w:hAnsi="Wingdings"/>
                                    </w:rPr>
                                  </w:pPr>
                                  <w:r>
                                    <w:rPr>
                                      <w:rFonts w:ascii="Wingdings" w:hAnsi="Wingdings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541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0"/>
                                    <w:ind w:left="0" w:right="0" w:hanging="0"/>
                                    <w:rPr/>
                                  </w:pPr>
                                  <w:r>
                                    <w:rPr/>
                                    <w:t xml:space="preserve">Rule 12g-4(a)(2)(ii) </w:t>
                                  </w:r>
                                </w:p>
                              </w:tc>
                              <w:tc>
                                <w:tcPr>
                                  <w:tcW w:w="86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3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jc w:val="left"/>
                                    <w:rPr>
                                      <w:rFonts w:ascii="Wingdings" w:hAnsi="Wingdings"/>
                                    </w:rPr>
                                  </w:pPr>
                                  <w:r>
                                    <w:rPr>
                                      <w:rFonts w:ascii="Wingdings" w:hAnsi="Wingdings"/>
                                    </w:rPr>
                                    <w:t>o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49000</wp14:pctWidth>
                </wp14:sizeRelH>
              </wp:anchor>
            </w:drawing>
          </mc:Choice>
          <mc:Fallback>
            <w:pict>
              <v:rect style="position:absolute;rotation:0;width:250pt;height:154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tbl>
                      <w:tblPr>
                        <w:tblW w:w="1750" w:type="pct"/>
                        <w:jc w:val="center"/>
                        <w:tblInd w:w="0" w:type="dxa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1541"/>
                        <w:gridCol w:w="86"/>
                        <w:gridCol w:w="123"/>
                      </w:tblGrid>
                      <w:tr>
                        <w:trPr/>
                        <w:tc>
                          <w:tcPr>
                            <w:tcW w:w="1541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  <w:tc>
                          <w:tcPr>
                            <w:tcW w:w="8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  <w:tc>
                          <w:tcPr>
                            <w:tcW w:w="12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54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0"/>
                              <w:ind w:left="0" w:right="0" w:hanging="0"/>
                              <w:rPr/>
                            </w:pPr>
                            <w:r>
                              <w:rPr/>
                              <w:t xml:space="preserve">Rule 12g-4(a)(1)(i) </w:t>
                            </w:r>
                          </w:p>
                        </w:tc>
                        <w:tc>
                          <w:tcPr>
                            <w:tcW w:w="8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  <w:tc>
                          <w:tcPr>
                            <w:tcW w:w="123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283"/>
                              <w:jc w:val="left"/>
                              <w:rPr>
                                <w:rFonts w:ascii="Wingdings" w:hAnsi="Wingdings"/>
                              </w:rPr>
                            </w:pPr>
                            <w:r>
                              <w:rPr>
                                <w:rFonts w:ascii="Wingdings" w:hAnsi="Wingdings"/>
                              </w:rPr>
                              <w:t>o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54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0"/>
                              <w:ind w:left="0" w:right="0" w:hanging="0"/>
                              <w:rPr/>
                            </w:pPr>
                            <w:r>
                              <w:rPr/>
                              <w:t xml:space="preserve">Rule 12g-4(a)(1)(ii) </w:t>
                            </w:r>
                          </w:p>
                        </w:tc>
                        <w:tc>
                          <w:tcPr>
                            <w:tcW w:w="8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  <w:tc>
                          <w:tcPr>
                            <w:tcW w:w="123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283"/>
                              <w:jc w:val="left"/>
                              <w:rPr>
                                <w:rFonts w:ascii="Wingdings" w:hAnsi="Wingdings"/>
                              </w:rPr>
                            </w:pPr>
                            <w:r>
                              <w:rPr>
                                <w:rFonts w:ascii="Wingdings" w:hAnsi="Wingdings"/>
                              </w:rPr>
                              <w:t>o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54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0"/>
                              <w:ind w:left="0" w:right="0" w:hanging="0"/>
                              <w:rPr/>
                            </w:pPr>
                            <w:r>
                              <w:rPr/>
                              <w:t xml:space="preserve">Rule 12g-4(a)(2)(i) </w:t>
                            </w:r>
                          </w:p>
                        </w:tc>
                        <w:tc>
                          <w:tcPr>
                            <w:tcW w:w="8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  <w:tc>
                          <w:tcPr>
                            <w:tcW w:w="123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283"/>
                              <w:jc w:val="left"/>
                              <w:rPr>
                                <w:rFonts w:ascii="Wingdings" w:hAnsi="Wingdings"/>
                              </w:rPr>
                            </w:pPr>
                            <w:r>
                              <w:rPr>
                                <w:rFonts w:ascii="Wingdings" w:hAnsi="Wingdings"/>
                              </w:rPr>
                              <w:t>o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541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0"/>
                              <w:ind w:left="0" w:right="0" w:hanging="0"/>
                              <w:rPr/>
                            </w:pPr>
                            <w:r>
                              <w:rPr/>
                              <w:t xml:space="preserve">Rule 12g-4(a)(2)(ii) </w:t>
                            </w:r>
                          </w:p>
                        </w:tc>
                        <w:tc>
                          <w:tcPr>
                            <w:tcW w:w="86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  <w:tc>
                          <w:tcPr>
                            <w:tcW w:w="123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283"/>
                              <w:jc w:val="left"/>
                              <w:rPr>
                                <w:rFonts w:ascii="Wingdings" w:hAnsi="Wingdings"/>
                              </w:rPr>
                            </w:pPr>
                            <w:r>
                              <w:rPr>
                                <w:rFonts w:ascii="Wingdings" w:hAnsi="Wingdings"/>
                              </w:rPr>
                              <w:t>o</w:t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align>right</wp:align>
                </wp:positionH>
                <wp:positionV relativeFrom="line">
                  <wp:posOffset>635</wp:posOffset>
                </wp:positionV>
                <wp:extent cx="3175000" cy="2315210"/>
                <wp:effectExtent l="0" t="0" r="0" b="0"/>
                <wp:wrapTopAndBottom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231521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1750" w:type="pct"/>
                              <w:jc w:val="center"/>
                              <w:tblInd w:w="0" w:type="dxa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1540"/>
                              <w:gridCol w:w="87"/>
                              <w:gridCol w:w="123"/>
                            </w:tblGrid>
                            <w:tr>
                              <w:trPr/>
                              <w:tc>
                                <w:tcPr>
                                  <w:tcW w:w="1540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87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3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540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0"/>
                                    <w:ind w:left="0" w:right="0" w:hanging="0"/>
                                    <w:rPr/>
                                  </w:pPr>
                                  <w:r>
                                    <w:rPr/>
                                    <w:t xml:space="preserve">Rule 12h-3(b)(1)(i) </w:t>
                                  </w:r>
                                </w:p>
                              </w:tc>
                              <w:tc>
                                <w:tcPr>
                                  <w:tcW w:w="87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3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jc w:val="left"/>
                                    <w:rPr/>
                                  </w:pPr>
                                  <w:r>
                                    <w:rPr/>
                                    <w:t>☑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540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0"/>
                                    <w:ind w:left="0" w:right="0" w:hanging="0"/>
                                    <w:rPr/>
                                  </w:pPr>
                                  <w:r>
                                    <w:rPr/>
                                    <w:t xml:space="preserve">Rule 12h-3(b)(1)(ii) </w:t>
                                  </w:r>
                                </w:p>
                              </w:tc>
                              <w:tc>
                                <w:tcPr>
                                  <w:tcW w:w="87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3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jc w:val="left"/>
                                    <w:rPr>
                                      <w:rFonts w:ascii="Wingdings" w:hAnsi="Wingdings"/>
                                    </w:rPr>
                                  </w:pPr>
                                  <w:r>
                                    <w:rPr>
                                      <w:rFonts w:ascii="Wingdings" w:hAnsi="Wingdings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540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0"/>
                                    <w:ind w:left="0" w:right="0" w:hanging="0"/>
                                    <w:rPr/>
                                  </w:pPr>
                                  <w:r>
                                    <w:rPr/>
                                    <w:t xml:space="preserve">Rule 12h-3(b)(2)(i) </w:t>
                                  </w:r>
                                </w:p>
                              </w:tc>
                              <w:tc>
                                <w:tcPr>
                                  <w:tcW w:w="87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3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jc w:val="left"/>
                                    <w:rPr>
                                      <w:rFonts w:ascii="Wingdings" w:hAnsi="Wingdings"/>
                                    </w:rPr>
                                  </w:pPr>
                                  <w:r>
                                    <w:rPr>
                                      <w:rFonts w:ascii="Wingdings" w:hAnsi="Wingdings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540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0"/>
                                    <w:ind w:left="0" w:right="0" w:hanging="0"/>
                                    <w:rPr/>
                                  </w:pPr>
                                  <w:r>
                                    <w:rPr/>
                                    <w:t xml:space="preserve">Rule 12h-3(b)(2)(ii) </w:t>
                                  </w:r>
                                </w:p>
                              </w:tc>
                              <w:tc>
                                <w:tcPr>
                                  <w:tcW w:w="87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3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jc w:val="left"/>
                                    <w:rPr>
                                      <w:rFonts w:ascii="Wingdings" w:hAnsi="Wingdings"/>
                                    </w:rPr>
                                  </w:pPr>
                                  <w:r>
                                    <w:rPr>
                                      <w:rFonts w:ascii="Wingdings" w:hAnsi="Wingdings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540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0"/>
                                    <w:ind w:left="0" w:right="0" w:hanging="0"/>
                                    <w:rPr/>
                                  </w:pPr>
                                  <w:r>
                                    <w:rPr/>
                                    <w:t xml:space="preserve">Rule 15d-6 </w:t>
                                  </w:r>
                                </w:p>
                              </w:tc>
                              <w:tc>
                                <w:tcPr>
                                  <w:tcW w:w="87" w:type="dxa"/>
                                  <w:tcBorders/>
                                  <w:shd w:fill="auto" w:val="clear"/>
                                  <w:vAlign w:val="bottom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3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jc w:val="left"/>
                                    <w:rPr>
                                      <w:rFonts w:ascii="Wingdings" w:hAnsi="Wingdings"/>
                                    </w:rPr>
                                  </w:pPr>
                                  <w:r>
                                    <w:rPr>
                                      <w:rFonts w:ascii="Wingdings" w:hAnsi="Wingdings"/>
                                    </w:rPr>
                                    <w:t>o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49000</wp14:pctWidth>
                </wp14:sizeRelH>
              </wp:anchor>
            </w:drawing>
          </mc:Choice>
          <mc:Fallback>
            <w:pict>
              <v:rect style="position:absolute;rotation:0;width:250pt;height:182.3pt;mso-wrap-distance-left:0pt;mso-wrap-distance-right:0pt;mso-wrap-distance-top:0pt;mso-wrap-distance-bottom:0pt;margin-top:0pt;mso-position-vertical:top;mso-position-vertical-relative:text;margin-left:260.25pt;mso-position-horizontal:right;mso-position-horizontal-relative:text">
                <v:textbox>
                  <w:txbxContent>
                    <w:tbl>
                      <w:tblPr>
                        <w:tblW w:w="1750" w:type="pct"/>
                        <w:jc w:val="center"/>
                        <w:tblInd w:w="0" w:type="dxa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1540"/>
                        <w:gridCol w:w="87"/>
                        <w:gridCol w:w="123"/>
                      </w:tblGrid>
                      <w:tr>
                        <w:trPr/>
                        <w:tc>
                          <w:tcPr>
                            <w:tcW w:w="1540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  <w:tc>
                          <w:tcPr>
                            <w:tcW w:w="87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  <w:tc>
                          <w:tcPr>
                            <w:tcW w:w="123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540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0"/>
                              <w:ind w:left="0" w:right="0" w:hanging="0"/>
                              <w:rPr/>
                            </w:pPr>
                            <w:r>
                              <w:rPr/>
                              <w:t xml:space="preserve">Rule 12h-3(b)(1)(i) </w:t>
                            </w:r>
                          </w:p>
                        </w:tc>
                        <w:tc>
                          <w:tcPr>
                            <w:tcW w:w="87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  <w:tc>
                          <w:tcPr>
                            <w:tcW w:w="123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☑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540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0"/>
                              <w:ind w:left="0" w:right="0" w:hanging="0"/>
                              <w:rPr/>
                            </w:pPr>
                            <w:r>
                              <w:rPr/>
                              <w:t xml:space="preserve">Rule 12h-3(b)(1)(ii) </w:t>
                            </w:r>
                          </w:p>
                        </w:tc>
                        <w:tc>
                          <w:tcPr>
                            <w:tcW w:w="87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  <w:tc>
                          <w:tcPr>
                            <w:tcW w:w="123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283"/>
                              <w:jc w:val="left"/>
                              <w:rPr>
                                <w:rFonts w:ascii="Wingdings" w:hAnsi="Wingdings"/>
                              </w:rPr>
                            </w:pPr>
                            <w:r>
                              <w:rPr>
                                <w:rFonts w:ascii="Wingdings" w:hAnsi="Wingdings"/>
                              </w:rPr>
                              <w:t>o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540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0"/>
                              <w:ind w:left="0" w:right="0" w:hanging="0"/>
                              <w:rPr/>
                            </w:pPr>
                            <w:r>
                              <w:rPr/>
                              <w:t xml:space="preserve">Rule 12h-3(b)(2)(i) </w:t>
                            </w:r>
                          </w:p>
                        </w:tc>
                        <w:tc>
                          <w:tcPr>
                            <w:tcW w:w="87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  <w:tc>
                          <w:tcPr>
                            <w:tcW w:w="123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283"/>
                              <w:jc w:val="left"/>
                              <w:rPr>
                                <w:rFonts w:ascii="Wingdings" w:hAnsi="Wingdings"/>
                              </w:rPr>
                            </w:pPr>
                            <w:r>
                              <w:rPr>
                                <w:rFonts w:ascii="Wingdings" w:hAnsi="Wingdings"/>
                              </w:rPr>
                              <w:t>o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540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0"/>
                              <w:ind w:left="0" w:right="0" w:hanging="0"/>
                              <w:rPr/>
                            </w:pPr>
                            <w:r>
                              <w:rPr/>
                              <w:t xml:space="preserve">Rule 12h-3(b)(2)(ii) </w:t>
                            </w:r>
                          </w:p>
                        </w:tc>
                        <w:tc>
                          <w:tcPr>
                            <w:tcW w:w="87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  <w:tc>
                          <w:tcPr>
                            <w:tcW w:w="123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283"/>
                              <w:jc w:val="left"/>
                              <w:rPr>
                                <w:rFonts w:ascii="Wingdings" w:hAnsi="Wingdings"/>
                              </w:rPr>
                            </w:pPr>
                            <w:r>
                              <w:rPr>
                                <w:rFonts w:ascii="Wingdings" w:hAnsi="Wingdings"/>
                              </w:rPr>
                              <w:t>o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540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0"/>
                              <w:ind w:left="0" w:right="0" w:hanging="0"/>
                              <w:rPr/>
                            </w:pPr>
                            <w:r>
                              <w:rPr/>
                              <w:t xml:space="preserve">Rule 15d-6 </w:t>
                            </w:r>
                          </w:p>
                        </w:tc>
                        <w:tc>
                          <w:tcPr>
                            <w:tcW w:w="87" w:type="dxa"/>
                            <w:tcBorders/>
                            <w:shd w:fill="auto" w:val="clear"/>
                            <w:vAlign w:val="bottom"/>
                          </w:tcPr>
                          <w:p>
                            <w:pPr>
                              <w:pStyle w:val="TableContents"/>
                              <w:spacing w:before="0" w:after="283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c>
                        <w:tc>
                          <w:tcPr>
                            <w:tcW w:w="123" w:type="dxa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283"/>
                              <w:jc w:val="left"/>
                              <w:rPr>
                                <w:rFonts w:ascii="Wingdings" w:hAnsi="Wingdings"/>
                              </w:rPr>
                            </w:pPr>
                            <w:r>
                              <w:rPr>
                                <w:rFonts w:ascii="Wingdings" w:hAnsi="Wingdings"/>
                              </w:rPr>
                              <w:t>o</w:t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Approximate number of holders of record as of the certification or notice date: </w:t>
      </w:r>
    </w:p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Common Stock  1 </w:t>
      </w:r>
    </w:p>
    <w:p>
      <w:pPr>
        <w:pStyle w:val="TextBody"/>
        <w:spacing w:before="20" w:after="283"/>
        <w:jc w:val="center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Senior Secured Notes  0</w:t>
      </w:r>
    </w:p>
    <w:p>
      <w:pPr>
        <w:pStyle w:val="TextBody"/>
        <w:spacing w:before="20" w:after="283"/>
        <w:jc w:val="center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spacing w:before="200" w:after="283"/>
        <w:jc w:val="left"/>
        <w:rPr/>
      </w:pPr>
      <w:r>
        <w:rPr/>
        <w:t>     </w:t>
      </w:r>
      <w:r>
        <w:rPr>
          <w:rFonts w:ascii="Times New Roman;Times;serif" w:hAnsi="Times New Roman;Times;serif"/>
          <w:sz w:val="17"/>
        </w:rPr>
        <w:t xml:space="preserve">Pursuant to the requirements of the Securities Exchange Act of 1934, National Vision, Inc. has caused this certification/notice to be signed on its behalf by the undersigned duly authorized person. 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69"/>
        <w:gridCol w:w="201"/>
        <w:gridCol w:w="2799"/>
        <w:gridCol w:w="2302"/>
        <w:gridCol w:w="309"/>
        <w:gridCol w:w="201"/>
        <w:gridCol w:w="3924"/>
      </w:tblGrid>
      <w:tr>
        <w:trPr/>
        <w:tc>
          <w:tcPr>
            <w:tcW w:w="46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79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3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92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69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Date: </w:t>
            </w:r>
          </w:p>
        </w:tc>
        <w:tc>
          <w:tcPr>
            <w:tcW w:w="2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799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September 12, 2005 </w:t>
            </w:r>
          </w:p>
        </w:tc>
        <w:tc>
          <w:tcPr>
            <w:tcW w:w="23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9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2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924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/s/ Paul A. Criscillis, Jr.</w:t>
            </w:r>
          </w:p>
        </w:tc>
      </w:tr>
      <w:tr>
        <w:trPr/>
        <w:tc>
          <w:tcPr>
            <w:tcW w:w="469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  </w:t>
            </w:r>
          </w:p>
        </w:tc>
        <w:tc>
          <w:tcPr>
            <w:tcW w:w="20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799" w:type="dxa"/>
            <w:tcBorders>
              <w:top w:val="single" w:sz="2" w:space="0" w:color="000000"/>
            </w:tcBorders>
            <w:shd w:fill="auto" w:val="clear"/>
            <w:tcMar>
              <w:top w:w="28" w:type="dxa"/>
            </w:tcMar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 xml:space="preserve">  </w:t>
            </w:r>
          </w:p>
        </w:tc>
        <w:tc>
          <w:tcPr>
            <w:tcW w:w="230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9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0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924" w:type="dxa"/>
            <w:tcBorders>
              <w:top w:val="single" w:sz="2" w:space="0" w:color="000000"/>
            </w:tcBorders>
            <w:shd w:fill="auto" w:val="clear"/>
            <w:tcMar>
              <w:top w:w="28" w:type="dxa"/>
            </w:tcMar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69" w:type="dxa"/>
            <w:tcBorders/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  </w:t>
            </w:r>
          </w:p>
        </w:tc>
        <w:tc>
          <w:tcPr>
            <w:tcW w:w="2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2799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0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9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0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924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Paul A. Criscillis, Jr.</w:t>
              <w:br/>
              <w:t>Senior Vice President, Chief</w:t>
              <w:br/>
              <w:t>Financial Officer</w:t>
            </w:r>
          </w:p>
        </w:tc>
      </w:tr>
    </w:tbl>
    <w:p>
      <w:pPr>
        <w:pStyle w:val="TextBody"/>
        <w:spacing w:before="200" w:after="283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spacing w:before="0" w:after="283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Times"/>
    <w:charset w:val="00"/>
    <w:family w:val="auto"/>
    <w:pitch w:val="default"/>
  </w:font>
  <w:font w:name="Wingdings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5">
    <w:name w:val="Heading 5"/>
    <w:basedOn w:val="Heading"/>
    <w:next w:val="TextBody"/>
    <w:qFormat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DejaVu Sans" w:cs="DejaVu Sans"/>
      <w:b/>
      <w:bCs/>
      <w:sz w:val="20"/>
      <w:szCs w:val="20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259</Words>
  <CharactersWithSpaces>1702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e15v12b</dc:title>
</cp:coreProperties>
</file>