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GOODMAN MITCHELL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402"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DULUTH</w:t>
            </w:r>
          </w:p>
        </w:tc>
        <w:tc>
          <w:tcPr>
            <w:tcW w:w="1120" w:type="dxa"/>
            <w:vAlign w:val="bottom"/>
          </w:tcPr>
          <w:p>
            <w:pPr>
              <w:ind w:left="280"/>
              <w:spacing w:after="0"/>
              <w:rPr>
                <w:sz w:val="20"/>
                <w:szCs w:val="20"/>
                <w:color w:val="auto"/>
              </w:rPr>
            </w:pPr>
            <w:r>
              <w:rPr>
                <w:rFonts w:ascii="Arial" w:cs="Arial" w:eastAsia="Arial" w:hAnsi="Arial"/>
                <w:sz w:val="18"/>
                <w:szCs w:val="18"/>
                <w:color w:val="0000FF"/>
              </w:rPr>
              <w:t>GA</w:t>
            </w:r>
          </w:p>
        </w:tc>
        <w:tc>
          <w:tcPr>
            <w:tcW w:w="1680" w:type="dxa"/>
            <w:vAlign w:val="bottom"/>
          </w:tcPr>
          <w:p>
            <w:pPr>
              <w:ind w:left="420"/>
              <w:spacing w:after="0"/>
              <w:rPr>
                <w:sz w:val="20"/>
                <w:szCs w:val="20"/>
                <w:color w:val="auto"/>
              </w:rPr>
            </w:pPr>
            <w:r>
              <w:rPr>
                <w:rFonts w:ascii="Arial" w:cs="Arial" w:eastAsia="Arial" w:hAnsi="Arial"/>
                <w:sz w:val="18"/>
                <w:szCs w:val="18"/>
                <w:color w:val="0000FF"/>
              </w:rPr>
              <w:t>30096-4980</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20" w:type="dxa"/>
            <w:vAlign w:val="bottom"/>
            <w:tcBorders>
              <w:bottom w:val="single" w:sz="8" w:color="2C2C2C"/>
            </w:tcBorders>
          </w:tcPr>
          <w:p>
            <w:pPr>
              <w:spacing w:after="0"/>
              <w:rPr>
                <w:sz w:val="17"/>
                <w:szCs w:val="17"/>
                <w:color w:val="auto"/>
              </w:rPr>
            </w:pPr>
          </w:p>
        </w:tc>
        <w:tc>
          <w:tcPr>
            <w:tcW w:w="126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80"/>
              <w:spacing w:after="0"/>
              <w:rPr>
                <w:sz w:val="20"/>
                <w:szCs w:val="20"/>
                <w:color w:val="auto"/>
              </w:rPr>
            </w:pPr>
            <w:r>
              <w:rPr>
                <w:rFonts w:ascii="Arial" w:cs="Arial" w:eastAsia="Arial" w:hAnsi="Arial"/>
                <w:sz w:val="18"/>
                <w:szCs w:val="18"/>
                <w:color w:val="0000FF"/>
              </w:rPr>
              <w:t>SVP, GC and Secretary</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03/22/2018</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03/22/2018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7,166</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4.27</w:t>
            </w: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61,106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03/26/2018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14"/>
                <w:szCs w:val="14"/>
                <w:color w:val="0000FF"/>
                <w:w w:val="85"/>
              </w:rPr>
              <w:t>S</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7,166</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31.68</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53,940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4.27</w:t>
            </w: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color w:val="0000FF"/>
              </w:rPr>
              <w:t>03/22/2018</w:t>
            </w:r>
          </w:p>
        </w:tc>
        <w:tc>
          <w:tcPr>
            <w:tcW w:w="114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7,166</w:t>
            </w: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40"/>
              <w:spacing w:after="0"/>
              <w:rPr>
                <w:sz w:val="20"/>
                <w:szCs w:val="20"/>
                <w:color w:val="auto"/>
              </w:rPr>
            </w:pPr>
            <w:r>
              <w:rPr>
                <w:rFonts w:ascii="Arial" w:cs="Arial" w:eastAsia="Arial" w:hAnsi="Arial"/>
                <w:sz w:val="14"/>
                <w:szCs w:val="14"/>
                <w:color w:val="0000FF"/>
                <w:w w:val="94"/>
              </w:rPr>
              <w:t>03/13/2024</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7,166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ind w:left="240"/>
              <w:spacing w:after="0"/>
              <w:rPr>
                <w:sz w:val="20"/>
                <w:szCs w:val="20"/>
                <w:color w:val="auto"/>
              </w:rPr>
            </w:pPr>
            <w:r>
              <w:rPr>
                <w:rFonts w:ascii="Arial" w:cs="Arial" w:eastAsia="Arial" w:hAnsi="Arial"/>
                <w:sz w:val="14"/>
                <w:szCs w:val="14"/>
                <w:color w:val="0000FF"/>
                <w:w w:val="88"/>
              </w:rPr>
              <w:t>78,274</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jc w:val="right"/>
              <w:ind w:right="154"/>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an exercise of stock options in connection with the Reporting Person's sale of shares of common stock in an underwritten public offering.</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$1.32 per share, in connection with the exercise of the underwriters' option to purchase additional shares.</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Of this stock option award, 56,960 stock options are currently vested, with an additional 28,480 eligible to vest on March 13, 2019. An additional 213,602 stock options which remain subject to liquidity-event performance-based vesting conditions are not included in the table above.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03/26/2018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070"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2019-12-23T22:35:14Z</dcterms:created>
  <dcterms:modified xsi:type="dcterms:W3CDTF">2019-12-23T22:35:14Z</dcterms:modified>
</cp:coreProperties>
</file>